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35A0" w14:textId="7EDF9EE7" w:rsidR="00045410" w:rsidRPr="00C406DE" w:rsidRDefault="00C406DE">
      <w:pPr>
        <w:widowControl w:val="0"/>
        <w:spacing w:after="0"/>
        <w:rPr>
          <w:rStyle w:val="None"/>
          <w:rFonts w:ascii="Source Sans Pro" w:eastAsia="Source Sans Pro" w:hAnsi="Source Sans Pro" w:cs="Source Sans Pro"/>
          <w:b/>
          <w:bCs/>
        </w:rPr>
      </w:pPr>
      <w:bookmarkStart w:id="0" w:name="_GoBack"/>
      <w:bookmarkEnd w:id="0"/>
      <w:r w:rsidRPr="00C406DE">
        <w:rPr>
          <w:rStyle w:val="None"/>
          <w:rFonts w:ascii="Source Sans Pro" w:eastAsia="Source Sans Pro" w:hAnsi="Source Sans Pro" w:cs="Source Sans Pro"/>
          <w:b/>
          <w:bCs/>
        </w:rPr>
        <w:t xml:space="preserve">Prof. </w:t>
      </w:r>
      <w:proofErr w:type="spellStart"/>
      <w:r w:rsidRPr="00C406DE">
        <w:rPr>
          <w:rStyle w:val="None"/>
          <w:rFonts w:ascii="Source Sans Pro" w:eastAsia="Source Sans Pro" w:hAnsi="Source Sans Pro" w:cs="Source Sans Pro"/>
          <w:b/>
          <w:bCs/>
        </w:rPr>
        <w:t>Noemia</w:t>
      </w:r>
      <w:proofErr w:type="spellEnd"/>
      <w:r w:rsidRPr="00C406DE">
        <w:rPr>
          <w:rStyle w:val="None"/>
          <w:rFonts w:ascii="Source Sans Pro" w:eastAsia="Source Sans Pro" w:hAnsi="Source Sans Pro" w:cs="Source Sans Pro"/>
          <w:b/>
          <w:bCs/>
        </w:rPr>
        <w:t xml:space="preserve"> </w:t>
      </w:r>
      <w:proofErr w:type="spellStart"/>
      <w:r w:rsidRPr="00C406DE">
        <w:rPr>
          <w:rStyle w:val="None"/>
          <w:rFonts w:ascii="Source Sans Pro" w:eastAsia="Source Sans Pro" w:hAnsi="Source Sans Pro" w:cs="Source Sans Pro"/>
          <w:b/>
          <w:bCs/>
        </w:rPr>
        <w:t>Rute</w:t>
      </w:r>
      <w:proofErr w:type="spellEnd"/>
      <w:r w:rsidRPr="00C406DE">
        <w:rPr>
          <w:rStyle w:val="None"/>
          <w:rFonts w:ascii="Source Sans Pro" w:eastAsia="Source Sans Pro" w:hAnsi="Source Sans Pro" w:cs="Source Sans Pro"/>
          <w:b/>
          <w:bCs/>
        </w:rPr>
        <w:t xml:space="preserve"> Peres de </w:t>
      </w:r>
      <w:proofErr w:type="spellStart"/>
      <w:r w:rsidRPr="00C406DE">
        <w:rPr>
          <w:rStyle w:val="None"/>
          <w:rFonts w:ascii="Source Sans Pro" w:eastAsia="Source Sans Pro" w:hAnsi="Source Sans Pro" w:cs="Source Sans Pro"/>
          <w:b/>
          <w:bCs/>
        </w:rPr>
        <w:t>Bessa</w:t>
      </w:r>
      <w:proofErr w:type="spellEnd"/>
      <w:r w:rsidRPr="00C406DE">
        <w:rPr>
          <w:rStyle w:val="None"/>
          <w:rFonts w:ascii="Source Sans Pro" w:eastAsia="Source Sans Pro" w:hAnsi="Source Sans Pro" w:cs="Source Sans Pro"/>
          <w:b/>
          <w:bCs/>
        </w:rPr>
        <w:t xml:space="preserve"> </w:t>
      </w:r>
      <w:proofErr w:type="spellStart"/>
      <w:r w:rsidRPr="00C406DE">
        <w:rPr>
          <w:rStyle w:val="None"/>
          <w:rFonts w:ascii="Source Sans Pro" w:eastAsia="Source Sans Pro" w:hAnsi="Source Sans Pro" w:cs="Source Sans Pro"/>
          <w:b/>
          <w:bCs/>
        </w:rPr>
        <w:t>Vilela</w:t>
      </w:r>
      <w:proofErr w:type="spellEnd"/>
      <w:r w:rsidRPr="00C406DE">
        <w:rPr>
          <w:rStyle w:val="None"/>
          <w:rFonts w:ascii="Source Sans Pro" w:eastAsia="Source Sans Pro" w:hAnsi="Source Sans Pro" w:cs="Source Sans Pro"/>
          <w:b/>
          <w:bCs/>
        </w:rPr>
        <w:t>, PhD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0"/>
        <w:gridCol w:w="5912"/>
      </w:tblGrid>
      <w:tr w:rsidR="00045410" w14:paraId="4769B30F" w14:textId="77777777">
        <w:trPr>
          <w:trHeight w:val="85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E05AD" w14:textId="77777777" w:rsidR="00045410" w:rsidRDefault="00C91051">
            <w:pPr>
              <w:spacing w:after="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Course title:</w:t>
            </w:r>
          </w:p>
          <w:p w14:paraId="644CB3C8" w14:textId="77777777" w:rsidR="00045410" w:rsidRDefault="00045410">
            <w:pPr>
              <w:spacing w:after="0" w:line="240" w:lineRule="auto"/>
              <w:jc w:val="both"/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9FC1C" w14:textId="3E8951C2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Women’s rights i</w:t>
            </w:r>
            <w:r w:rsidR="004873B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n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Islam</w:t>
            </w:r>
          </w:p>
        </w:tc>
      </w:tr>
      <w:tr w:rsidR="00045410" w14:paraId="4F15A4DB" w14:textId="77777777">
        <w:trPr>
          <w:trHeight w:val="29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72E13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Semester: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F70C2" w14:textId="015161D8" w:rsidR="00045410" w:rsidRDefault="008A58AC">
            <w:pPr>
              <w:spacing w:after="0" w:line="240" w:lineRule="auto"/>
            </w:pPr>
            <w:r>
              <w:t>2</w:t>
            </w:r>
          </w:p>
        </w:tc>
      </w:tr>
      <w:tr w:rsidR="00045410" w14:paraId="5E77484C" w14:textId="77777777">
        <w:trPr>
          <w:trHeight w:val="29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2525C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E3D02" w14:textId="72B58329" w:rsidR="00045410" w:rsidRDefault="004873BB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English </w:t>
            </w:r>
            <w:r w:rsidR="00FB7D9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(</w:t>
            </w:r>
            <w:r w:rsidR="008A69FF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</w:t>
            </w:r>
            <w:r w:rsidR="00FB7D91" w:rsidRPr="00FB7D9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 the students' request, lectures can be given in Spanish or Portuguese</w:t>
            </w:r>
            <w:r w:rsidR="00FB7D9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)</w:t>
            </w:r>
          </w:p>
        </w:tc>
      </w:tr>
      <w:tr w:rsidR="00045410" w14:paraId="1568F869" w14:textId="77777777">
        <w:trPr>
          <w:trHeight w:val="477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D6BE5" w14:textId="77777777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ECTS credit allocation: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0F355" w14:textId="77777777" w:rsidR="00045410" w:rsidRDefault="00C91051">
            <w:pPr>
              <w:shd w:val="clear" w:color="auto" w:fill="FFFFFF"/>
              <w:spacing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Contact hours:</w:t>
            </w:r>
          </w:p>
          <w:p w14:paraId="0543ADC5" w14:textId="77777777" w:rsidR="00045410" w:rsidRDefault="00C91051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- lecture: 15h</w:t>
            </w:r>
          </w:p>
          <w:p w14:paraId="106E004A" w14:textId="77777777" w:rsidR="00045410" w:rsidRDefault="00C91051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ECTS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credits 0.5</w:t>
            </w:r>
          </w:p>
          <w:p w14:paraId="670DCBD1" w14:textId="77777777" w:rsidR="00045410" w:rsidRDefault="00C91051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student's own work:</w:t>
            </w:r>
          </w:p>
          <w:p w14:paraId="17510A93" w14:textId="42825371" w:rsidR="00045410" w:rsidRDefault="00C91051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- current preparation for </w:t>
            </w:r>
            <w:r w:rsidR="00CD0C9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classes 30</w:t>
            </w:r>
            <w:r w:rsidR="004945C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h</w:t>
            </w:r>
          </w:p>
          <w:p w14:paraId="1B0F6C04" w14:textId="5A239C95" w:rsidR="00045410" w:rsidRDefault="00C91051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- preparing for the completion of the </w:t>
            </w:r>
            <w:r w:rsidR="00CD0C9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subject 55</w:t>
            </w:r>
            <w:r w:rsidR="004945C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h</w:t>
            </w:r>
          </w:p>
          <w:p w14:paraId="39AF9B49" w14:textId="27BF831E" w:rsidR="004945CB" w:rsidRDefault="004945CB" w:rsidP="004945CB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Total number of hours of student's own </w:t>
            </w:r>
            <w:r w:rsidR="00CD0C9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work: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85</w:t>
            </w:r>
          </w:p>
          <w:p w14:paraId="20E52473" w14:textId="1141C977" w:rsidR="00045410" w:rsidRDefault="00C91051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ECTS credits </w:t>
            </w:r>
            <w:r w:rsidR="004945C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3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.5</w:t>
            </w:r>
          </w:p>
          <w:p w14:paraId="11B41CF5" w14:textId="77777777" w:rsidR="00045410" w:rsidRDefault="00C91051">
            <w:pPr>
              <w:shd w:val="clear" w:color="auto" w:fill="FFFFFF"/>
              <w:spacing w:before="280" w:after="28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total number of hours 100h</w:t>
            </w:r>
          </w:p>
          <w:p w14:paraId="45C799ED" w14:textId="77777777" w:rsidR="00045410" w:rsidRDefault="00C91051">
            <w:pPr>
              <w:shd w:val="clear" w:color="auto" w:fill="FFFFFF"/>
              <w:spacing w:after="9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total number of ECTS points: 4.</w:t>
            </w:r>
          </w:p>
        </w:tc>
      </w:tr>
      <w:tr w:rsidR="00045410" w14:paraId="18108CF6" w14:textId="77777777">
        <w:trPr>
          <w:trHeight w:val="14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E896A" w14:textId="77777777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Verification method of learning outcomes: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315C" w14:textId="0A594910" w:rsidR="004945CB" w:rsidRPr="00716B28" w:rsidRDefault="004945CB">
            <w:p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240C79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written test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- all effects</w:t>
            </w:r>
          </w:p>
        </w:tc>
      </w:tr>
      <w:tr w:rsidR="00045410" w14:paraId="3B7EE9F2" w14:textId="77777777">
        <w:trPr>
          <w:trHeight w:val="253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C7A7B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>Description: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D3033" w14:textId="4FE9CC7B" w:rsidR="00045410" w:rsidRPr="004D4305" w:rsidRDefault="00C91051" w:rsidP="004D4305">
            <w:pPr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This </w:t>
            </w:r>
            <w:r w:rsidR="004945C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subject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is designed to provide an in-depth understanding of women’s rights in Islam,</w:t>
            </w:r>
            <w:r w:rsidR="004D430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focusing on scriptural, historical, and contemporary perspectives. The course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explores the</w:t>
            </w:r>
            <w:r w:rsidR="004D430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rights granted to women in Islamic teachings and the challenges of interpretation and</w:t>
            </w:r>
            <w:r w:rsidR="004D430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  <w:shd w:val="clear" w:color="auto" w:fill="FFFFFF"/>
              </w:rPr>
              <w:t>application. It includes discussions, practical skills, and critical analysis.</w:t>
            </w:r>
          </w:p>
        </w:tc>
      </w:tr>
      <w:tr w:rsidR="00045410" w14:paraId="3832D114" w14:textId="77777777">
        <w:trPr>
          <w:trHeight w:val="674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1C574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lastRenderedPageBreak/>
              <w:t>Bibliography: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0B322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Basic:</w:t>
            </w:r>
          </w:p>
          <w:p w14:paraId="46C4D779" w14:textId="77777777" w:rsidR="00045410" w:rsidRDefault="00C91051">
            <w:pPr>
              <w:pStyle w:val="Heading"/>
              <w:numPr>
                <w:ilvl w:val="0"/>
                <w:numId w:val="1"/>
              </w:numPr>
              <w:spacing w:before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Mernissi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 xml:space="preserve">, Fatima. “The Veil and the Male Elite: A </w:t>
            </w:r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Feminist Interpretation of Women’s Rights in Islam”. Perseus Books, 1991.</w:t>
            </w:r>
          </w:p>
          <w:p w14:paraId="088B18AC" w14:textId="77777777" w:rsidR="00045410" w:rsidRDefault="00C91051">
            <w:pPr>
              <w:pStyle w:val="Heading"/>
              <w:numPr>
                <w:ilvl w:val="0"/>
                <w:numId w:val="1"/>
              </w:numPr>
              <w:spacing w:before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 xml:space="preserve">2. </w:t>
            </w: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Barlas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 xml:space="preserve">, Asma. “Believing Women in Islam: </w:t>
            </w: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Unreading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 xml:space="preserve"> Patriarchal Interpretations of the Qur’an”. University of Texas Press, 2002.</w:t>
            </w:r>
          </w:p>
          <w:p w14:paraId="5B3E3E8C" w14:textId="77777777" w:rsidR="00045410" w:rsidRDefault="00C91051">
            <w:pPr>
              <w:pStyle w:val="Heading"/>
              <w:numPr>
                <w:ilvl w:val="0"/>
                <w:numId w:val="1"/>
              </w:numPr>
              <w:spacing w:before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Wadud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, Amina. “Qur’an and Woman: Rereading the Sacr</w:t>
            </w:r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ed Text from a Woman’s Perspective*. Oxford University Press, 1999.</w:t>
            </w:r>
          </w:p>
          <w:p w14:paraId="7DF2664F" w14:textId="77777777" w:rsidR="00045410" w:rsidRDefault="00045410">
            <w:pPr>
              <w:pStyle w:val="Heading"/>
              <w:spacing w:before="0"/>
              <w:ind w:left="720"/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</w:pPr>
          </w:p>
          <w:p w14:paraId="574BE2A7" w14:textId="77777777" w:rsidR="00045410" w:rsidRDefault="00045410">
            <w:pP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1543078C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Additional:</w:t>
            </w:r>
          </w:p>
          <w:p w14:paraId="47854865" w14:textId="77777777" w:rsidR="00045410" w:rsidRDefault="00C91051">
            <w:pPr>
              <w:pStyle w:val="Heading"/>
              <w:numPr>
                <w:ilvl w:val="0"/>
                <w:numId w:val="2"/>
              </w:numPr>
              <w:spacing w:before="0"/>
              <w:rPr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 xml:space="preserve">Ali, Kecia. “Sexual Ethics and Islam: Feminist Reflections on Qur’an, Hadith, and Jurisprudence”. </w:t>
            </w:r>
            <w:proofErr w:type="spellStart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Oneworld</w:t>
            </w:r>
            <w:proofErr w:type="spellEnd"/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 xml:space="preserve"> Publications, 2016.</w:t>
            </w:r>
          </w:p>
          <w:p w14:paraId="5F372FEB" w14:textId="77777777" w:rsidR="00045410" w:rsidRDefault="00C91051">
            <w:pPr>
              <w:pStyle w:val="Heading"/>
              <w:numPr>
                <w:ilvl w:val="0"/>
                <w:numId w:val="2"/>
              </w:numPr>
              <w:spacing w:before="0"/>
              <w:rPr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 xml:space="preserve">Engineer, Asghar Ali. *The Rights of Women in </w:t>
            </w:r>
            <w:r>
              <w:rPr>
                <w:rStyle w:val="None"/>
                <w:rFonts w:ascii="Source Sans Pro" w:eastAsia="Source Sans Pro" w:hAnsi="Source Sans Pro" w:cs="Source Sans Pro"/>
                <w:color w:val="000000"/>
                <w:sz w:val="24"/>
                <w:szCs w:val="24"/>
                <w:u w:color="000000"/>
              </w:rPr>
              <w:t>Islam*. St. Martin’s Press, 1996.</w:t>
            </w:r>
          </w:p>
          <w:p w14:paraId="6336336B" w14:textId="77777777" w:rsidR="00045410" w:rsidRDefault="00045410">
            <w:pPr>
              <w:spacing w:after="0" w:line="240" w:lineRule="auto"/>
              <w:rPr>
                <w:rStyle w:val="None"/>
              </w:rPr>
            </w:pPr>
          </w:p>
          <w:p w14:paraId="315F8309" w14:textId="77777777" w:rsidR="00045410" w:rsidRDefault="00045410">
            <w:pPr>
              <w:spacing w:after="0" w:line="240" w:lineRule="auto"/>
            </w:pPr>
          </w:p>
        </w:tc>
      </w:tr>
      <w:tr w:rsidR="00045410" w14:paraId="5F078742" w14:textId="77777777">
        <w:trPr>
          <w:trHeight w:val="821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B9D2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lastRenderedPageBreak/>
              <w:t>Learning outcomes: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99C97" w14:textId="77777777" w:rsidR="000C16E1" w:rsidRDefault="000C16E1" w:rsidP="000C16E1">
            <w:pPr>
              <w:shd w:val="clear" w:color="auto" w:fill="FFFFFF"/>
              <w:spacing w:after="24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Knowledge </w:t>
            </w:r>
          </w:p>
          <w:p w14:paraId="7FD938D3" w14:textId="77777777" w:rsidR="000C16E1" w:rsidRDefault="000C16E1" w:rsidP="000C16E1">
            <w:pPr>
              <w:shd w:val="clear" w:color="auto" w:fill="FFFFFF"/>
              <w:spacing w:after="24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 student</w:t>
            </w:r>
          </w:p>
          <w:p w14:paraId="34DE3101" w14:textId="6BB86072" w:rsidR="00045410" w:rsidRPr="000C16E1" w:rsidRDefault="000C16E1" w:rsidP="000C16E1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1. </w:t>
            </w:r>
            <w:r w:rsidRPr="000C16E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understand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s</w:t>
            </w:r>
            <w:r w:rsidRPr="000C16E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of women’s rights as outlined in Islamic teachings</w:t>
            </w:r>
            <w:r w:rsidR="00D13C5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D13C51" w:rsidRPr="00D13C5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K_W02</w:t>
            </w:r>
            <w:r w:rsidR="00D13C5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4B0AD0E0" w14:textId="01EC43D4" w:rsidR="00045410" w:rsidRPr="000C16E1" w:rsidRDefault="000C16E1" w:rsidP="000C16E1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2. is f</w:t>
            </w:r>
            <w:r w:rsidRPr="000C16E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amiliar with Qur’anic verses and Hadiths addressing gender roles</w:t>
            </w:r>
            <w:r w:rsidR="00F925A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F925A1" w:rsidRPr="00F925A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K_W03</w:t>
            </w:r>
            <w:r w:rsidR="00F925A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78FBEF39" w14:textId="5B17FEEB" w:rsidR="00045410" w:rsidRDefault="000C16E1" w:rsidP="000C16E1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3. is aware of historical contributions of women in Islamic societies</w:t>
            </w:r>
            <w:r w:rsidR="00A8136E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A8136E" w:rsidRPr="00A8136E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K_W02</w:t>
            </w:r>
            <w:r w:rsidR="00A8136E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74155357" w14:textId="47BA2939" w:rsidR="00045410" w:rsidRDefault="000C16E1" w:rsidP="000C16E1">
            <w:pPr>
              <w:shd w:val="clear" w:color="auto" w:fill="FFFFFF"/>
              <w:spacing w:after="24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4. recognizes of the diversity of interpretations and their cultural influences</w:t>
            </w:r>
            <w:r w:rsidR="008540E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8540EB" w:rsidRPr="008540E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K_W04</w:t>
            </w:r>
            <w:r w:rsidR="008540EB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4273AC84" w14:textId="77777777" w:rsidR="00551DE8" w:rsidRDefault="00551DE8" w:rsidP="00551DE8">
            <w:pPr>
              <w:shd w:val="clear" w:color="auto" w:fill="FFFFFF"/>
              <w:spacing w:after="24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Skills</w:t>
            </w:r>
          </w:p>
          <w:p w14:paraId="77E25F6C" w14:textId="487A55CD" w:rsidR="00551DE8" w:rsidRDefault="00551DE8" w:rsidP="000B1A0C">
            <w:pPr>
              <w:shd w:val="clear" w:color="auto" w:fill="FFFFFF"/>
              <w:spacing w:after="24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 student can, is able</w:t>
            </w:r>
          </w:p>
          <w:p w14:paraId="21FEFB4F" w14:textId="2E4051E1" w:rsidR="00045410" w:rsidRDefault="00551DE8" w:rsidP="000B1A0C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1. to think c</w:t>
            </w:r>
            <w:r w:rsidRPr="00551DE8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ritical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ly</w:t>
            </w:r>
            <w:r w:rsidRPr="00551DE8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 differentiate between cultural practices and religious principles</w:t>
            </w:r>
            <w:r w:rsidR="00937D56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937D56" w:rsidRPr="00937D56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K_U01</w:t>
            </w:r>
            <w:r w:rsidR="00937D56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4DFBCC82" w14:textId="4D4D6B53" w:rsidR="00045410" w:rsidRDefault="00463A35" w:rsidP="00463A35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2. to get an effective communication skills for discussing women’s rights in Islam</w:t>
            </w:r>
            <w:r w:rsidR="00E81D7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5605DA" w:rsidRPr="005605DA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K_U03</w:t>
            </w:r>
            <w:r w:rsidR="005605DA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4FE163A7" w14:textId="10D3FBE4" w:rsidR="00045410" w:rsidRPr="00463A35" w:rsidRDefault="00463A35" w:rsidP="00463A35">
            <w:pPr>
              <w:shd w:val="clear" w:color="auto" w:fill="FFFFFF"/>
              <w:spacing w:after="24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3. </w:t>
            </w:r>
            <w:r w:rsidRPr="00463A35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 explore historical and contemporary issues</w:t>
            </w:r>
            <w:r w:rsidR="005D5ED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5D5EDC" w:rsidRPr="005D5ED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K_U05</w:t>
            </w:r>
            <w:r w:rsidR="005D5EDC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747A57CD" w14:textId="77777777" w:rsidR="00B84D60" w:rsidRPr="00B84D60" w:rsidRDefault="00B84D60" w:rsidP="00B84D60">
            <w:pPr>
              <w:shd w:val="clear" w:color="auto" w:fill="FFFFFF"/>
              <w:spacing w:after="24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B84D60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Competences</w:t>
            </w:r>
          </w:p>
          <w:p w14:paraId="5AD82851" w14:textId="148738B4" w:rsidR="00B84D60" w:rsidRDefault="00B84D60" w:rsidP="00021E8C">
            <w:pPr>
              <w:shd w:val="clear" w:color="auto" w:fill="FFFFFF"/>
              <w:spacing w:after="240" w:line="240" w:lineRule="auto"/>
              <w:jc w:val="both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 w:rsidRPr="00B84D60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 student is ready to</w:t>
            </w:r>
          </w:p>
          <w:p w14:paraId="13C2D5CC" w14:textId="5124C256" w:rsidR="00045410" w:rsidRDefault="00B84D60" w:rsidP="00021E8C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1.  to engage in interfaith and cross-cultural dialogues on gender rights</w:t>
            </w:r>
            <w:r w:rsidR="00147670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147670" w:rsidRPr="00147670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K_K01</w:t>
            </w:r>
            <w:r w:rsidR="00147670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36EB40F0" w14:textId="6DE6F8BD" w:rsidR="00B84D60" w:rsidRDefault="00B84D60" w:rsidP="00021E8C">
            <w:pPr>
              <w:shd w:val="clear" w:color="auto" w:fill="FFFFFF"/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2. to advocate for women’s rights within an Islamic framework</w:t>
            </w:r>
            <w:r w:rsidR="00FA344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FA3441" w:rsidRPr="00FA344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K_K04</w:t>
            </w:r>
            <w:r w:rsidR="00FA3441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2C08DD87" w14:textId="4954C859" w:rsidR="00045410" w:rsidRDefault="00B84D60" w:rsidP="00021E8C">
            <w:pPr>
              <w:shd w:val="clear" w:color="auto" w:fill="FFFFFF"/>
              <w:spacing w:after="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t xml:space="preserve">3.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to address misconceptions about women’s roles in Islam</w:t>
            </w:r>
            <w:r w:rsidR="00B410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B4103D" w:rsidRPr="00B410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K_K03</w:t>
            </w:r>
            <w:r w:rsidR="00B410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) </w:t>
            </w:r>
          </w:p>
          <w:p w14:paraId="6B27557D" w14:textId="62A9B5D3" w:rsidR="00045410" w:rsidRDefault="00B84D60" w:rsidP="00021E8C">
            <w:pPr>
              <w:shd w:val="clear" w:color="auto" w:fill="FFFFFF"/>
              <w:spacing w:after="240" w:line="240" w:lineRule="auto"/>
              <w:jc w:val="both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4. to lead in promoting gender equity in diverse contexts</w:t>
            </w:r>
            <w:r w:rsidR="00B410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 (</w:t>
            </w:r>
            <w:r w:rsidR="00B4103D" w:rsidRPr="00B410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K_K02</w:t>
            </w:r>
            <w:r w:rsidR="00B4103D"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)</w:t>
            </w:r>
          </w:p>
        </w:tc>
      </w:tr>
    </w:tbl>
    <w:p w14:paraId="3EDCC991" w14:textId="77777777" w:rsidR="00045410" w:rsidRDefault="00045410">
      <w:pPr>
        <w:widowControl w:val="0"/>
        <w:spacing w:after="0" w:line="240" w:lineRule="auto"/>
        <w:rPr>
          <w:rStyle w:val="None"/>
          <w:rFonts w:ascii="Source Sans Pro" w:eastAsia="Source Sans Pro" w:hAnsi="Source Sans Pro" w:cs="Source Sans Pro"/>
        </w:rPr>
      </w:pPr>
    </w:p>
    <w:p w14:paraId="372D8A4E" w14:textId="77777777" w:rsidR="00045410" w:rsidRDefault="00045410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691FA8E0" w14:textId="24637E48" w:rsidR="00045410" w:rsidRDefault="00B84D60">
      <w:pPr>
        <w:rPr>
          <w:rStyle w:val="None"/>
          <w:rFonts w:ascii="Source Sans Pro" w:eastAsia="Source Sans Pro" w:hAnsi="Source Sans Pro" w:cs="Source Sans Pro"/>
          <w:sz w:val="24"/>
          <w:szCs w:val="24"/>
        </w:rPr>
      </w:pPr>
      <w:r>
        <w:rPr>
          <w:rStyle w:val="None"/>
          <w:rFonts w:ascii="Source Sans Pro" w:eastAsia="Source Sans Pro" w:hAnsi="Source Sans Pro" w:cs="Source Sans Pro"/>
          <w:sz w:val="24"/>
          <w:szCs w:val="24"/>
        </w:rPr>
        <w:t xml:space="preserve">Lecture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0"/>
        <w:gridCol w:w="5872"/>
      </w:tblGrid>
      <w:tr w:rsidR="00045410" w14:paraId="1647F7A3" w14:textId="77777777">
        <w:trPr>
          <w:trHeight w:val="57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E91B5" w14:textId="77777777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Verification method of learning outcomes: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8C205" w14:textId="116958D3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Written test</w:t>
            </w:r>
          </w:p>
        </w:tc>
      </w:tr>
      <w:tr w:rsidR="00045410" w14:paraId="56EBB20C" w14:textId="77777777">
        <w:trPr>
          <w:trHeight w:val="40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3D612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Bibliography: 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850AC" w14:textId="77777777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As in the general section</w:t>
            </w:r>
          </w:p>
        </w:tc>
      </w:tr>
      <w:tr w:rsidR="00045410" w14:paraId="2ECCB9E3" w14:textId="77777777">
        <w:trPr>
          <w:trHeight w:val="40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A4EDA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Learning outcomes: 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FC887" w14:textId="77777777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As in the general section</w:t>
            </w:r>
          </w:p>
        </w:tc>
      </w:tr>
      <w:tr w:rsidR="00045410" w14:paraId="0987B42B" w14:textId="77777777">
        <w:trPr>
          <w:trHeight w:val="785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00F1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lastRenderedPageBreak/>
              <w:t>Topics: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28B1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1. The Role of Women in Pre-Islamic Arabia</w:t>
            </w:r>
          </w:p>
          <w:p w14:paraId="7616F3FA" w14:textId="77777777" w:rsidR="00045410" w:rsidRDefault="00045410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699AAA50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2.  Islam as a way of living</w:t>
            </w:r>
          </w:p>
          <w:p w14:paraId="6D84BFDD" w14:textId="77777777" w:rsidR="00045410" w:rsidRDefault="00C91051">
            <w:pPr>
              <w:numPr>
                <w:ilvl w:val="0"/>
                <w:numId w:val="6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Women’s Rights in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the Qur’an: A Scriptural Perspective</w:t>
            </w:r>
          </w:p>
          <w:p w14:paraId="18C16458" w14:textId="77777777" w:rsidR="00045410" w:rsidRDefault="00C91051">
            <w:pPr>
              <w:numPr>
                <w:ilvl w:val="0"/>
                <w:numId w:val="6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Women in Hadith Literature: Interpretations and Implications</w:t>
            </w:r>
          </w:p>
          <w:p w14:paraId="4E333C64" w14:textId="77777777" w:rsidR="00045410" w:rsidRDefault="00045410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1EA0998E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3. Equity instead of equality</w:t>
            </w:r>
          </w:p>
          <w:p w14:paraId="122F8C2B" w14:textId="77777777" w:rsidR="00045410" w:rsidRDefault="00C91051">
            <w:pPr>
              <w:numPr>
                <w:ilvl w:val="0"/>
                <w:numId w:val="7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Men’s rights and obligations</w:t>
            </w:r>
          </w:p>
          <w:p w14:paraId="45210E36" w14:textId="77777777" w:rsidR="00045410" w:rsidRDefault="00C91051">
            <w:pPr>
              <w:numPr>
                <w:ilvl w:val="0"/>
                <w:numId w:val="7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Women’s rights and obligations</w:t>
            </w:r>
          </w:p>
          <w:p w14:paraId="202AF720" w14:textId="77777777" w:rsidR="00045410" w:rsidRDefault="00045410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2B57415F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4. Family and succession law</w:t>
            </w:r>
          </w:p>
          <w:p w14:paraId="4D739C92" w14:textId="77777777" w:rsidR="00045410" w:rsidRDefault="00C91051">
            <w:pPr>
              <w:numPr>
                <w:ilvl w:val="0"/>
                <w:numId w:val="8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Marriage, </w:t>
            </w:r>
          </w:p>
          <w:p w14:paraId="674A7CAE" w14:textId="77777777" w:rsidR="00045410" w:rsidRDefault="00C91051">
            <w:pPr>
              <w:numPr>
                <w:ilvl w:val="0"/>
                <w:numId w:val="8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Polygamy,</w:t>
            </w:r>
          </w:p>
          <w:p w14:paraId="2F9E11C7" w14:textId="77777777" w:rsidR="00045410" w:rsidRDefault="00C91051">
            <w:pPr>
              <w:numPr>
                <w:ilvl w:val="0"/>
                <w:numId w:val="8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Divorce, and </w:t>
            </w:r>
          </w:p>
          <w:p w14:paraId="5E1CCEB7" w14:textId="77777777" w:rsidR="00045410" w:rsidRDefault="00C91051">
            <w:pPr>
              <w:numPr>
                <w:ilvl w:val="0"/>
                <w:numId w:val="8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Inheritance </w:t>
            </w:r>
          </w:p>
          <w:p w14:paraId="12333101" w14:textId="77777777" w:rsidR="00045410" w:rsidRDefault="00045410">
            <w:pPr>
              <w:spacing w:after="0" w:line="240" w:lineRule="auto"/>
              <w:ind w:left="720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50EBA3C4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5. Women in Islamic History</w:t>
            </w:r>
          </w:p>
          <w:p w14:paraId="7AF67D14" w14:textId="77777777" w:rsidR="00045410" w:rsidRDefault="00C91051">
            <w:pPr>
              <w:numPr>
                <w:ilvl w:val="0"/>
                <w:numId w:val="9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Key Figures and Contributions</w:t>
            </w:r>
          </w:p>
          <w:p w14:paraId="5D29512A" w14:textId="77777777" w:rsidR="00045410" w:rsidRDefault="00045410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151B9D7D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6. Modern Feminist Movements in the Muslim World</w:t>
            </w:r>
          </w:p>
          <w:p w14:paraId="5F758718" w14:textId="77777777" w:rsidR="00045410" w:rsidRDefault="00045410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</w:p>
          <w:p w14:paraId="3ACC96E2" w14:textId="77777777" w:rsidR="00045410" w:rsidRDefault="00C91051">
            <w:pPr>
              <w:spacing w:after="0" w:line="240" w:lineRule="auto"/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7. Contemporary Challenges: </w:t>
            </w:r>
          </w:p>
          <w:p w14:paraId="55C53CE8" w14:textId="77777777" w:rsidR="00045410" w:rsidRDefault="00C91051">
            <w:pPr>
              <w:numPr>
                <w:ilvl w:val="0"/>
                <w:numId w:val="10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Misinterpretations and </w:t>
            </w:r>
          </w:p>
          <w:p w14:paraId="0ABE8433" w14:textId="77777777" w:rsidR="00045410" w:rsidRDefault="00C91051">
            <w:pPr>
              <w:numPr>
                <w:ilvl w:val="0"/>
                <w:numId w:val="10"/>
              </w:numPr>
              <w:spacing w:after="0" w:line="240" w:lineRule="auto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Cultural Practices</w:t>
            </w:r>
          </w:p>
          <w:p w14:paraId="49E24BEE" w14:textId="77777777" w:rsidR="00045410" w:rsidRDefault="00045410">
            <w:pPr>
              <w:spacing w:after="0" w:line="240" w:lineRule="auto"/>
              <w:ind w:left="720"/>
            </w:pPr>
          </w:p>
        </w:tc>
      </w:tr>
      <w:tr w:rsidR="00045410" w14:paraId="10A7EB26" w14:textId="77777777">
        <w:trPr>
          <w:trHeight w:val="40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78CC5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Didactic methods: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2F6B" w14:textId="77777777" w:rsidR="00045410" w:rsidRDefault="00C91051">
            <w:pPr>
              <w:shd w:val="clear" w:color="auto" w:fill="FFFFFF"/>
              <w:spacing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Conversation lecture, discussion, case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study</w:t>
            </w:r>
          </w:p>
        </w:tc>
      </w:tr>
      <w:tr w:rsidR="00045410" w14:paraId="1D650B91" w14:textId="77777777">
        <w:trPr>
          <w:trHeight w:val="141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4CB07" w14:textId="77777777" w:rsidR="00045410" w:rsidRDefault="00C91051">
            <w:pPr>
              <w:spacing w:after="0" w:line="240" w:lineRule="auto"/>
              <w:jc w:val="both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Methods and evaluation criteria: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D8431" w14:textId="77777777" w:rsidR="00045410" w:rsidRDefault="00C91051">
            <w:pPr>
              <w:spacing w:after="0" w:line="240" w:lineRule="auto"/>
            </w:pP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 xml:space="preserve">Written test conducted on the UMCS Virtual Campus or Microsoft Teams platform. Consists of single-choice test questions. A score of 1 point is available for each single-choice test question. Credit from min. 50% of </w:t>
            </w:r>
            <w:r>
              <w:rPr>
                <w:rStyle w:val="None"/>
                <w:rFonts w:ascii="Source Sans Pro" w:eastAsia="Source Sans Pro" w:hAnsi="Source Sans Pro" w:cs="Source Sans Pro"/>
                <w:sz w:val="24"/>
                <w:szCs w:val="24"/>
              </w:rPr>
              <w:t>positive answers.</w:t>
            </w:r>
          </w:p>
        </w:tc>
      </w:tr>
    </w:tbl>
    <w:p w14:paraId="48798341" w14:textId="77777777" w:rsidR="00045410" w:rsidRDefault="00045410">
      <w:pPr>
        <w:widowControl w:val="0"/>
        <w:spacing w:line="240" w:lineRule="auto"/>
        <w:rPr>
          <w:rStyle w:val="None"/>
          <w:rFonts w:ascii="Source Sans Pro" w:eastAsia="Source Sans Pro" w:hAnsi="Source Sans Pro" w:cs="Source Sans Pro"/>
          <w:sz w:val="24"/>
          <w:szCs w:val="24"/>
        </w:rPr>
      </w:pPr>
    </w:p>
    <w:p w14:paraId="78AD3CAF" w14:textId="77777777" w:rsidR="00045410" w:rsidRDefault="00045410">
      <w:pPr>
        <w:jc w:val="both"/>
      </w:pPr>
    </w:p>
    <w:sectPr w:rsidR="0004541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65B7D" w14:textId="77777777" w:rsidR="00C91051" w:rsidRDefault="00C91051">
      <w:pPr>
        <w:spacing w:after="0" w:line="240" w:lineRule="auto"/>
      </w:pPr>
      <w:r>
        <w:separator/>
      </w:r>
    </w:p>
  </w:endnote>
  <w:endnote w:type="continuationSeparator" w:id="0">
    <w:p w14:paraId="482CE2F2" w14:textId="77777777" w:rsidR="00C91051" w:rsidRDefault="00C9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Bold">
    <w:panose1 w:val="020408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EFEBD" w14:textId="77777777" w:rsidR="00045410" w:rsidRDefault="000454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27E2" w14:textId="77777777" w:rsidR="00C91051" w:rsidRDefault="00C91051">
      <w:pPr>
        <w:spacing w:after="0" w:line="240" w:lineRule="auto"/>
      </w:pPr>
      <w:r>
        <w:separator/>
      </w:r>
    </w:p>
  </w:footnote>
  <w:footnote w:type="continuationSeparator" w:id="0">
    <w:p w14:paraId="4D879502" w14:textId="77777777" w:rsidR="00C91051" w:rsidRDefault="00C9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8365" w14:textId="77777777" w:rsidR="00045410" w:rsidRDefault="000454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E0B"/>
    <w:multiLevelType w:val="hybridMultilevel"/>
    <w:tmpl w:val="7F541822"/>
    <w:lvl w:ilvl="0" w:tplc="219A930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8173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32B8C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1C246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0853B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D2A92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8E50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EC8AE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B0152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9E233D"/>
    <w:multiLevelType w:val="hybridMultilevel"/>
    <w:tmpl w:val="4C0256AE"/>
    <w:lvl w:ilvl="0" w:tplc="D824887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6EFF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AAAC6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62AB1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BEDDE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E219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AAE0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CE286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E83F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5F3C4D"/>
    <w:multiLevelType w:val="hybridMultilevel"/>
    <w:tmpl w:val="123CD72C"/>
    <w:lvl w:ilvl="0" w:tplc="2AB01E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8A4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D2C4A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E8CB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987D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D286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868D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90DD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34BE4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D7153A"/>
    <w:multiLevelType w:val="hybridMultilevel"/>
    <w:tmpl w:val="261EA93C"/>
    <w:lvl w:ilvl="0" w:tplc="D9B0DED0">
      <w:start w:val="1"/>
      <w:numFmt w:val="decimal"/>
      <w:lvlText w:val="%1."/>
      <w:lvlJc w:val="left"/>
      <w:pPr>
        <w:ind w:left="720" w:hanging="360"/>
      </w:pPr>
      <w:rPr>
        <w:rFonts w:ascii="Source Sans Pro" w:eastAsia="Source Sans Pro" w:hAnsi="Source Sans Pro" w:cs="Source Sans Pro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A189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16F0F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54DC8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842CB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5C9EC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694F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AB78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8909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BC7D1F"/>
    <w:multiLevelType w:val="hybridMultilevel"/>
    <w:tmpl w:val="E34800A4"/>
    <w:lvl w:ilvl="0" w:tplc="D2C6B4A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A8707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2A32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52300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EC5A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1EBA0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4E67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7AF0C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852C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835C4E"/>
    <w:multiLevelType w:val="hybridMultilevel"/>
    <w:tmpl w:val="DFBCB688"/>
    <w:lvl w:ilvl="0" w:tplc="1520DC5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14C8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60220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66A8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EA3D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61EC4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22F0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A08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CE99E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863BEB"/>
    <w:multiLevelType w:val="hybridMultilevel"/>
    <w:tmpl w:val="D004B022"/>
    <w:lvl w:ilvl="0" w:tplc="84E84D4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8E7EA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CADA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66A47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A9D8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ED90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84DC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6EAC7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CB66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213A9C"/>
    <w:multiLevelType w:val="hybridMultilevel"/>
    <w:tmpl w:val="5DAE4C22"/>
    <w:lvl w:ilvl="0" w:tplc="167A9B9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14703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BC361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2ADF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C3C8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F247B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DE8C5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E819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0D68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5248A2"/>
    <w:multiLevelType w:val="hybridMultilevel"/>
    <w:tmpl w:val="4E4C533C"/>
    <w:lvl w:ilvl="0" w:tplc="7586004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40A3A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9E2E2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98C2A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E7DC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964C3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8AAC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9E2A4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8D86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B45126B"/>
    <w:multiLevelType w:val="hybridMultilevel"/>
    <w:tmpl w:val="95BE3774"/>
    <w:lvl w:ilvl="0" w:tplc="DB200BF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E69C5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8EE0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9A7B3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ACC7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AA8E0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38283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545F8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C51B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10"/>
    <w:rsid w:val="00021E8C"/>
    <w:rsid w:val="00045410"/>
    <w:rsid w:val="000B1A0C"/>
    <w:rsid w:val="000C16E1"/>
    <w:rsid w:val="000E21AB"/>
    <w:rsid w:val="00145A81"/>
    <w:rsid w:val="00147670"/>
    <w:rsid w:val="002C07B6"/>
    <w:rsid w:val="0042685E"/>
    <w:rsid w:val="00463A35"/>
    <w:rsid w:val="004873BB"/>
    <w:rsid w:val="004945CB"/>
    <w:rsid w:val="004D4305"/>
    <w:rsid w:val="00551DE8"/>
    <w:rsid w:val="005605DA"/>
    <w:rsid w:val="005D5EDC"/>
    <w:rsid w:val="00716B28"/>
    <w:rsid w:val="00772EFA"/>
    <w:rsid w:val="007941B5"/>
    <w:rsid w:val="008540EB"/>
    <w:rsid w:val="008A58AC"/>
    <w:rsid w:val="008A69FF"/>
    <w:rsid w:val="008F3FC9"/>
    <w:rsid w:val="00937D56"/>
    <w:rsid w:val="00A23B45"/>
    <w:rsid w:val="00A8136E"/>
    <w:rsid w:val="00B4103D"/>
    <w:rsid w:val="00B84D60"/>
    <w:rsid w:val="00BC1CC3"/>
    <w:rsid w:val="00C147EE"/>
    <w:rsid w:val="00C406DE"/>
    <w:rsid w:val="00C91051"/>
    <w:rsid w:val="00CD0C9D"/>
    <w:rsid w:val="00D13C51"/>
    <w:rsid w:val="00DD2C47"/>
    <w:rsid w:val="00E81D7D"/>
    <w:rsid w:val="00F925A1"/>
    <w:rsid w:val="00FA3441"/>
    <w:rsid w:val="00F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42E"/>
  <w15:docId w15:val="{C2065A76-85CA-4C90-8600-850779D4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ing">
    <w:name w:val="Heading"/>
    <w:next w:val="Body"/>
    <w:pPr>
      <w:keepNext/>
      <w:keepLines/>
      <w:spacing w:before="480" w:line="276" w:lineRule="auto"/>
    </w:pPr>
    <w:rPr>
      <w:rFonts w:ascii="Cambria Bold" w:hAnsi="Cambria Bold" w:cs="Arial Unicode MS"/>
      <w:color w:val="365F91"/>
      <w:sz w:val="28"/>
      <w:szCs w:val="28"/>
      <w:u w:color="365F91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4945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0C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Bodio Joanna</cp:lastModifiedBy>
  <cp:revision>2</cp:revision>
  <dcterms:created xsi:type="dcterms:W3CDTF">2025-02-03T09:23:00Z</dcterms:created>
  <dcterms:modified xsi:type="dcterms:W3CDTF">2025-02-03T09:23:00Z</dcterms:modified>
</cp:coreProperties>
</file>