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055FF" w14:textId="297A216E" w:rsidR="00314BF5" w:rsidRPr="005068B0" w:rsidRDefault="005068B0">
      <w:pPr>
        <w:widowControl w:val="0"/>
        <w:spacing w:after="0"/>
        <w:rPr>
          <w:rStyle w:val="None"/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5068B0">
        <w:rPr>
          <w:rStyle w:val="None"/>
          <w:rFonts w:ascii="Source Sans Pro" w:eastAsia="Source Sans Pro" w:hAnsi="Source Sans Pro" w:cs="Source Sans Pro"/>
          <w:b/>
          <w:bCs/>
          <w:sz w:val="24"/>
          <w:szCs w:val="24"/>
        </w:rPr>
        <w:t xml:space="preserve">Prof. </w:t>
      </w:r>
      <w:proofErr w:type="spellStart"/>
      <w:r w:rsidRPr="005068B0">
        <w:rPr>
          <w:rStyle w:val="None"/>
          <w:rFonts w:ascii="Source Sans Pro" w:eastAsia="Source Sans Pro" w:hAnsi="Source Sans Pro" w:cs="Source Sans Pro"/>
          <w:b/>
          <w:bCs/>
          <w:sz w:val="24"/>
          <w:szCs w:val="24"/>
        </w:rPr>
        <w:t>Noemia</w:t>
      </w:r>
      <w:proofErr w:type="spellEnd"/>
      <w:r w:rsidRPr="005068B0">
        <w:rPr>
          <w:rStyle w:val="None"/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proofErr w:type="spellStart"/>
      <w:r w:rsidRPr="005068B0">
        <w:rPr>
          <w:rStyle w:val="None"/>
          <w:rFonts w:ascii="Source Sans Pro" w:eastAsia="Source Sans Pro" w:hAnsi="Source Sans Pro" w:cs="Source Sans Pro"/>
          <w:b/>
          <w:bCs/>
          <w:sz w:val="24"/>
          <w:szCs w:val="24"/>
        </w:rPr>
        <w:t>Rute</w:t>
      </w:r>
      <w:proofErr w:type="spellEnd"/>
      <w:r w:rsidRPr="005068B0">
        <w:rPr>
          <w:rStyle w:val="None"/>
          <w:rFonts w:ascii="Source Sans Pro" w:eastAsia="Source Sans Pro" w:hAnsi="Source Sans Pro" w:cs="Source Sans Pro"/>
          <w:b/>
          <w:bCs/>
          <w:sz w:val="24"/>
          <w:szCs w:val="24"/>
        </w:rPr>
        <w:t xml:space="preserve"> Peres de </w:t>
      </w:r>
      <w:proofErr w:type="spellStart"/>
      <w:r w:rsidRPr="005068B0">
        <w:rPr>
          <w:rStyle w:val="None"/>
          <w:rFonts w:ascii="Source Sans Pro" w:eastAsia="Source Sans Pro" w:hAnsi="Source Sans Pro" w:cs="Source Sans Pro"/>
          <w:b/>
          <w:bCs/>
          <w:sz w:val="24"/>
          <w:szCs w:val="24"/>
        </w:rPr>
        <w:t>Bessa</w:t>
      </w:r>
      <w:proofErr w:type="spellEnd"/>
      <w:r w:rsidRPr="005068B0">
        <w:rPr>
          <w:rStyle w:val="None"/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proofErr w:type="spellStart"/>
      <w:r w:rsidRPr="005068B0">
        <w:rPr>
          <w:rStyle w:val="None"/>
          <w:rFonts w:ascii="Source Sans Pro" w:eastAsia="Source Sans Pro" w:hAnsi="Source Sans Pro" w:cs="Source Sans Pro"/>
          <w:b/>
          <w:bCs/>
          <w:sz w:val="24"/>
          <w:szCs w:val="24"/>
        </w:rPr>
        <w:t>Vilela</w:t>
      </w:r>
      <w:proofErr w:type="spellEnd"/>
      <w:r w:rsidRPr="005068B0">
        <w:rPr>
          <w:rStyle w:val="None"/>
          <w:rFonts w:ascii="Source Sans Pro" w:eastAsia="Source Sans Pro" w:hAnsi="Source Sans Pro" w:cs="Source Sans Pro"/>
          <w:b/>
          <w:bCs/>
          <w:sz w:val="24"/>
          <w:szCs w:val="24"/>
        </w:rPr>
        <w:t>, PhD</w:t>
      </w:r>
      <w:bookmarkStart w:id="0" w:name="_GoBack"/>
      <w:bookmarkEnd w:id="0"/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0"/>
        <w:gridCol w:w="5912"/>
      </w:tblGrid>
      <w:tr w:rsidR="00314BF5" w14:paraId="25786221" w14:textId="77777777">
        <w:trPr>
          <w:trHeight w:val="85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00051" w14:textId="77777777" w:rsidR="00314BF5" w:rsidRDefault="00E479DD">
            <w:pPr>
              <w:spacing w:after="0" w:line="240" w:lineRule="auto"/>
              <w:jc w:val="both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Course title:</w:t>
            </w:r>
          </w:p>
          <w:p w14:paraId="00A8CD64" w14:textId="77777777" w:rsidR="00314BF5" w:rsidRDefault="00314BF5">
            <w:pPr>
              <w:spacing w:after="0" w:line="240" w:lineRule="auto"/>
              <w:jc w:val="both"/>
            </w:pP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C1E04" w14:textId="77777777" w:rsidR="00314BF5" w:rsidRDefault="00E479DD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Introduction to EU Competition Law</w:t>
            </w:r>
          </w:p>
        </w:tc>
      </w:tr>
      <w:tr w:rsidR="00314BF5" w14:paraId="545047DA" w14:textId="77777777">
        <w:trPr>
          <w:trHeight w:val="29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95B31" w14:textId="77777777" w:rsidR="00314BF5" w:rsidRDefault="00E479DD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Semester: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C1A0C" w14:textId="0F54B93F" w:rsidR="00314BF5" w:rsidRDefault="00CC08C1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2</w:t>
            </w:r>
          </w:p>
        </w:tc>
      </w:tr>
      <w:tr w:rsidR="00314BF5" w14:paraId="048C3773" w14:textId="77777777">
        <w:trPr>
          <w:trHeight w:val="29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15C06" w14:textId="77777777" w:rsidR="00314BF5" w:rsidRDefault="00E479DD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Language: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42640" w14:textId="73F89E01" w:rsidR="00314BF5" w:rsidRPr="003E2666" w:rsidRDefault="003263B4">
            <w:pPr>
              <w:spacing w:after="0"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English </w:t>
            </w:r>
            <w:r w:rsidR="003E2666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(</w:t>
            </w:r>
            <w:r w:rsidR="003E2666">
              <w:rPr>
                <w:rFonts w:ascii="Source Sans Pro" w:eastAsia="Source Sans Pro" w:hAnsi="Source Sans Pro" w:cs="Source Sans Pro"/>
              </w:rPr>
              <w:t>a</w:t>
            </w:r>
            <w:r w:rsidR="003E2666" w:rsidRPr="003E2666">
              <w:rPr>
                <w:rFonts w:ascii="Source Sans Pro" w:eastAsia="Source Sans Pro" w:hAnsi="Source Sans Pro" w:cs="Source Sans Pro"/>
              </w:rPr>
              <w:t>t the students' request, lectures can be given in Spanish or Portuguese</w:t>
            </w:r>
            <w:r w:rsidR="003E2666">
              <w:rPr>
                <w:rFonts w:ascii="Source Sans Pro" w:eastAsia="Source Sans Pro" w:hAnsi="Source Sans Pro" w:cs="Source Sans Pro"/>
              </w:rPr>
              <w:t xml:space="preserve">) </w:t>
            </w:r>
          </w:p>
        </w:tc>
      </w:tr>
      <w:tr w:rsidR="00314BF5" w:rsidRPr="00240C79" w14:paraId="180333DA" w14:textId="77777777">
        <w:trPr>
          <w:trHeight w:val="477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7F439" w14:textId="77777777" w:rsidR="00314BF5" w:rsidRDefault="00E479DD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ECTS credit allocation: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0E017" w14:textId="77777777" w:rsidR="00314BF5" w:rsidRDefault="00E479DD">
            <w:pPr>
              <w:shd w:val="clear" w:color="auto" w:fill="FFFFFF"/>
              <w:spacing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Contact hours:</w:t>
            </w:r>
          </w:p>
          <w:p w14:paraId="41C17A5E" w14:textId="77777777" w:rsidR="00314BF5" w:rsidRDefault="00E479DD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- lecture: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15h</w:t>
            </w:r>
          </w:p>
          <w:p w14:paraId="368041D7" w14:textId="77777777" w:rsidR="00314BF5" w:rsidRDefault="00E479DD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ECTS credits 0.5</w:t>
            </w:r>
          </w:p>
          <w:p w14:paraId="716A98D7" w14:textId="77777777" w:rsidR="00314BF5" w:rsidRDefault="00E479DD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student's own work:</w:t>
            </w:r>
          </w:p>
          <w:p w14:paraId="217651BD" w14:textId="01A94E38" w:rsidR="00314BF5" w:rsidRDefault="00E479DD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- current preparation for </w:t>
            </w:r>
            <w:r w:rsidR="006B244C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classes 30</w:t>
            </w:r>
            <w:r w:rsidR="00240C7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h</w:t>
            </w:r>
          </w:p>
          <w:p w14:paraId="532A8D36" w14:textId="572A6653" w:rsidR="00314BF5" w:rsidRDefault="00E479DD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- preparing for the completion of the subject </w:t>
            </w:r>
            <w:r w:rsidR="00240C7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55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h</w:t>
            </w:r>
          </w:p>
          <w:p w14:paraId="22782A62" w14:textId="10A46FE6" w:rsidR="00240C79" w:rsidRDefault="00240C79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Total number of hours of student's own </w:t>
            </w:r>
            <w:r w:rsidR="006B244C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work: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85</w:t>
            </w:r>
          </w:p>
          <w:p w14:paraId="76FEBC4D" w14:textId="0F657F28" w:rsidR="00314BF5" w:rsidRDefault="00E479DD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ECTS credits </w:t>
            </w:r>
            <w:r w:rsidR="00737E9E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3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.5</w:t>
            </w:r>
          </w:p>
          <w:p w14:paraId="258AD9D9" w14:textId="77777777" w:rsidR="00314BF5" w:rsidRDefault="00E479DD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total number of hours 100h</w:t>
            </w:r>
          </w:p>
          <w:p w14:paraId="5AD427AE" w14:textId="77777777" w:rsidR="00240C79" w:rsidRPr="00CB00A8" w:rsidRDefault="00E479DD">
            <w:pPr>
              <w:shd w:val="clear" w:color="auto" w:fill="FFFFFF"/>
              <w:spacing w:after="9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total number of ECTS points: 4.</w:t>
            </w:r>
          </w:p>
        </w:tc>
      </w:tr>
      <w:tr w:rsidR="00314BF5" w:rsidRPr="00240C79" w14:paraId="6FEE9B46" w14:textId="77777777">
        <w:trPr>
          <w:trHeight w:val="141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8EC6A" w14:textId="77777777" w:rsidR="00314BF5" w:rsidRDefault="00E479DD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Verification method of learning outcomes: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27D83" w14:textId="59F8FB2E" w:rsidR="00240C79" w:rsidRDefault="00240C79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240C7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written test</w:t>
            </w:r>
            <w:r w:rsidR="00235DD6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- all effects</w:t>
            </w:r>
          </w:p>
          <w:p w14:paraId="54C04A48" w14:textId="3DDB512C" w:rsidR="00314BF5" w:rsidRPr="00240C79" w:rsidRDefault="00240C79" w:rsidP="002122A0">
            <w:pPr>
              <w:spacing w:after="0" w:line="240" w:lineRule="auto"/>
            </w:pPr>
            <w:r w:rsidRPr="00240C7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</w:tc>
      </w:tr>
      <w:tr w:rsidR="00314BF5" w14:paraId="50C2089F" w14:textId="77777777">
        <w:trPr>
          <w:trHeight w:val="309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7B495" w14:textId="77777777" w:rsidR="00314BF5" w:rsidRDefault="00E479DD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Description: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50D75" w14:textId="795740A2" w:rsidR="00314BF5" w:rsidRDefault="00E479DD" w:rsidP="00621C55">
            <w:pPr>
              <w:spacing w:after="0" w:line="240" w:lineRule="auto"/>
              <w:jc w:val="both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 xml:space="preserve">This </w:t>
            </w:r>
            <w:r w:rsidR="003A50DB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>subject introduces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 xml:space="preserve"> students to the fundamental principles and framework of EU Competition Law. The course provides a comprehensive overview of antitrust rules, merger regulations, state aid, and enforcement mechanisms within the European Union. It aims to</w:t>
            </w:r>
            <w:r w:rsidR="003A50DB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>develop students’</w:t>
            </w:r>
            <w:r w:rsidR="00621C55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>understanding of the rationale behind competition law and its role in the</w:t>
            </w:r>
            <w:r w:rsidR="003A50DB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>internal market.</w:t>
            </w:r>
          </w:p>
          <w:p w14:paraId="51F21FFD" w14:textId="77777777" w:rsidR="00314BF5" w:rsidRDefault="00314BF5">
            <w:pPr>
              <w:spacing w:after="0" w:line="240" w:lineRule="auto"/>
            </w:pPr>
          </w:p>
        </w:tc>
      </w:tr>
      <w:tr w:rsidR="00314BF5" w14:paraId="7FD78C00" w14:textId="77777777">
        <w:trPr>
          <w:trHeight w:val="952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1A230" w14:textId="77777777" w:rsidR="00314BF5" w:rsidRDefault="00E479DD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lastRenderedPageBreak/>
              <w:t>Bibliography: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7F0E5" w14:textId="77777777" w:rsidR="00314BF5" w:rsidRDefault="00E479DD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Basic:</w:t>
            </w:r>
          </w:p>
          <w:p w14:paraId="61F1326B" w14:textId="77777777" w:rsidR="00314BF5" w:rsidRDefault="00E479DD">
            <w:pPr>
              <w:numPr>
                <w:ilvl w:val="0"/>
                <w:numId w:val="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Van </w:t>
            </w:r>
            <w:proofErr w:type="spellStart"/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Cleynenbreugel</w:t>
            </w:r>
            <w:proofErr w:type="spellEnd"/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, P., Caramelo Gomes, J., &amp; Bessa Vilela, N. (2022). Introduction to competition law. In A. </w:t>
            </w:r>
            <w:proofErr w:type="spellStart"/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Fercic</w:t>
            </w:r>
            <w:proofErr w:type="spellEnd"/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(Ed.), </w:t>
            </w:r>
            <w:r>
              <w:rPr>
                <w:rStyle w:val="None"/>
                <w:rFonts w:ascii="Source Sans Pro" w:eastAsia="Source Sans Pro" w:hAnsi="Source Sans Pro" w:cs="Source Sans Pro"/>
                <w:i/>
                <w:iCs/>
                <w:sz w:val="24"/>
                <w:szCs w:val="24"/>
              </w:rPr>
              <w:t xml:space="preserve">European Union </w:t>
            </w:r>
            <w:r>
              <w:rPr>
                <w:rStyle w:val="None"/>
                <w:rFonts w:ascii="Source Sans Pro" w:eastAsia="Source Sans Pro" w:hAnsi="Source Sans Pro" w:cs="Source Sans Pro"/>
                <w:i/>
                <w:iCs/>
                <w:sz w:val="24"/>
                <w:szCs w:val="24"/>
              </w:rPr>
              <w:t>Competition Law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(pp. 1-20). Europa Law Publishing.</w:t>
            </w:r>
          </w:p>
          <w:p w14:paraId="7D2819AB" w14:textId="77777777" w:rsidR="00314BF5" w:rsidRDefault="00E479DD">
            <w:pPr>
              <w:numPr>
                <w:ilvl w:val="0"/>
                <w:numId w:val="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Faull, J., &amp; </w:t>
            </w:r>
            <w:proofErr w:type="spellStart"/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Nikpay</w:t>
            </w:r>
            <w:proofErr w:type="spellEnd"/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, A. (2014). *The EU Law of Competition* (3rd ed.). Oxford University Press.</w:t>
            </w:r>
          </w:p>
          <w:p w14:paraId="066DBD6B" w14:textId="77777777" w:rsidR="00314BF5" w:rsidRDefault="00E479DD">
            <w:pPr>
              <w:numPr>
                <w:ilvl w:val="0"/>
                <w:numId w:val="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Korah, V. (2007). *An Introductory Guide to EC Competition Law and Practice* (9th ed.). Oxford: Hart Publishi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ng. ISBN 9781841137544.</w:t>
            </w:r>
          </w:p>
          <w:p w14:paraId="3B0874EF" w14:textId="77777777" w:rsidR="00314BF5" w:rsidRDefault="00314BF5">
            <w:pP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4E7ABE1B" w14:textId="77777777" w:rsidR="00314BF5" w:rsidRDefault="00E479DD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Additional:</w:t>
            </w:r>
          </w:p>
          <w:p w14:paraId="55DBDE02" w14:textId="77777777" w:rsidR="00314BF5" w:rsidRDefault="00E479DD">
            <w:pPr>
              <w:numPr>
                <w:ilvl w:val="0"/>
                <w:numId w:val="2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Furse, M. (2004). *Competition Law of the EC and UK* (4th ed.). Oxford: Oxford University Press. ISBN 978-0199258802.</w:t>
            </w:r>
          </w:p>
          <w:p w14:paraId="6EE0E883" w14:textId="77777777" w:rsidR="00314BF5" w:rsidRDefault="00314BF5">
            <w:pPr>
              <w:spacing w:after="0" w:line="240" w:lineRule="auto"/>
              <w:ind w:left="720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4544D81C" w14:textId="77777777" w:rsidR="00314BF5" w:rsidRDefault="00E479DD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Case Law:</w:t>
            </w:r>
          </w:p>
          <w:p w14:paraId="7D238103" w14:textId="77777777" w:rsidR="00314BF5" w:rsidRDefault="00314BF5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56193DEF" w14:textId="77777777" w:rsidR="00314BF5" w:rsidRDefault="00E479DD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color w:val="333333"/>
                <w:sz w:val="24"/>
                <w:szCs w:val="24"/>
                <w:u w:color="333333"/>
                <w:shd w:val="clear" w:color="auto" w:fill="FFFFFF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color w:val="333333"/>
                <w:sz w:val="24"/>
                <w:szCs w:val="24"/>
                <w:u w:color="333333"/>
                <w:shd w:val="clear" w:color="auto" w:fill="FFFFFF"/>
              </w:rPr>
              <w:t>Google LLC, formerly Google Inc. and Alphabet, Inc. v European Commission. Case T-612/17.</w:t>
            </w:r>
          </w:p>
          <w:p w14:paraId="2169DEC1" w14:textId="77777777" w:rsidR="00314BF5" w:rsidRDefault="00E479DD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color w:val="333333"/>
                <w:sz w:val="24"/>
                <w:szCs w:val="24"/>
                <w:u w:color="333333"/>
                <w:shd w:val="clear" w:color="auto" w:fill="FFFFFF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color w:val="333333"/>
                <w:sz w:val="24"/>
                <w:szCs w:val="24"/>
                <w:u w:color="333333"/>
                <w:shd w:val="clear" w:color="auto" w:fill="FFFFFF"/>
              </w:rPr>
              <w:t>Amazon.com, Inc. and Others v European Commission. Case T-19/21.</w:t>
            </w:r>
          </w:p>
          <w:p w14:paraId="75935F49" w14:textId="77777777" w:rsidR="00314BF5" w:rsidRDefault="00314BF5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31BB772B" w14:textId="77777777" w:rsidR="00314BF5" w:rsidRDefault="00314BF5">
            <w:pPr>
              <w:spacing w:after="0" w:line="240" w:lineRule="auto"/>
            </w:pPr>
          </w:p>
        </w:tc>
      </w:tr>
      <w:tr w:rsidR="00314BF5" w14:paraId="1B496B4E" w14:textId="77777777">
        <w:trPr>
          <w:trHeight w:val="1013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2E4F9" w14:textId="77777777" w:rsidR="00314BF5" w:rsidRDefault="00E479DD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lastRenderedPageBreak/>
              <w:t>Learning outcomes: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03AEA" w14:textId="3B927DE6" w:rsidR="00240C79" w:rsidRDefault="00E479DD">
            <w:pPr>
              <w:shd w:val="clear" w:color="auto" w:fill="FFFFFF"/>
              <w:spacing w:after="24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Knowledge</w:t>
            </w:r>
            <w:r w:rsidR="00240C7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  <w:p w14:paraId="3783B3BA" w14:textId="6902478D" w:rsidR="00240C79" w:rsidRDefault="00240C79" w:rsidP="0076205C">
            <w:pPr>
              <w:shd w:val="clear" w:color="auto" w:fill="FFFFFF"/>
              <w:spacing w:after="240" w:line="240" w:lineRule="auto"/>
              <w:jc w:val="both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 student</w:t>
            </w:r>
          </w:p>
          <w:p w14:paraId="3AA0D057" w14:textId="33CB1475" w:rsidR="00314BF5" w:rsidRDefault="00240C79" w:rsidP="0076205C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1. </w:t>
            </w:r>
            <w:r w:rsidR="0076205C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u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nderstands the legal and economic principles underpinning EU Competition Law necessary for their work as a specialist</w:t>
            </w:r>
            <w:r w:rsidR="0076205C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005002D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(</w:t>
            </w:r>
            <w:r w:rsidR="005002D9" w:rsidRPr="005002D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K_W01</w:t>
            </w:r>
            <w:r w:rsidR="005002D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, </w:t>
            </w:r>
            <w:r w:rsidR="005002D9" w:rsidRPr="005002D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K_W02</w:t>
            </w:r>
            <w:r w:rsidR="005002D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46656F53" w14:textId="2ED7985B" w:rsidR="00314BF5" w:rsidRDefault="00240C79" w:rsidP="0076205C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2. </w:t>
            </w:r>
            <w:r w:rsidR="0076205C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is f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amiliar with key provisions of the Treaty on the Functioning of the European Union (TFEU)</w:t>
            </w:r>
            <w:r w:rsidR="0074183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74183D" w:rsidRPr="0074183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K_W03</w:t>
            </w:r>
            <w:r w:rsidR="0074183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)</w:t>
            </w:r>
          </w:p>
          <w:p w14:paraId="3C6C9533" w14:textId="0C0F3C1F" w:rsidR="00314BF5" w:rsidRDefault="00240C79" w:rsidP="0076205C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3. </w:t>
            </w:r>
            <w:r w:rsidR="0076205C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is a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ware of the enforcement mechanisms and institutional framework in the EU</w:t>
            </w:r>
            <w:r w:rsidR="00E131B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8932C9" w:rsidRPr="008932C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K_W05</w:t>
            </w:r>
            <w:r w:rsidR="008932C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2CA49B66" w14:textId="2A17FAC8" w:rsidR="00314BF5" w:rsidRDefault="00240C79" w:rsidP="0076205C">
            <w:pPr>
              <w:shd w:val="clear" w:color="auto" w:fill="FFFFFF"/>
              <w:spacing w:after="24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4. </w:t>
            </w:r>
            <w:r w:rsidR="0076205C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has an i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nsight into the role of competition law in maintaining a fair and efficient internal market</w:t>
            </w:r>
            <w:r w:rsidR="00691F6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691F6D" w:rsidRPr="00691F6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K_W02</w:t>
            </w:r>
            <w:r w:rsidR="00691F6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)</w:t>
            </w:r>
          </w:p>
          <w:p w14:paraId="41EA51AD" w14:textId="6D5C38F9" w:rsidR="00314BF5" w:rsidRDefault="00E479DD">
            <w:pPr>
              <w:shd w:val="clear" w:color="auto" w:fill="FFFFFF"/>
              <w:spacing w:after="24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Skills</w:t>
            </w:r>
          </w:p>
          <w:p w14:paraId="76CC3DDF" w14:textId="0FE9588D" w:rsidR="00737E9E" w:rsidRDefault="00737E9E" w:rsidP="007E5A14">
            <w:pPr>
              <w:shd w:val="clear" w:color="auto" w:fill="FFFFFF"/>
              <w:spacing w:after="240" w:line="240" w:lineRule="auto"/>
              <w:jc w:val="both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 student can, is able</w:t>
            </w:r>
          </w:p>
          <w:p w14:paraId="554C2779" w14:textId="4A37C178" w:rsidR="00314BF5" w:rsidRDefault="00240C79" w:rsidP="007E5A14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1. to analyze legal texts and case law related to competition law</w:t>
            </w:r>
            <w:r w:rsidR="00247A4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247A49" w:rsidRPr="00247A4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K_U01</w:t>
            </w:r>
            <w:r w:rsidR="00247A4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65932DB0" w14:textId="5C7B262C" w:rsidR="00314BF5" w:rsidRDefault="001C770C" w:rsidP="007E5A14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2. to apply competition law principles to hypothetical scenarios</w:t>
            </w:r>
            <w:r w:rsidR="00A430E5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A430E5" w:rsidRPr="00A430E5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K_U01</w:t>
            </w:r>
            <w:r w:rsidR="00A430E5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, </w:t>
            </w:r>
            <w:r w:rsidR="00A430E5" w:rsidRPr="00A430E5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K_U04</w:t>
            </w:r>
            <w:r w:rsidR="00A430E5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5A4CA5E2" w14:textId="1E6AB034" w:rsidR="00314BF5" w:rsidRPr="007E5A14" w:rsidRDefault="007E5A14" w:rsidP="007E5A14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3. </w:t>
            </w:r>
            <w:r w:rsidRPr="007E5A14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to evaluate the impact of mergers, agreements, or dominant behaviors on market competition</w:t>
            </w:r>
            <w:r w:rsidR="00890F3F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890F3F" w:rsidRPr="00890F3F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K_U05</w:t>
            </w:r>
            <w:r w:rsidR="00890F3F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4984ACFD" w14:textId="487C36E6" w:rsidR="00314BF5" w:rsidRDefault="001C770C" w:rsidP="007E5A14">
            <w:pPr>
              <w:shd w:val="clear" w:color="auto" w:fill="FFFFFF"/>
              <w:spacing w:after="24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4</w:t>
            </w:r>
            <w:r w:rsidR="007E5A14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.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to explore recent developments and trends in EU Competition Law</w:t>
            </w:r>
            <w:r w:rsidR="00DD75C7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DD75C7" w:rsidRPr="00DD75C7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K_U07</w:t>
            </w:r>
            <w:r w:rsidR="00DD75C7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01ED303E" w14:textId="06028B97" w:rsidR="00314BF5" w:rsidRDefault="00E479DD">
            <w:pPr>
              <w:shd w:val="clear" w:color="auto" w:fill="FFFFFF"/>
              <w:spacing w:after="24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Competences</w:t>
            </w:r>
          </w:p>
          <w:p w14:paraId="1D35DF48" w14:textId="5D82FF2B" w:rsidR="00737E9E" w:rsidRDefault="00737E9E">
            <w:pPr>
              <w:shd w:val="clear" w:color="auto" w:fill="FFFFFF"/>
              <w:spacing w:after="24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 student is ready to</w:t>
            </w:r>
          </w:p>
          <w:p w14:paraId="03607532" w14:textId="31E886DE" w:rsidR="00314BF5" w:rsidRDefault="00FE603D" w:rsidP="00FE603D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1. to provide legal advice on competition law compliance</w:t>
            </w:r>
            <w:r w:rsidR="009C2C9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00A759FB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(</w:t>
            </w:r>
            <w:r w:rsidR="00A759FB" w:rsidRPr="00A759FB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K_K02</w:t>
            </w:r>
            <w:r w:rsidR="00A759FB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267CBB43" w14:textId="1F91673D" w:rsidR="00314BF5" w:rsidRDefault="00FE603D" w:rsidP="00FE603D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2. to engage with cross-border legal and economic issues within the EU</w:t>
            </w:r>
            <w:r w:rsidR="00C46063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C46063" w:rsidRPr="00C46063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K_K03</w:t>
            </w:r>
            <w:r w:rsidR="00C46063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1A28B760" w14:textId="316BFF39" w:rsidR="00314BF5" w:rsidRPr="00FE603D" w:rsidRDefault="00FE603D" w:rsidP="00FE603D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3. </w:t>
            </w:r>
            <w:r w:rsidRPr="00FE603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to assess critically enforcement decisions and policies</w:t>
            </w:r>
            <w:r w:rsidR="00FE25C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D30641" w:rsidRPr="00D3064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K_K01</w:t>
            </w:r>
            <w:r w:rsidR="00D3064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270F9164" w14:textId="76A66AFC" w:rsidR="00240C79" w:rsidRPr="00240C79" w:rsidRDefault="00E00E76" w:rsidP="009C2C9D">
            <w:pPr>
              <w:shd w:val="clear" w:color="auto" w:fill="FFFFFF"/>
              <w:spacing w:after="24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4. to pursue further specialization or professional work in competition law</w:t>
            </w:r>
            <w:r w:rsidR="00D3064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9D41BF" w:rsidRPr="009D41BF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K_K02</w:t>
            </w:r>
            <w:r w:rsidR="009D41BF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</w:tc>
      </w:tr>
    </w:tbl>
    <w:p w14:paraId="6AA6537B" w14:textId="77777777" w:rsidR="00314BF5" w:rsidRDefault="00314BF5">
      <w:pPr>
        <w:widowControl w:val="0"/>
        <w:spacing w:after="0" w:line="240" w:lineRule="auto"/>
        <w:rPr>
          <w:rStyle w:val="None"/>
          <w:rFonts w:ascii="Source Sans Pro" w:eastAsia="Source Sans Pro" w:hAnsi="Source Sans Pro" w:cs="Source Sans Pro"/>
          <w:sz w:val="24"/>
          <w:szCs w:val="24"/>
        </w:rPr>
      </w:pPr>
    </w:p>
    <w:p w14:paraId="09DD8A77" w14:textId="77777777" w:rsidR="00314BF5" w:rsidRDefault="00314BF5">
      <w:pPr>
        <w:rPr>
          <w:rStyle w:val="None"/>
          <w:rFonts w:ascii="Source Sans Pro" w:eastAsia="Source Sans Pro" w:hAnsi="Source Sans Pro" w:cs="Source Sans Pro"/>
          <w:sz w:val="24"/>
          <w:szCs w:val="24"/>
        </w:rPr>
      </w:pPr>
    </w:p>
    <w:p w14:paraId="535D9133" w14:textId="77777777" w:rsidR="00773262" w:rsidRDefault="00773262">
      <w:pPr>
        <w:rPr>
          <w:rStyle w:val="None"/>
          <w:rFonts w:ascii="Source Sans Pro" w:eastAsia="Source Sans Pro" w:hAnsi="Source Sans Pro" w:cs="Source Sans Pro"/>
          <w:sz w:val="24"/>
          <w:szCs w:val="24"/>
        </w:rPr>
      </w:pPr>
    </w:p>
    <w:p w14:paraId="34BBBBB3" w14:textId="77777777" w:rsidR="00773262" w:rsidRDefault="00773262">
      <w:pPr>
        <w:rPr>
          <w:rStyle w:val="None"/>
          <w:rFonts w:ascii="Source Sans Pro" w:eastAsia="Source Sans Pro" w:hAnsi="Source Sans Pro" w:cs="Source Sans Pro"/>
          <w:sz w:val="24"/>
          <w:szCs w:val="24"/>
        </w:rPr>
      </w:pPr>
    </w:p>
    <w:p w14:paraId="05059424" w14:textId="77777777" w:rsidR="00EB69A2" w:rsidRDefault="00EB69A2">
      <w:pPr>
        <w:rPr>
          <w:rStyle w:val="None"/>
          <w:rFonts w:ascii="Source Sans Pro" w:eastAsia="Source Sans Pro" w:hAnsi="Source Sans Pro" w:cs="Source Sans Pro"/>
          <w:sz w:val="24"/>
          <w:szCs w:val="24"/>
        </w:rPr>
      </w:pPr>
    </w:p>
    <w:p w14:paraId="1BDBA5E8" w14:textId="77777777" w:rsidR="00EB69A2" w:rsidRDefault="00EB69A2">
      <w:pPr>
        <w:rPr>
          <w:rStyle w:val="None"/>
          <w:rFonts w:ascii="Source Sans Pro" w:eastAsia="Source Sans Pro" w:hAnsi="Source Sans Pro" w:cs="Source Sans Pro"/>
          <w:sz w:val="24"/>
          <w:szCs w:val="24"/>
        </w:rPr>
      </w:pPr>
    </w:p>
    <w:p w14:paraId="13159AE6" w14:textId="79D72502" w:rsidR="00314BF5" w:rsidRDefault="00EB69A2">
      <w:pPr>
        <w:rPr>
          <w:rStyle w:val="None"/>
          <w:rFonts w:ascii="Source Sans Pro" w:eastAsia="Source Sans Pro" w:hAnsi="Source Sans Pro" w:cs="Source Sans Pro"/>
          <w:sz w:val="24"/>
          <w:szCs w:val="24"/>
        </w:rPr>
      </w:pPr>
      <w:r>
        <w:rPr>
          <w:rStyle w:val="None"/>
          <w:rFonts w:ascii="Source Sans Pro" w:eastAsia="Source Sans Pro" w:hAnsi="Source Sans Pro" w:cs="Source Sans Pro"/>
          <w:sz w:val="24"/>
          <w:szCs w:val="24"/>
        </w:rPr>
        <w:t>Lecture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90"/>
        <w:gridCol w:w="5872"/>
      </w:tblGrid>
      <w:tr w:rsidR="00314BF5" w14:paraId="1A3FDE5B" w14:textId="77777777">
        <w:trPr>
          <w:trHeight w:val="5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42EB7" w14:textId="77777777" w:rsidR="00314BF5" w:rsidRDefault="00E479DD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Verification method of learning outcomes: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0EF0E" w14:textId="69633843" w:rsidR="00314BF5" w:rsidRDefault="00E479DD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Written test</w:t>
            </w:r>
          </w:p>
        </w:tc>
      </w:tr>
      <w:tr w:rsidR="00314BF5" w14:paraId="1D926355" w14:textId="77777777">
        <w:trPr>
          <w:trHeight w:val="40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1FC9D" w14:textId="77777777" w:rsidR="00314BF5" w:rsidRDefault="00E479DD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Bibliography: 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4C550" w14:textId="77777777" w:rsidR="00314BF5" w:rsidRDefault="00E479DD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As in the general section</w:t>
            </w:r>
          </w:p>
        </w:tc>
      </w:tr>
      <w:tr w:rsidR="00314BF5" w14:paraId="796B9EBD" w14:textId="77777777">
        <w:trPr>
          <w:trHeight w:val="40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9827B" w14:textId="77777777" w:rsidR="00314BF5" w:rsidRDefault="00E479DD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Learning outcomes: 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F70EA" w14:textId="77777777" w:rsidR="00314BF5" w:rsidRDefault="00E479DD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As in the general section</w:t>
            </w:r>
          </w:p>
        </w:tc>
      </w:tr>
      <w:tr w:rsidR="00314BF5" w14:paraId="23B5D91F" w14:textId="77777777">
        <w:trPr>
          <w:trHeight w:val="61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5C1C8" w14:textId="77777777" w:rsidR="00314BF5" w:rsidRDefault="00E479DD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Topics: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7D8B8" w14:textId="77777777" w:rsidR="00314BF5" w:rsidRDefault="00E479DD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1. Introduction to EU Competition Law: </w:t>
            </w:r>
          </w:p>
          <w:p w14:paraId="3EA1D420" w14:textId="77777777" w:rsidR="00314BF5" w:rsidRDefault="00E479DD">
            <w:pPr>
              <w:numPr>
                <w:ilvl w:val="0"/>
                <w:numId w:val="6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Objectives and Scope</w:t>
            </w:r>
          </w:p>
          <w:p w14:paraId="61539BD3" w14:textId="77777777" w:rsidR="00314BF5" w:rsidRDefault="00314BF5">
            <w:pPr>
              <w:spacing w:after="0" w:line="240" w:lineRule="auto"/>
              <w:ind w:left="720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5F8DE370" w14:textId="77777777" w:rsidR="00314BF5" w:rsidRDefault="00E479DD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2. Article 101 TFEU: </w:t>
            </w:r>
          </w:p>
          <w:p w14:paraId="615B2E34" w14:textId="77777777" w:rsidR="00314BF5" w:rsidRDefault="00E479DD">
            <w:pPr>
              <w:numPr>
                <w:ilvl w:val="0"/>
                <w:numId w:val="7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Prohibition of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Anti-Competitive Agreements</w:t>
            </w:r>
          </w:p>
          <w:p w14:paraId="02087E06" w14:textId="77777777" w:rsidR="00314BF5" w:rsidRDefault="00314BF5">
            <w:pPr>
              <w:spacing w:after="0" w:line="240" w:lineRule="auto"/>
              <w:ind w:left="720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1AD76CB2" w14:textId="77777777" w:rsidR="00314BF5" w:rsidRDefault="00E479DD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3. Article 102 TFEU: </w:t>
            </w:r>
          </w:p>
          <w:p w14:paraId="5571AB34" w14:textId="77777777" w:rsidR="00314BF5" w:rsidRDefault="00E479DD">
            <w:pPr>
              <w:numPr>
                <w:ilvl w:val="0"/>
                <w:numId w:val="8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Abuse of Dominant Position</w:t>
            </w:r>
          </w:p>
          <w:p w14:paraId="04C1BFC3" w14:textId="77777777" w:rsidR="00314BF5" w:rsidRDefault="00314BF5">
            <w:pPr>
              <w:spacing w:after="0" w:line="240" w:lineRule="auto"/>
              <w:ind w:left="720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17E65576" w14:textId="77777777" w:rsidR="00314BF5" w:rsidRDefault="00E479DD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4. EU Merger Control: </w:t>
            </w:r>
          </w:p>
          <w:p w14:paraId="7A695D7D" w14:textId="77777777" w:rsidR="00314BF5" w:rsidRDefault="00E479DD">
            <w:pPr>
              <w:numPr>
                <w:ilvl w:val="0"/>
                <w:numId w:val="9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Regulations and </w:t>
            </w:r>
          </w:p>
          <w:p w14:paraId="37348B82" w14:textId="77777777" w:rsidR="00314BF5" w:rsidRDefault="00E479DD">
            <w:pPr>
              <w:numPr>
                <w:ilvl w:val="0"/>
                <w:numId w:val="9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Procedures</w:t>
            </w:r>
          </w:p>
          <w:p w14:paraId="75D8C0E2" w14:textId="77777777" w:rsidR="00314BF5" w:rsidRDefault="00314BF5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176C82F5" w14:textId="77777777" w:rsidR="00314BF5" w:rsidRDefault="00E479DD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5. Enforcement of Competition Rules: </w:t>
            </w:r>
          </w:p>
          <w:p w14:paraId="38E8B75D" w14:textId="77777777" w:rsidR="00314BF5" w:rsidRDefault="00E479DD">
            <w:pPr>
              <w:numPr>
                <w:ilvl w:val="0"/>
                <w:numId w:val="10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The Role of the European Commission and </w:t>
            </w:r>
          </w:p>
          <w:p w14:paraId="52CF33C4" w14:textId="77777777" w:rsidR="00314BF5" w:rsidRDefault="00E479DD">
            <w:pPr>
              <w:numPr>
                <w:ilvl w:val="0"/>
                <w:numId w:val="10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National Authorities</w:t>
            </w:r>
          </w:p>
          <w:p w14:paraId="7201BCE4" w14:textId="77777777" w:rsidR="00314BF5" w:rsidRDefault="00314BF5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47B87D19" w14:textId="77777777" w:rsidR="00314BF5" w:rsidRDefault="00E479DD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6. Case Studies: </w:t>
            </w:r>
          </w:p>
          <w:p w14:paraId="0BA4151B" w14:textId="77777777" w:rsidR="00314BF5" w:rsidRDefault="00E479DD">
            <w:pPr>
              <w:numPr>
                <w:ilvl w:val="0"/>
                <w:numId w:val="11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Landmark Decisions in EU Competition Law</w:t>
            </w:r>
          </w:p>
          <w:p w14:paraId="30CA6B4D" w14:textId="77777777" w:rsidR="00314BF5" w:rsidRDefault="00314BF5">
            <w:pPr>
              <w:spacing w:after="0" w:line="240" w:lineRule="auto"/>
              <w:ind w:left="720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60832F2E" w14:textId="77777777" w:rsidR="00314BF5" w:rsidRDefault="00314BF5">
            <w:pPr>
              <w:spacing w:after="0" w:line="240" w:lineRule="auto"/>
              <w:ind w:left="720"/>
            </w:pPr>
          </w:p>
        </w:tc>
      </w:tr>
      <w:tr w:rsidR="00314BF5" w14:paraId="34C31FD6" w14:textId="77777777">
        <w:trPr>
          <w:trHeight w:val="40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732D6" w14:textId="77777777" w:rsidR="00314BF5" w:rsidRDefault="00E479DD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Didactic methods: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5F48A" w14:textId="77777777" w:rsidR="00314BF5" w:rsidRDefault="00E479DD">
            <w:pPr>
              <w:shd w:val="clear" w:color="auto" w:fill="FFFFFF"/>
              <w:spacing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Conversation lecture, discussion, case study</w:t>
            </w:r>
          </w:p>
        </w:tc>
      </w:tr>
      <w:tr w:rsidR="00314BF5" w14:paraId="2C47DE9E" w14:textId="77777777">
        <w:trPr>
          <w:trHeight w:val="141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91615" w14:textId="77777777" w:rsidR="00314BF5" w:rsidRDefault="00E479DD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Methods and evaluation criteria: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0E617" w14:textId="77777777" w:rsidR="00314BF5" w:rsidRDefault="00E479DD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Written test conducted on the UMCS Virtual Campus or Microsoft Teams platform. Consists of single-choice test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questions. A score of 1 point is available for each single-choice test question. Credit from min. 50% of positive answers.</w:t>
            </w:r>
          </w:p>
        </w:tc>
      </w:tr>
    </w:tbl>
    <w:p w14:paraId="5C341A34" w14:textId="77777777" w:rsidR="00314BF5" w:rsidRDefault="00314BF5">
      <w:pPr>
        <w:widowControl w:val="0"/>
        <w:spacing w:line="240" w:lineRule="auto"/>
        <w:rPr>
          <w:rStyle w:val="None"/>
          <w:rFonts w:ascii="Source Sans Pro" w:eastAsia="Source Sans Pro" w:hAnsi="Source Sans Pro" w:cs="Source Sans Pro"/>
          <w:sz w:val="24"/>
          <w:szCs w:val="24"/>
        </w:rPr>
      </w:pPr>
    </w:p>
    <w:p w14:paraId="55DE2FAE" w14:textId="77777777" w:rsidR="00314BF5" w:rsidRDefault="00314BF5">
      <w:pPr>
        <w:jc w:val="both"/>
      </w:pPr>
    </w:p>
    <w:sectPr w:rsidR="00314BF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E9F7F" w14:textId="77777777" w:rsidR="00E479DD" w:rsidRDefault="00E479DD">
      <w:pPr>
        <w:spacing w:after="0" w:line="240" w:lineRule="auto"/>
      </w:pPr>
      <w:r>
        <w:separator/>
      </w:r>
    </w:p>
  </w:endnote>
  <w:endnote w:type="continuationSeparator" w:id="0">
    <w:p w14:paraId="080B144F" w14:textId="77777777" w:rsidR="00E479DD" w:rsidRDefault="00E4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B9CF" w14:textId="77777777" w:rsidR="00314BF5" w:rsidRDefault="00314BF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9DEC6" w14:textId="77777777" w:rsidR="00E479DD" w:rsidRDefault="00E479DD">
      <w:pPr>
        <w:spacing w:after="0" w:line="240" w:lineRule="auto"/>
      </w:pPr>
      <w:r>
        <w:separator/>
      </w:r>
    </w:p>
  </w:footnote>
  <w:footnote w:type="continuationSeparator" w:id="0">
    <w:p w14:paraId="549DD323" w14:textId="77777777" w:rsidR="00E479DD" w:rsidRDefault="00E47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1BF86" w14:textId="77777777" w:rsidR="00314BF5" w:rsidRDefault="00314BF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392"/>
    <w:multiLevelType w:val="hybridMultilevel"/>
    <w:tmpl w:val="AE8CCB98"/>
    <w:lvl w:ilvl="0" w:tplc="32CAD78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64A93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0240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E6BF4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DC99D6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6A262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02307E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A82D34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CA8AF0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936D5A"/>
    <w:multiLevelType w:val="hybridMultilevel"/>
    <w:tmpl w:val="BE823CC8"/>
    <w:lvl w:ilvl="0" w:tplc="4780641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D46858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0D4C8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690A4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569616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9C4DD4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CACFF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D6B194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9EA02A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B72DAE"/>
    <w:multiLevelType w:val="hybridMultilevel"/>
    <w:tmpl w:val="6650829C"/>
    <w:lvl w:ilvl="0" w:tplc="14601AAE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816E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0E558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D0716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F4CA1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52F7D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7C14DE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0C50A0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8A03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98074C"/>
    <w:multiLevelType w:val="hybridMultilevel"/>
    <w:tmpl w:val="1E10AD34"/>
    <w:lvl w:ilvl="0" w:tplc="4EA2F93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D04A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E8C864">
      <w:start w:val="1"/>
      <w:numFmt w:val="lowerRoman"/>
      <w:lvlText w:val="%3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22DD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62C4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8A70AE">
      <w:start w:val="1"/>
      <w:numFmt w:val="lowerRoman"/>
      <w:lvlText w:val="%6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BE32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02CC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0CD356">
      <w:start w:val="1"/>
      <w:numFmt w:val="lowerRoman"/>
      <w:lvlText w:val="%9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C702DE"/>
    <w:multiLevelType w:val="hybridMultilevel"/>
    <w:tmpl w:val="51D26070"/>
    <w:lvl w:ilvl="0" w:tplc="1AEC22D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54FD2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01EC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82E3E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D611E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C8D7C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60861E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40EA3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F4B09C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154402"/>
    <w:multiLevelType w:val="hybridMultilevel"/>
    <w:tmpl w:val="9154BBA8"/>
    <w:lvl w:ilvl="0" w:tplc="A5C057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40F9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6A155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1C05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E82C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18EA6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2881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723D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8B1D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322F2C"/>
    <w:multiLevelType w:val="hybridMultilevel"/>
    <w:tmpl w:val="EB9ECB72"/>
    <w:lvl w:ilvl="0" w:tplc="4C7236BE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D0999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4BFF6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C41334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92916A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CA1A6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86055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6A99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1090D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524620C"/>
    <w:multiLevelType w:val="hybridMultilevel"/>
    <w:tmpl w:val="830E2688"/>
    <w:lvl w:ilvl="0" w:tplc="B64E50F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4732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62AB7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0A0730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BCE534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AEA99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067F1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44E716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3479DC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55F3D84"/>
    <w:multiLevelType w:val="hybridMultilevel"/>
    <w:tmpl w:val="46F8FB5E"/>
    <w:lvl w:ilvl="0" w:tplc="E5C8F078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A6ABB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1690A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F073E0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AAA8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1E177E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C08CB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24A4F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54E9E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5DE3EDD"/>
    <w:multiLevelType w:val="hybridMultilevel"/>
    <w:tmpl w:val="E8DAB25A"/>
    <w:lvl w:ilvl="0" w:tplc="AB9CF56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70C8F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88D35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74EE4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20F2E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D89F9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F6C20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83676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A8A2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83F51DF"/>
    <w:multiLevelType w:val="hybridMultilevel"/>
    <w:tmpl w:val="3B4E7958"/>
    <w:lvl w:ilvl="0" w:tplc="83968CC8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E6ADF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3ADC28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9C70E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0682C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0354A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2A420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8E83D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A649B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F5"/>
    <w:rsid w:val="000801C5"/>
    <w:rsid w:val="000854DF"/>
    <w:rsid w:val="000E21AB"/>
    <w:rsid w:val="001C770C"/>
    <w:rsid w:val="002122A0"/>
    <w:rsid w:val="00235DD6"/>
    <w:rsid w:val="00240C79"/>
    <w:rsid w:val="00247A49"/>
    <w:rsid w:val="002C07B6"/>
    <w:rsid w:val="00314BF5"/>
    <w:rsid w:val="003263B4"/>
    <w:rsid w:val="003A50DB"/>
    <w:rsid w:val="003E2666"/>
    <w:rsid w:val="005002D9"/>
    <w:rsid w:val="005068B0"/>
    <w:rsid w:val="00621C55"/>
    <w:rsid w:val="00691F6D"/>
    <w:rsid w:val="006B244C"/>
    <w:rsid w:val="006C2777"/>
    <w:rsid w:val="00737E9E"/>
    <w:rsid w:val="0074183D"/>
    <w:rsid w:val="0076205C"/>
    <w:rsid w:val="00773262"/>
    <w:rsid w:val="007E5A14"/>
    <w:rsid w:val="00852AA8"/>
    <w:rsid w:val="00890F3F"/>
    <w:rsid w:val="008932C9"/>
    <w:rsid w:val="00965401"/>
    <w:rsid w:val="009C2C9D"/>
    <w:rsid w:val="009D41BF"/>
    <w:rsid w:val="00A430E5"/>
    <w:rsid w:val="00A759FB"/>
    <w:rsid w:val="00B76768"/>
    <w:rsid w:val="00BC1CC3"/>
    <w:rsid w:val="00C46063"/>
    <w:rsid w:val="00CB00A8"/>
    <w:rsid w:val="00CC08C1"/>
    <w:rsid w:val="00D30641"/>
    <w:rsid w:val="00DD75C7"/>
    <w:rsid w:val="00E00E76"/>
    <w:rsid w:val="00E131BD"/>
    <w:rsid w:val="00E4755B"/>
    <w:rsid w:val="00E479DD"/>
    <w:rsid w:val="00EB69A2"/>
    <w:rsid w:val="00EF58A5"/>
    <w:rsid w:val="00FE25C1"/>
    <w:rsid w:val="00FE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388D"/>
  <w15:docId w15:val="{C2065A76-85CA-4C90-8600-850779D4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styleId="Poprawka">
    <w:name w:val="Revision"/>
    <w:hidden/>
    <w:uiPriority w:val="99"/>
    <w:semiHidden/>
    <w:rsid w:val="00240C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C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C79"/>
    <w:rPr>
      <w:rFonts w:ascii="Calibri" w:hAnsi="Calibri"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C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C79"/>
    <w:rPr>
      <w:rFonts w:ascii="Calibri" w:hAnsi="Calibri" w:cs="Arial Unicode MS"/>
      <w:b/>
      <w:bCs/>
      <w:color w:val="000000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7E5A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E26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Bodio Joanna</cp:lastModifiedBy>
  <cp:revision>2</cp:revision>
  <dcterms:created xsi:type="dcterms:W3CDTF">2025-02-03T09:22:00Z</dcterms:created>
  <dcterms:modified xsi:type="dcterms:W3CDTF">2025-02-03T09:22:00Z</dcterms:modified>
</cp:coreProperties>
</file>