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CE7" w:rsidRDefault="00305C04" w:rsidP="001157CB">
      <w:pPr>
        <w:jc w:val="right"/>
        <w:rPr>
          <w:rStyle w:val="span9"/>
          <w:sz w:val="16"/>
          <w:szCs w:val="16"/>
        </w:rPr>
      </w:pPr>
      <w:bookmarkStart w:id="0" w:name="_GoBack"/>
      <w:bookmarkEnd w:id="0"/>
      <w:r>
        <w:rPr>
          <w:rStyle w:val="span9"/>
          <w:sz w:val="16"/>
          <w:szCs w:val="16"/>
        </w:rPr>
        <w:t>(opis w języku zajęć)</w:t>
      </w:r>
    </w:p>
    <w:tbl>
      <w:tblPr>
        <w:tblStyle w:val="TableNormal"/>
        <w:tblW w:w="10551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59"/>
        <w:gridCol w:w="8692"/>
      </w:tblGrid>
      <w:tr w:rsidR="00887CE7" w:rsidRPr="00BA2977">
        <w:trPr>
          <w:trHeight w:val="23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CE7" w:rsidRDefault="00305C04">
            <w:pPr>
              <w:spacing w:after="0" w:line="240" w:lineRule="auto"/>
            </w:pPr>
            <w:r>
              <w:rPr>
                <w:rStyle w:val="span9"/>
                <w:rFonts w:ascii="Arial" w:hAnsi="Arial"/>
                <w:b/>
                <w:bCs/>
                <w:sz w:val="20"/>
                <w:szCs w:val="20"/>
                <w:lang w:val="en-US"/>
              </w:rPr>
              <w:t>Module name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7CE7" w:rsidRPr="00BA2977" w:rsidRDefault="00231135">
            <w:pPr>
              <w:spacing w:after="0" w:line="240" w:lineRule="auto"/>
              <w:rPr>
                <w:b/>
                <w:lang w:val="en-US"/>
              </w:rPr>
            </w:pPr>
            <w:r w:rsidRPr="00BA2977">
              <w:rPr>
                <w:b/>
                <w:lang w:val="en-US"/>
              </w:rPr>
              <w:t xml:space="preserve">Comparative Municipal Tasks – in the Light of the Regulation of the </w:t>
            </w:r>
            <w:r w:rsidR="001C1211" w:rsidRPr="00BA2977">
              <w:rPr>
                <w:b/>
                <w:lang w:val="en-US"/>
              </w:rPr>
              <w:t>European Charter of Local Self-Government</w:t>
            </w:r>
          </w:p>
        </w:tc>
      </w:tr>
      <w:tr w:rsidR="00887CE7">
        <w:trPr>
          <w:trHeight w:val="23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CE7" w:rsidRDefault="00305C04">
            <w:pPr>
              <w:spacing w:after="0" w:line="240" w:lineRule="auto"/>
            </w:pP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Studies cycle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7CE7" w:rsidRDefault="00305C04">
            <w:pPr>
              <w:spacing w:after="0" w:line="240" w:lineRule="auto"/>
            </w:pPr>
            <w:r>
              <w:rPr>
                <w:rStyle w:val="span9"/>
                <w:rFonts w:ascii="Arial" w:hAnsi="Arial"/>
                <w:b/>
                <w:bCs/>
                <w:sz w:val="20"/>
                <w:szCs w:val="20"/>
              </w:rPr>
              <w:t>1</w:t>
            </w:r>
          </w:p>
        </w:tc>
      </w:tr>
      <w:tr w:rsidR="00887CE7">
        <w:trPr>
          <w:trHeight w:val="23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CE7" w:rsidRDefault="00305C04">
            <w:pPr>
              <w:spacing w:after="0" w:line="240" w:lineRule="auto"/>
            </w:pPr>
            <w:proofErr w:type="spellStart"/>
            <w:r>
              <w:rPr>
                <w:rStyle w:val="span9"/>
                <w:rFonts w:ascii="Arial" w:hAnsi="Arial"/>
                <w:sz w:val="20"/>
                <w:szCs w:val="20"/>
              </w:rPr>
              <w:t>Semester</w:t>
            </w:r>
            <w:proofErr w:type="spellEnd"/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7CE7" w:rsidRDefault="00BA2977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(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winter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semester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</w:p>
        </w:tc>
      </w:tr>
      <w:tr w:rsidR="00887CE7">
        <w:trPr>
          <w:trHeight w:val="23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CE7" w:rsidRDefault="00305C04">
            <w:pPr>
              <w:spacing w:after="0" w:line="240" w:lineRule="auto"/>
            </w:pPr>
            <w:r>
              <w:rPr>
                <w:rStyle w:val="span9"/>
                <w:rFonts w:ascii="Arial" w:hAnsi="Arial"/>
                <w:sz w:val="20"/>
                <w:szCs w:val="20"/>
                <w:lang w:val="pt-PT"/>
              </w:rPr>
              <w:t>ECTS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7CE7" w:rsidRDefault="00305C04">
            <w:pPr>
              <w:spacing w:after="0" w:line="240" w:lineRule="auto"/>
            </w:pPr>
            <w:r>
              <w:rPr>
                <w:rStyle w:val="span9"/>
                <w:rFonts w:ascii="Arial" w:hAnsi="Arial"/>
                <w:b/>
                <w:bCs/>
                <w:sz w:val="20"/>
                <w:szCs w:val="20"/>
              </w:rPr>
              <w:t>4</w:t>
            </w:r>
          </w:p>
        </w:tc>
      </w:tr>
      <w:tr w:rsidR="00887CE7" w:rsidRPr="00BA2977">
        <w:trPr>
          <w:trHeight w:val="96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CE7" w:rsidRDefault="00305C04">
            <w:pPr>
              <w:spacing w:after="0" w:line="240" w:lineRule="auto"/>
            </w:pP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ECTS points hour equivalents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7CE7" w:rsidRPr="00BA2977" w:rsidRDefault="00305C04">
            <w:pPr>
              <w:spacing w:after="0" w:line="240" w:lineRule="auto"/>
              <w:rPr>
                <w:rStyle w:val="span9"/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Style w:val="span9"/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Contact hours (work with an academic teacher): </w:t>
            </w:r>
            <w:r w:rsidR="00DF009E">
              <w:rPr>
                <w:rStyle w:val="span9"/>
                <w:rFonts w:ascii="Arial" w:hAnsi="Arial"/>
                <w:b/>
                <w:bCs/>
                <w:sz w:val="20"/>
                <w:szCs w:val="20"/>
                <w:lang w:val="en-US"/>
              </w:rPr>
              <w:t>15</w:t>
            </w:r>
          </w:p>
          <w:p w:rsidR="00887CE7" w:rsidRPr="00BA2977" w:rsidRDefault="00305C04">
            <w:pPr>
              <w:spacing w:after="0" w:line="240" w:lineRule="auto"/>
              <w:rPr>
                <w:rStyle w:val="span9"/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Style w:val="span9"/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Total number of hours with an academic teacher: </w:t>
            </w:r>
            <w:r w:rsidR="00DF009E">
              <w:rPr>
                <w:rStyle w:val="span9"/>
                <w:rFonts w:ascii="Arial" w:hAnsi="Arial"/>
                <w:b/>
                <w:bCs/>
                <w:sz w:val="20"/>
                <w:szCs w:val="20"/>
                <w:lang w:val="en-US"/>
              </w:rPr>
              <w:t>15</w:t>
            </w:r>
            <w:r>
              <w:rPr>
                <w:rStyle w:val="span9"/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887CE7" w:rsidRPr="00BA2977" w:rsidRDefault="00305C04">
            <w:pPr>
              <w:spacing w:after="0" w:line="240" w:lineRule="auto"/>
              <w:rPr>
                <w:lang w:val="en-US"/>
              </w:rPr>
            </w:pPr>
            <w:r>
              <w:rPr>
                <w:rStyle w:val="span9"/>
                <w:rFonts w:ascii="Arial" w:hAnsi="Arial"/>
                <w:b/>
                <w:bCs/>
                <w:sz w:val="20"/>
                <w:szCs w:val="20"/>
                <w:lang w:val="en-US"/>
              </w:rPr>
              <w:t>Total number of ECTS points for the module: 4</w:t>
            </w:r>
          </w:p>
        </w:tc>
      </w:tr>
      <w:tr w:rsidR="00887CE7">
        <w:trPr>
          <w:trHeight w:val="25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CE7" w:rsidRDefault="00305C04">
            <w:pPr>
              <w:spacing w:after="0" w:line="240" w:lineRule="auto"/>
            </w:pP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7CE7" w:rsidRDefault="00887CE7"/>
        </w:tc>
      </w:tr>
      <w:tr w:rsidR="00887CE7">
        <w:trPr>
          <w:trHeight w:val="45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CE7" w:rsidRDefault="00305C04">
            <w:pPr>
              <w:spacing w:after="0" w:line="240" w:lineRule="auto"/>
            </w:pP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7CE7" w:rsidRDefault="00305C04">
            <w:pPr>
              <w:spacing w:after="0" w:line="240" w:lineRule="auto"/>
            </w:pP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English</w:t>
            </w:r>
          </w:p>
        </w:tc>
      </w:tr>
      <w:tr w:rsidR="00887CE7" w:rsidRPr="00BA2977">
        <w:trPr>
          <w:trHeight w:val="199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CE7" w:rsidRDefault="00305C04">
            <w:pPr>
              <w:spacing w:after="0" w:line="240" w:lineRule="auto"/>
            </w:pP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Short description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7CE7" w:rsidRPr="00BA2977" w:rsidRDefault="00305C04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 xml:space="preserve">The module covers the knowledge in the area </w:t>
            </w:r>
            <w:r w:rsidR="001157CB">
              <w:rPr>
                <w:rStyle w:val="span9"/>
                <w:rFonts w:ascii="Arial" w:hAnsi="Arial"/>
                <w:sz w:val="20"/>
                <w:szCs w:val="20"/>
                <w:lang w:val="en-US"/>
              </w:rPr>
              <w:t xml:space="preserve">of the comparative municipal law, the public services provided by the municipal units especially in the </w:t>
            </w:r>
            <w:r w:rsidR="001C1211"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Member States of the Council of Europe (</w:t>
            </w:r>
            <w:proofErr w:type="spellStart"/>
            <w:r w:rsidR="001C1211"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CoE</w:t>
            </w:r>
            <w:proofErr w:type="spellEnd"/>
            <w:r w:rsidR="001C1211"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)</w:t>
            </w: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 xml:space="preserve">. It includes the </w:t>
            </w:r>
            <w:r w:rsidR="001C1211">
              <w:rPr>
                <w:rStyle w:val="span9"/>
                <w:rFonts w:ascii="Arial" w:hAnsi="Arial"/>
                <w:sz w:val="20"/>
                <w:szCs w:val="20"/>
                <w:lang w:val="en-US"/>
              </w:rPr>
              <w:t xml:space="preserve">major analysis of the regulation of the European Charter of Local Self-Government on the municipal tasks. The </w:t>
            </w: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 xml:space="preserve">characteristics of the </w:t>
            </w:r>
            <w:r w:rsidR="001157CB"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public services</w:t>
            </w: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 xml:space="preserve"> and operating model of </w:t>
            </w:r>
            <w:r w:rsidR="001157CB"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municipal tasks in the field of public services</w:t>
            </w:r>
            <w:r w:rsidR="001C1211">
              <w:rPr>
                <w:rStyle w:val="span9"/>
                <w:rFonts w:ascii="Arial" w:hAnsi="Arial"/>
                <w:sz w:val="20"/>
                <w:szCs w:val="20"/>
                <w:lang w:val="en-US"/>
              </w:rPr>
              <w:t xml:space="preserve"> is reviewed by the monographic lecture.</w:t>
            </w: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 xml:space="preserve"> It presents the review of the fundamental terms and institutions </w:t>
            </w:r>
            <w:r w:rsidR="001157CB">
              <w:rPr>
                <w:rStyle w:val="span9"/>
                <w:rFonts w:ascii="Arial" w:hAnsi="Arial"/>
                <w:sz w:val="20"/>
                <w:szCs w:val="20"/>
                <w:lang w:val="en-US"/>
              </w:rPr>
              <w:t xml:space="preserve">of municipal law, the role of the European Union in the field of local public services, and the major service fields. The course will </w:t>
            </w:r>
            <w:proofErr w:type="spellStart"/>
            <w:r w:rsidR="001157CB"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analyse</w:t>
            </w:r>
            <w:proofErr w:type="spellEnd"/>
            <w:r w:rsidR="001157CB">
              <w:rPr>
                <w:rStyle w:val="span9"/>
                <w:rFonts w:ascii="Arial" w:hAnsi="Arial"/>
                <w:sz w:val="20"/>
                <w:szCs w:val="20"/>
                <w:lang w:val="en-US"/>
              </w:rPr>
              <w:t xml:space="preserve"> the provision of the local welfare services, education services, cultural and sport services and the management of the local public utilities and local public transport.</w:t>
            </w: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 xml:space="preserve"> The module develops the ability of comparative analysis of different law systems and distinct legal solutions, mutual relations of the authorities, concepts of </w:t>
            </w:r>
            <w:r w:rsidR="001157CB"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municipa</w:t>
            </w: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l</w:t>
            </w:r>
            <w:r w:rsidR="001157CB">
              <w:rPr>
                <w:rStyle w:val="span9"/>
                <w:rFonts w:ascii="Arial" w:hAnsi="Arial"/>
                <w:sz w:val="20"/>
                <w:szCs w:val="20"/>
                <w:lang w:val="en-US"/>
              </w:rPr>
              <w:t xml:space="preserve"> units, public service provision</w:t>
            </w: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 xml:space="preserve"> and administrative law doctrine.</w:t>
            </w:r>
          </w:p>
        </w:tc>
      </w:tr>
      <w:tr w:rsidR="00887CE7" w:rsidRPr="00BA2977">
        <w:trPr>
          <w:trHeight w:val="246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CE7" w:rsidRDefault="00305C04">
            <w:pPr>
              <w:spacing w:after="0" w:line="240" w:lineRule="auto"/>
            </w:pP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Full description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7CE7" w:rsidRPr="00BA2977" w:rsidRDefault="00305C04">
            <w:pPr>
              <w:spacing w:after="0" w:line="240" w:lineRule="auto"/>
              <w:rPr>
                <w:rStyle w:val="span9"/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Style w:val="span9"/>
                <w:rFonts w:ascii="Arial" w:hAnsi="Arial"/>
                <w:b/>
                <w:bCs/>
                <w:sz w:val="20"/>
                <w:szCs w:val="20"/>
                <w:lang w:val="en-US"/>
              </w:rPr>
              <w:t>The class covers the following issues:</w:t>
            </w:r>
            <w:r>
              <w:rPr>
                <w:rStyle w:val="span9"/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br/>
            </w:r>
          </w:p>
          <w:p w:rsidR="001157CB" w:rsidRDefault="001157CB" w:rsidP="00115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8" w:line="240" w:lineRule="auto"/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</w:pPr>
            <w:r w:rsidRPr="00E84710"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  <w:t xml:space="preserve">1. </w:t>
            </w:r>
            <w:r w:rsidR="001C1211"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  <w:t xml:space="preserve">Introduction I. </w:t>
            </w:r>
            <w:r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  <w:t>General theory of the public services</w:t>
            </w:r>
          </w:p>
          <w:p w:rsidR="001C1211" w:rsidRDefault="001C1211" w:rsidP="00115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8" w:line="240" w:lineRule="auto"/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  <w:t>2. Introduction II. Analysis of the regulations of European Charter of Local Self-Governments</w:t>
            </w:r>
          </w:p>
          <w:p w:rsidR="001C1211" w:rsidRPr="001C1211" w:rsidRDefault="001C1211" w:rsidP="00115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8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hu-HU"/>
              </w:rPr>
            </w:pPr>
            <w:r w:rsidRPr="00B96F16">
              <w:rPr>
                <w:rFonts w:ascii="Arial" w:eastAsia="Times New Roman" w:hAnsi="Arial" w:cs="Arial"/>
                <w:sz w:val="19"/>
                <w:szCs w:val="19"/>
                <w:lang w:val="en-US" w:eastAsia="hu-HU"/>
              </w:rPr>
              <w:t xml:space="preserve">3. Introduction III. </w:t>
            </w:r>
            <w:r w:rsidRPr="001C1211">
              <w:rPr>
                <w:rFonts w:ascii="Arial" w:eastAsia="Times New Roman" w:hAnsi="Arial" w:cs="Arial"/>
                <w:sz w:val="19"/>
                <w:szCs w:val="19"/>
                <w:lang w:val="en-US" w:eastAsia="hu-HU"/>
              </w:rPr>
              <w:t>Municipal tasks and</w:t>
            </w:r>
            <w:r>
              <w:rPr>
                <w:rFonts w:ascii="Arial" w:eastAsia="Times New Roman" w:hAnsi="Arial" w:cs="Arial"/>
                <w:sz w:val="19"/>
                <w:szCs w:val="19"/>
                <w:lang w:val="en-US" w:eastAsia="hu-HU"/>
              </w:rPr>
              <w:t xml:space="preserve"> the </w:t>
            </w:r>
            <w:r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  <w:t>European Charter of Local Self-Governments</w:t>
            </w:r>
          </w:p>
          <w:p w:rsidR="001157CB" w:rsidRPr="001C1211" w:rsidRDefault="001C1211" w:rsidP="00115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8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hu-HU"/>
              </w:rPr>
            </w:pPr>
            <w:r w:rsidRPr="001C1211">
              <w:rPr>
                <w:rFonts w:ascii="Arial" w:eastAsia="Times New Roman" w:hAnsi="Arial" w:cs="Arial"/>
                <w:sz w:val="19"/>
                <w:szCs w:val="19"/>
                <w:lang w:val="en-US" w:eastAsia="hu-HU"/>
              </w:rPr>
              <w:t>4</w:t>
            </w:r>
            <w:r w:rsidR="001157CB" w:rsidRPr="001C1211">
              <w:rPr>
                <w:rFonts w:ascii="Arial" w:eastAsia="Times New Roman" w:hAnsi="Arial" w:cs="Arial"/>
                <w:sz w:val="19"/>
                <w:szCs w:val="19"/>
                <w:lang w:val="en-US" w:eastAsia="hu-HU"/>
              </w:rPr>
              <w:t xml:space="preserve">. Municipal models in </w:t>
            </w:r>
            <w:r w:rsidRPr="001C1211">
              <w:rPr>
                <w:rFonts w:ascii="Arial" w:eastAsia="Times New Roman" w:hAnsi="Arial" w:cs="Arial"/>
                <w:sz w:val="19"/>
                <w:szCs w:val="19"/>
                <w:lang w:val="en-US" w:eastAsia="hu-HU"/>
              </w:rPr>
              <w:t>Europe: Anglo-Saxon model and th</w:t>
            </w:r>
            <w:r>
              <w:rPr>
                <w:rFonts w:ascii="Arial" w:eastAsia="Times New Roman" w:hAnsi="Arial" w:cs="Arial"/>
                <w:sz w:val="19"/>
                <w:szCs w:val="19"/>
                <w:lang w:val="en-US" w:eastAsia="hu-HU"/>
              </w:rPr>
              <w:t xml:space="preserve">e French model </w:t>
            </w:r>
          </w:p>
          <w:p w:rsidR="001C1211" w:rsidRPr="001C1211" w:rsidRDefault="001C1211" w:rsidP="00115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8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hu-HU"/>
              </w:rPr>
            </w:pPr>
            <w:r w:rsidRPr="001C1211">
              <w:rPr>
                <w:rFonts w:ascii="Arial" w:eastAsia="Times New Roman" w:hAnsi="Arial" w:cs="Arial"/>
                <w:sz w:val="19"/>
                <w:szCs w:val="19"/>
                <w:lang w:val="en-US" w:eastAsia="hu-HU"/>
              </w:rPr>
              <w:t>5. Municipal models in Europe: German model and S</w:t>
            </w:r>
            <w:r>
              <w:rPr>
                <w:rFonts w:ascii="Arial" w:eastAsia="Times New Roman" w:hAnsi="Arial" w:cs="Arial"/>
                <w:sz w:val="19"/>
                <w:szCs w:val="19"/>
                <w:lang w:val="en-US" w:eastAsia="hu-HU"/>
              </w:rPr>
              <w:t xml:space="preserve">candinavian model </w:t>
            </w:r>
          </w:p>
          <w:p w:rsidR="001157CB" w:rsidRDefault="001C1211" w:rsidP="00115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8" w:line="240" w:lineRule="auto"/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  <w:t>6</w:t>
            </w:r>
            <w:r w:rsidR="001157CB" w:rsidRPr="00E84710"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  <w:t xml:space="preserve">. </w:t>
            </w:r>
            <w:r w:rsidR="001157CB"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  <w:t>Municipal public utilities 1 (municipal public spaces and roads, municipal public transport)</w:t>
            </w:r>
          </w:p>
          <w:p w:rsidR="001157CB" w:rsidRDefault="001C1211" w:rsidP="00115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8" w:line="240" w:lineRule="auto"/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  <w:t>7</w:t>
            </w:r>
            <w:r w:rsidR="001157CB"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  <w:t>. Municipal public utilities 2 (waste management, municipal water and sewage services, district-heating) and municipal housing</w:t>
            </w:r>
          </w:p>
          <w:p w:rsidR="001157CB" w:rsidRDefault="001C1211" w:rsidP="00115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8" w:line="240" w:lineRule="auto"/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  <w:t>8</w:t>
            </w:r>
            <w:r w:rsidR="001157CB"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  <w:t>. Municipal education services</w:t>
            </w:r>
          </w:p>
          <w:p w:rsidR="001157CB" w:rsidRDefault="001C1211" w:rsidP="00115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8" w:line="240" w:lineRule="auto"/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  <w:t>9</w:t>
            </w:r>
            <w:r w:rsidR="001157CB"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  <w:t xml:space="preserve">. Municipal culture and sport services </w:t>
            </w:r>
          </w:p>
          <w:p w:rsidR="001157CB" w:rsidRDefault="001C1211" w:rsidP="00115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8" w:line="240" w:lineRule="auto"/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  <w:t>10</w:t>
            </w:r>
            <w:r w:rsidR="001157CB" w:rsidRPr="007B6F69"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  <w:t xml:space="preserve">. Municipal health care and </w:t>
            </w:r>
            <w:r w:rsidR="001157CB"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  <w:t>m</w:t>
            </w:r>
            <w:r w:rsidR="001157CB" w:rsidRPr="007B6F69"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  <w:t>unicipal social services</w:t>
            </w:r>
          </w:p>
          <w:p w:rsidR="001157CB" w:rsidRPr="007B6F69" w:rsidRDefault="001C1211" w:rsidP="00115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8" w:line="240" w:lineRule="auto"/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  <w:t>11</w:t>
            </w:r>
            <w:r w:rsidR="001157CB"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  <w:t xml:space="preserve">. Municipal development </w:t>
            </w:r>
          </w:p>
          <w:p w:rsidR="001157CB" w:rsidRDefault="001C1211" w:rsidP="00115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8" w:line="240" w:lineRule="auto"/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  <w:t xml:space="preserve">12. </w:t>
            </w:r>
            <w:r w:rsidR="001157CB"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  <w:t xml:space="preserve">Municipal policing </w:t>
            </w:r>
          </w:p>
          <w:p w:rsidR="00887CE7" w:rsidRPr="001157CB" w:rsidRDefault="001157CB" w:rsidP="00115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8" w:line="240" w:lineRule="auto"/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  <w:t>1</w:t>
            </w:r>
            <w:r w:rsidR="001C1211"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  <w:t>3</w:t>
            </w:r>
            <w:r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  <w:t xml:space="preserve">. Models of municipal services </w:t>
            </w:r>
          </w:p>
        </w:tc>
      </w:tr>
      <w:tr w:rsidR="00887CE7">
        <w:trPr>
          <w:trHeight w:val="89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CE7" w:rsidRDefault="00305C04">
            <w:pPr>
              <w:spacing w:after="0" w:line="240" w:lineRule="auto"/>
            </w:pP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Reading list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7CE7" w:rsidRPr="00677210" w:rsidRDefault="001157CB" w:rsidP="0067721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bookmarkStart w:id="1" w:name="_Hlk28428324"/>
            <w:r w:rsidRPr="00010BC0"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  <w:t xml:space="preserve">Hoffman, </w:t>
            </w:r>
            <w:proofErr w:type="spellStart"/>
            <w:r w:rsidRPr="00010BC0"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  <w:t>István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  <w:t xml:space="preserve"> (2017)</w:t>
            </w:r>
            <w:r w:rsidRPr="00010BC0"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  <w:t xml:space="preserve">: </w:t>
            </w:r>
            <w:r w:rsidRPr="00010BC0">
              <w:rPr>
                <w:rFonts w:ascii="Arial" w:hAnsi="Arial" w:cs="Arial"/>
                <w:sz w:val="19"/>
                <w:szCs w:val="19"/>
              </w:rPr>
              <w:t>Challenges of the comparative municipal law – in the light of the comparison of the municipal tasks</w:t>
            </w:r>
            <w:r>
              <w:rPr>
                <w:rStyle w:val="span9"/>
                <w:rFonts w:ascii="Arial" w:hAnsi="Arial"/>
                <w:sz w:val="20"/>
                <w:szCs w:val="20"/>
              </w:rPr>
              <w:t xml:space="preserve">. </w:t>
            </w:r>
            <w:r w:rsidR="00677210" w:rsidRPr="00677210">
              <w:rPr>
                <w:rStyle w:val="span9"/>
                <w:rFonts w:ascii="Arial" w:hAnsi="Arial"/>
                <w:sz w:val="20"/>
                <w:szCs w:val="20"/>
              </w:rPr>
              <w:t xml:space="preserve">In: </w:t>
            </w:r>
            <w:proofErr w:type="spellStart"/>
            <w:r w:rsidR="00677210" w:rsidRPr="00677210">
              <w:rPr>
                <w:rStyle w:val="span9"/>
                <w:rFonts w:ascii="Arial" w:hAnsi="Arial"/>
                <w:sz w:val="20"/>
                <w:szCs w:val="20"/>
              </w:rPr>
              <w:t>Hin</w:t>
            </w:r>
            <w:r w:rsidR="00677210" w:rsidRPr="00677210">
              <w:rPr>
                <w:rStyle w:val="span9"/>
                <w:sz w:val="20"/>
                <w:szCs w:val="20"/>
              </w:rPr>
              <w:t>ţ</w:t>
            </w:r>
            <w:r w:rsidR="00677210" w:rsidRPr="00677210">
              <w:rPr>
                <w:rStyle w:val="span9"/>
                <w:rFonts w:ascii="Arial" w:hAnsi="Arial"/>
                <w:sz w:val="20"/>
                <w:szCs w:val="20"/>
              </w:rPr>
              <w:t>ea</w:t>
            </w:r>
            <w:proofErr w:type="spellEnd"/>
            <w:r w:rsidR="00677210" w:rsidRPr="00677210">
              <w:rPr>
                <w:rStyle w:val="span9"/>
                <w:rFonts w:ascii="Arial" w:hAnsi="Arial"/>
                <w:sz w:val="20"/>
                <w:szCs w:val="20"/>
              </w:rPr>
              <w:t>, Cristina M., Moldovan, Bogdan A., Radu, Bianca V., Suciu, Raluca M. (eds.): Transylvanian International Conference in Public Administration (Cluj-Napoca, Romania, 2-4 November 2017) Cluj-</w:t>
            </w:r>
            <w:proofErr w:type="spellStart"/>
            <w:r w:rsidR="00677210" w:rsidRPr="00677210">
              <w:rPr>
                <w:rStyle w:val="span9"/>
                <w:rFonts w:ascii="Arial" w:hAnsi="Arial"/>
                <w:sz w:val="20"/>
                <w:szCs w:val="20"/>
              </w:rPr>
              <w:t>Mapoca</w:t>
            </w:r>
            <w:proofErr w:type="spellEnd"/>
            <w:r w:rsidR="00677210" w:rsidRPr="00677210">
              <w:rPr>
                <w:rStyle w:val="span9"/>
                <w:rFonts w:ascii="Arial" w:hAnsi="Arial"/>
                <w:sz w:val="20"/>
                <w:szCs w:val="20"/>
              </w:rPr>
              <w:t>, Accent Publisher</w:t>
            </w:r>
            <w:r w:rsidR="00677210">
              <w:rPr>
                <w:rStyle w:val="span9"/>
                <w:rFonts w:ascii="Arial" w:hAnsi="Arial"/>
                <w:sz w:val="20"/>
                <w:szCs w:val="20"/>
              </w:rPr>
              <w:t>, 2017, pp. 206-219</w:t>
            </w:r>
            <w:bookmarkEnd w:id="1"/>
            <w:r w:rsidR="00677210">
              <w:rPr>
                <w:rStyle w:val="span9"/>
                <w:rFonts w:ascii="Arial" w:hAnsi="Arial"/>
                <w:sz w:val="20"/>
                <w:szCs w:val="20"/>
              </w:rPr>
              <w:t xml:space="preserve"> (</w:t>
            </w:r>
            <w:hyperlink r:id="rId7" w:history="1">
              <w:r w:rsidR="00677210">
                <w:rPr>
                  <w:rStyle w:val="Hipercze"/>
                </w:rPr>
                <w:t>http://www.apubb.ro/intconf/wp-content/uploads/2016/04/Transylvanian-Conference-in-PA-2017.pdf</w:t>
              </w:r>
            </w:hyperlink>
            <w:r w:rsidR="00677210">
              <w:t xml:space="preserve">) </w:t>
            </w:r>
          </w:p>
          <w:p w:rsidR="00677210" w:rsidRPr="00677210" w:rsidRDefault="00677210" w:rsidP="0067721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10BC0">
              <w:rPr>
                <w:rFonts w:ascii="Arial" w:hAnsi="Arial" w:cs="Arial"/>
                <w:sz w:val="19"/>
                <w:szCs w:val="19"/>
                <w:lang w:val="en-GB"/>
              </w:rPr>
              <w:t xml:space="preserve">Hoffman, </w:t>
            </w:r>
            <w:proofErr w:type="spellStart"/>
            <w:r w:rsidRPr="00010BC0">
              <w:rPr>
                <w:rFonts w:ascii="Arial" w:hAnsi="Arial" w:cs="Arial"/>
                <w:sz w:val="19"/>
                <w:szCs w:val="19"/>
                <w:lang w:val="en-GB"/>
              </w:rPr>
              <w:t>István</w:t>
            </w:r>
            <w:proofErr w:type="spellEnd"/>
            <w:r w:rsidRPr="00010BC0">
              <w:rPr>
                <w:rFonts w:ascii="Arial" w:hAnsi="Arial" w:cs="Arial"/>
                <w:sz w:val="19"/>
                <w:szCs w:val="19"/>
                <w:lang w:val="en-GB"/>
              </w:rPr>
              <w:t xml:space="preserve"> &amp; Fazekas, </w:t>
            </w:r>
            <w:proofErr w:type="spellStart"/>
            <w:r w:rsidRPr="00010BC0">
              <w:rPr>
                <w:rFonts w:ascii="Arial" w:hAnsi="Arial" w:cs="Arial"/>
                <w:sz w:val="19"/>
                <w:szCs w:val="19"/>
                <w:lang w:val="en-GB"/>
              </w:rPr>
              <w:t>János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GB"/>
              </w:rPr>
              <w:t xml:space="preserve"> (2017)</w:t>
            </w:r>
            <w:r w:rsidRPr="00010BC0">
              <w:rPr>
                <w:rFonts w:ascii="Arial" w:hAnsi="Arial" w:cs="Arial"/>
                <w:sz w:val="19"/>
                <w:szCs w:val="19"/>
                <w:lang w:val="en-GB"/>
              </w:rPr>
              <w:t xml:space="preserve">: </w:t>
            </w:r>
            <w:r w:rsidRPr="00010BC0">
              <w:rPr>
                <w:rFonts w:ascii="Arial" w:hAnsi="Arial" w:cs="Arial"/>
                <w:sz w:val="19"/>
                <w:szCs w:val="19"/>
              </w:rPr>
              <w:t>The Nature of the “Quasi” – Municipal Policing in Hungary with International and Historical Outlook</w:t>
            </w:r>
            <w:r>
              <w:rPr>
                <w:rFonts w:ascii="Arial" w:hAnsi="Arial" w:cs="Arial"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i/>
                <w:sz w:val="19"/>
                <w:szCs w:val="19"/>
              </w:rPr>
              <w:t xml:space="preserve">Lex </w:t>
            </w:r>
            <w:proofErr w:type="spellStart"/>
            <w:r>
              <w:rPr>
                <w:rFonts w:ascii="Arial" w:hAnsi="Arial" w:cs="Arial"/>
                <w:i/>
                <w:sz w:val="19"/>
                <w:szCs w:val="19"/>
              </w:rPr>
              <w:t>localis</w:t>
            </w:r>
            <w:proofErr w:type="spellEnd"/>
            <w:r>
              <w:rPr>
                <w:rFonts w:ascii="Arial" w:hAnsi="Arial" w:cs="Arial"/>
                <w:i/>
                <w:sz w:val="19"/>
                <w:szCs w:val="19"/>
              </w:rPr>
              <w:t xml:space="preserve"> – Journal of Local Self-Government </w:t>
            </w:r>
            <w:r>
              <w:rPr>
                <w:rFonts w:ascii="Arial" w:hAnsi="Arial" w:cs="Arial"/>
                <w:sz w:val="19"/>
                <w:szCs w:val="19"/>
              </w:rPr>
              <w:t>Vol. 15. No. 3. pp. 541-558.</w:t>
            </w:r>
          </w:p>
          <w:p w:rsidR="00AF498F" w:rsidRPr="00AF498F" w:rsidRDefault="00677210" w:rsidP="0067721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  <w:t xml:space="preserve">Hoffman,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  <w:t>István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  <w:t xml:space="preserve"> (2013): Some thoughts on the main European models of municipal health services. </w:t>
            </w:r>
            <w:r>
              <w:rPr>
                <w:rFonts w:ascii="Arial" w:hAnsi="Arial" w:cs="Arial"/>
                <w:i/>
                <w:sz w:val="19"/>
                <w:szCs w:val="19"/>
              </w:rPr>
              <w:t xml:space="preserve">Lex </w:t>
            </w:r>
            <w:proofErr w:type="spellStart"/>
            <w:r>
              <w:rPr>
                <w:rFonts w:ascii="Arial" w:hAnsi="Arial" w:cs="Arial"/>
                <w:i/>
                <w:sz w:val="19"/>
                <w:szCs w:val="19"/>
              </w:rPr>
              <w:t>localis</w:t>
            </w:r>
            <w:proofErr w:type="spellEnd"/>
            <w:r>
              <w:rPr>
                <w:rFonts w:ascii="Arial" w:hAnsi="Arial" w:cs="Arial"/>
                <w:i/>
                <w:sz w:val="19"/>
                <w:szCs w:val="19"/>
              </w:rPr>
              <w:t xml:space="preserve"> – Journal of Local Self-Government </w:t>
            </w:r>
            <w:r>
              <w:rPr>
                <w:rFonts w:ascii="Arial" w:hAnsi="Arial" w:cs="Arial"/>
                <w:sz w:val="19"/>
                <w:szCs w:val="19"/>
              </w:rPr>
              <w:t>Vol. 11. No. 3. pp. 631-650.</w:t>
            </w:r>
            <w:r w:rsidR="00AF498F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677210" w:rsidRPr="00AF498F" w:rsidRDefault="00AF498F" w:rsidP="0067721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10BC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lastRenderedPageBreak/>
              <w:t xml:space="preserve">Hoffman, I. (2012) Some Thoughts on the System of Tasks of the Local Autonomies Related to the </w:t>
            </w:r>
            <w:proofErr w:type="spellStart"/>
            <w:r w:rsidRPr="00010BC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Organisation</w:t>
            </w:r>
            <w:proofErr w:type="spellEnd"/>
            <w:r w:rsidRPr="00010BC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of Personal Social Care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.</w:t>
            </w:r>
            <w:r w:rsidRPr="00010BC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r w:rsidRPr="00010BC0">
              <w:rPr>
                <w:rFonts w:ascii="Arial" w:hAnsi="Arial" w:cs="Arial"/>
                <w:i/>
                <w:sz w:val="19"/>
                <w:szCs w:val="19"/>
                <w:shd w:val="clear" w:color="auto" w:fill="FFFFFF"/>
              </w:rPr>
              <w:t xml:space="preserve">Lex </w:t>
            </w:r>
            <w:proofErr w:type="spellStart"/>
            <w:r w:rsidRPr="00010BC0">
              <w:rPr>
                <w:rFonts w:ascii="Arial" w:hAnsi="Arial" w:cs="Arial"/>
                <w:i/>
                <w:sz w:val="19"/>
                <w:szCs w:val="19"/>
                <w:shd w:val="clear" w:color="auto" w:fill="FFFFFF"/>
              </w:rPr>
              <w:t>Localis</w:t>
            </w:r>
            <w:proofErr w:type="spellEnd"/>
            <w:r w:rsidRPr="00010BC0">
              <w:rPr>
                <w:rFonts w:ascii="Arial" w:hAnsi="Arial" w:cs="Arial"/>
                <w:i/>
                <w:sz w:val="19"/>
                <w:szCs w:val="19"/>
                <w:shd w:val="clear" w:color="auto" w:fill="FFFFFF"/>
              </w:rPr>
              <w:t xml:space="preserve"> - Journal of Local Self-Government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Vol. 10 No. 4.</w:t>
            </w:r>
            <w:r w:rsidRPr="00010BC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pp. 323–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3</w:t>
            </w:r>
            <w:r w:rsidRPr="00010BC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40</w:t>
            </w:r>
          </w:p>
          <w:p w:rsidR="00297C0D" w:rsidRPr="00297C0D" w:rsidRDefault="00297C0D" w:rsidP="0067721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n-GB" w:eastAsia="hu-HU"/>
              </w:rPr>
              <w:t xml:space="preserve">Hoffman, I. (2018): </w:t>
            </w:r>
            <w:r w:rsidRPr="00010BC0"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>Some Thoughts on the Administration of the Regional Development in the Member States of the EU – In the Light of the Role of the Municipal Bodies</w:t>
            </w:r>
            <w:r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bCs/>
                <w:i/>
                <w:sz w:val="19"/>
                <w:szCs w:val="19"/>
                <w:shd w:val="clear" w:color="auto" w:fill="FFFFFF"/>
              </w:rPr>
              <w:t xml:space="preserve">Central European Public Administration Review </w:t>
            </w:r>
            <w:r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>Vol. 16. No. 1. pp. 7-29.</w:t>
            </w:r>
          </w:p>
          <w:p w:rsidR="00297C0D" w:rsidRPr="00297C0D" w:rsidRDefault="00297C0D" w:rsidP="0067721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>Horváth</w:t>
            </w:r>
            <w:proofErr w:type="spellEnd"/>
            <w:r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 xml:space="preserve"> M., </w:t>
            </w:r>
            <w:proofErr w:type="spellStart"/>
            <w:r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>Tamás</w:t>
            </w:r>
            <w:proofErr w:type="spellEnd"/>
            <w:r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 xml:space="preserve"> &amp; Bartha, </w:t>
            </w:r>
            <w:proofErr w:type="spellStart"/>
            <w:r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>Ildikó</w:t>
            </w:r>
            <w:proofErr w:type="spellEnd"/>
            <w:r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 xml:space="preserve"> (2018): </w:t>
            </w:r>
            <w:r w:rsidRPr="00010BC0"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>EU-Compatible State Measures and Member States Interests in Public Services: Lessons from the Case of Hungary</w:t>
            </w:r>
            <w:r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bCs/>
                <w:i/>
                <w:sz w:val="19"/>
                <w:szCs w:val="19"/>
                <w:shd w:val="clear" w:color="auto" w:fill="FFFFFF"/>
              </w:rPr>
              <w:t xml:space="preserve">Central European Public Administration Review </w:t>
            </w:r>
            <w:r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>Vol. 16. No. 1. pp. 137-159</w:t>
            </w:r>
          </w:p>
          <w:p w:rsidR="00677210" w:rsidRPr="00677210" w:rsidRDefault="00677210" w:rsidP="0067721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de-DE"/>
              </w:rPr>
            </w:pPr>
            <w:proofErr w:type="spellStart"/>
            <w:r w:rsidRPr="00677210">
              <w:rPr>
                <w:rFonts w:ascii="Arial" w:hAnsi="Arial" w:cs="Arial"/>
                <w:sz w:val="19"/>
                <w:szCs w:val="19"/>
                <w:lang w:val="de-DE"/>
              </w:rPr>
              <w:t>Karpiuk</w:t>
            </w:r>
            <w:proofErr w:type="spellEnd"/>
            <w:r w:rsidRPr="00677210">
              <w:rPr>
                <w:rFonts w:ascii="Arial" w:hAnsi="Arial" w:cs="Arial"/>
                <w:sz w:val="19"/>
                <w:szCs w:val="19"/>
                <w:lang w:val="de-DE"/>
              </w:rPr>
              <w:t xml:space="preserve">, Miroslaw – </w:t>
            </w:r>
            <w:proofErr w:type="spellStart"/>
            <w:r w:rsidRPr="00677210">
              <w:rPr>
                <w:rFonts w:ascii="Arial" w:hAnsi="Arial" w:cs="Arial"/>
                <w:sz w:val="19"/>
                <w:szCs w:val="19"/>
                <w:lang w:val="de-DE"/>
              </w:rPr>
              <w:t>Kostrubiec</w:t>
            </w:r>
            <w:proofErr w:type="spellEnd"/>
            <w:r w:rsidRPr="00677210">
              <w:rPr>
                <w:rFonts w:ascii="Arial" w:hAnsi="Arial" w:cs="Arial"/>
                <w:sz w:val="19"/>
                <w:szCs w:val="19"/>
                <w:lang w:val="de-DE"/>
              </w:rPr>
              <w:t xml:space="preserve">, </w:t>
            </w:r>
            <w:proofErr w:type="spellStart"/>
            <w:r w:rsidRPr="00677210">
              <w:rPr>
                <w:rFonts w:ascii="Arial" w:hAnsi="Arial" w:cs="Arial"/>
                <w:sz w:val="19"/>
                <w:szCs w:val="19"/>
                <w:lang w:val="de-DE"/>
              </w:rPr>
              <w:t>Jarosław</w:t>
            </w:r>
            <w:proofErr w:type="spellEnd"/>
            <w:r w:rsidRPr="00677210">
              <w:rPr>
                <w:rFonts w:ascii="Arial" w:hAnsi="Arial" w:cs="Arial"/>
                <w:sz w:val="19"/>
                <w:szCs w:val="19"/>
                <w:lang w:val="de-DE"/>
              </w:rPr>
              <w:t xml:space="preserve"> (2017): </w:t>
            </w:r>
            <w:r w:rsidRPr="00677210">
              <w:rPr>
                <w:rFonts w:ascii="Arial" w:hAnsi="Arial" w:cs="Arial"/>
                <w:i/>
                <w:sz w:val="19"/>
                <w:szCs w:val="19"/>
                <w:lang w:val="de-DE"/>
              </w:rPr>
              <w:t>Rechtsstaus der</w:t>
            </w:r>
            <w:r>
              <w:rPr>
                <w:rFonts w:ascii="Arial" w:hAnsi="Arial" w:cs="Arial"/>
                <w:i/>
                <w:sz w:val="19"/>
                <w:szCs w:val="19"/>
                <w:lang w:val="de-DE"/>
              </w:rPr>
              <w:t xml:space="preserve"> territorialen </w:t>
            </w:r>
            <w:r w:rsidR="006300C3">
              <w:rPr>
                <w:rFonts w:ascii="Arial" w:hAnsi="Arial" w:cs="Arial"/>
                <w:i/>
                <w:sz w:val="19"/>
                <w:szCs w:val="19"/>
                <w:lang w:val="de-DE"/>
              </w:rPr>
              <w:t xml:space="preserve">Selbstverwaltung in Polen. </w:t>
            </w:r>
            <w:proofErr w:type="spellStart"/>
            <w:r w:rsidR="00AF498F">
              <w:rPr>
                <w:rFonts w:ascii="Arial" w:hAnsi="Arial" w:cs="Arial"/>
                <w:sz w:val="19"/>
                <w:szCs w:val="19"/>
                <w:lang w:val="de-DE"/>
              </w:rPr>
              <w:t>Wydział</w:t>
            </w:r>
            <w:proofErr w:type="spellEnd"/>
            <w:r w:rsidR="00AF498F">
              <w:rPr>
                <w:rFonts w:ascii="Arial" w:hAnsi="Arial" w:cs="Arial"/>
                <w:sz w:val="19"/>
                <w:szCs w:val="19"/>
                <w:lang w:val="de-DE"/>
              </w:rPr>
              <w:t xml:space="preserve"> </w:t>
            </w:r>
            <w:proofErr w:type="spellStart"/>
            <w:r w:rsidR="00AF498F">
              <w:rPr>
                <w:rFonts w:ascii="Arial" w:hAnsi="Arial" w:cs="Arial"/>
                <w:sz w:val="19"/>
                <w:szCs w:val="19"/>
                <w:lang w:val="de-DE"/>
              </w:rPr>
              <w:t>Prawa</w:t>
            </w:r>
            <w:proofErr w:type="spellEnd"/>
            <w:r w:rsidR="00AF498F">
              <w:rPr>
                <w:rFonts w:ascii="Arial" w:hAnsi="Arial" w:cs="Arial"/>
                <w:sz w:val="19"/>
                <w:szCs w:val="19"/>
                <w:lang w:val="de-DE"/>
              </w:rPr>
              <w:t xml:space="preserve"> i </w:t>
            </w:r>
            <w:proofErr w:type="spellStart"/>
            <w:r w:rsidR="00AF498F">
              <w:rPr>
                <w:rFonts w:ascii="Arial" w:hAnsi="Arial" w:cs="Arial"/>
                <w:sz w:val="19"/>
                <w:szCs w:val="19"/>
                <w:lang w:val="de-DE"/>
              </w:rPr>
              <w:t>Administracji</w:t>
            </w:r>
            <w:proofErr w:type="spellEnd"/>
            <w:r w:rsidR="00AF498F">
              <w:rPr>
                <w:rFonts w:ascii="Arial" w:hAnsi="Arial" w:cs="Arial"/>
                <w:sz w:val="19"/>
                <w:szCs w:val="19"/>
                <w:lang w:val="de-DE"/>
              </w:rPr>
              <w:t xml:space="preserve">, </w:t>
            </w:r>
            <w:proofErr w:type="spellStart"/>
            <w:r w:rsidR="00AF498F">
              <w:rPr>
                <w:rFonts w:ascii="Arial" w:hAnsi="Arial" w:cs="Arial"/>
                <w:sz w:val="19"/>
                <w:szCs w:val="19"/>
                <w:lang w:val="de-DE"/>
              </w:rPr>
              <w:t>Uniwesytet</w:t>
            </w:r>
            <w:proofErr w:type="spellEnd"/>
            <w:r w:rsidR="00AF498F">
              <w:rPr>
                <w:rFonts w:ascii="Arial" w:hAnsi="Arial" w:cs="Arial"/>
                <w:sz w:val="19"/>
                <w:szCs w:val="19"/>
                <w:lang w:val="de-DE"/>
              </w:rPr>
              <w:t xml:space="preserve"> </w:t>
            </w:r>
            <w:proofErr w:type="spellStart"/>
            <w:r w:rsidR="00AF498F">
              <w:rPr>
                <w:rFonts w:ascii="Arial" w:hAnsi="Arial" w:cs="Arial"/>
                <w:sz w:val="19"/>
                <w:szCs w:val="19"/>
                <w:lang w:val="de-DE"/>
              </w:rPr>
              <w:t>Warmińsko</w:t>
            </w:r>
            <w:proofErr w:type="spellEnd"/>
            <w:r w:rsidR="00AF498F">
              <w:rPr>
                <w:rFonts w:ascii="Arial" w:hAnsi="Arial" w:cs="Arial"/>
                <w:sz w:val="19"/>
                <w:szCs w:val="19"/>
                <w:lang w:val="de-DE"/>
              </w:rPr>
              <w:t xml:space="preserve"> – </w:t>
            </w:r>
            <w:proofErr w:type="spellStart"/>
            <w:r w:rsidR="00AF498F">
              <w:rPr>
                <w:rFonts w:ascii="Arial" w:hAnsi="Arial" w:cs="Arial"/>
                <w:sz w:val="19"/>
                <w:szCs w:val="19"/>
                <w:lang w:val="de-DE"/>
              </w:rPr>
              <w:t>Mazurski</w:t>
            </w:r>
            <w:proofErr w:type="spellEnd"/>
            <w:r w:rsidR="00AF498F">
              <w:rPr>
                <w:rFonts w:ascii="Arial" w:hAnsi="Arial" w:cs="Arial"/>
                <w:sz w:val="19"/>
                <w:szCs w:val="19"/>
                <w:lang w:val="de-DE"/>
              </w:rPr>
              <w:t xml:space="preserve"> w </w:t>
            </w:r>
            <w:proofErr w:type="spellStart"/>
            <w:r w:rsidR="00AF498F">
              <w:rPr>
                <w:rFonts w:ascii="Arial" w:hAnsi="Arial" w:cs="Arial"/>
                <w:sz w:val="19"/>
                <w:szCs w:val="19"/>
                <w:lang w:val="de-DE"/>
              </w:rPr>
              <w:t>Olsztynie</w:t>
            </w:r>
            <w:proofErr w:type="spellEnd"/>
            <w:r w:rsidR="00AF498F">
              <w:rPr>
                <w:rFonts w:ascii="Arial" w:hAnsi="Arial" w:cs="Arial"/>
                <w:sz w:val="19"/>
                <w:szCs w:val="19"/>
                <w:lang w:val="de-DE"/>
              </w:rPr>
              <w:t xml:space="preserve">, Olsztyn </w:t>
            </w:r>
          </w:p>
        </w:tc>
      </w:tr>
      <w:tr w:rsidR="00887CE7">
        <w:trPr>
          <w:trHeight w:val="419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CE7" w:rsidRDefault="00305C04">
            <w:pPr>
              <w:spacing w:after="0" w:line="240" w:lineRule="auto"/>
            </w:pP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lastRenderedPageBreak/>
              <w:t>Educational outcomes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453" w:type="dxa"/>
              <w:bottom w:w="80" w:type="dxa"/>
              <w:right w:w="80" w:type="dxa"/>
            </w:tcMar>
          </w:tcPr>
          <w:p w:rsidR="00887CE7" w:rsidRPr="00BA2977" w:rsidRDefault="00305C04">
            <w:pPr>
              <w:spacing w:after="0" w:line="240" w:lineRule="auto"/>
              <w:ind w:left="373" w:hanging="373"/>
              <w:rPr>
                <w:rStyle w:val="span9"/>
                <w:rFonts w:ascii="Arial" w:eastAsia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Style w:val="span9"/>
                <w:rFonts w:ascii="Arial" w:hAnsi="Arial"/>
                <w:b/>
                <w:bCs/>
                <w:sz w:val="20"/>
                <w:szCs w:val="20"/>
                <w:u w:val="single"/>
                <w:lang w:val="en-US"/>
              </w:rPr>
              <w:t>Student who passes the course is able to:</w:t>
            </w:r>
          </w:p>
          <w:p w:rsidR="00887CE7" w:rsidRPr="00BA2977" w:rsidRDefault="00887CE7">
            <w:pPr>
              <w:spacing w:after="0" w:line="240" w:lineRule="auto"/>
              <w:ind w:left="373" w:hanging="373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887CE7" w:rsidRPr="00BA2977" w:rsidRDefault="00305C04">
            <w:pPr>
              <w:spacing w:after="0" w:line="240" w:lineRule="auto"/>
              <w:ind w:left="373" w:hanging="373"/>
              <w:jc w:val="both"/>
              <w:rPr>
                <w:rStyle w:val="span9"/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7A6F23">
              <w:rPr>
                <w:rStyle w:val="span9"/>
                <w:rFonts w:ascii="Arial" w:hAnsi="Arial"/>
                <w:b/>
                <w:bCs/>
                <w:sz w:val="20"/>
                <w:szCs w:val="20"/>
                <w:lang w:val="en-US"/>
              </w:rPr>
              <w:t>KNOWLEDGE:</w:t>
            </w:r>
          </w:p>
          <w:p w:rsidR="00887CE7" w:rsidRPr="00BA2977" w:rsidRDefault="00305C04" w:rsidP="00297C0D">
            <w:pPr>
              <w:spacing w:after="0" w:line="240" w:lineRule="auto"/>
              <w:ind w:left="373" w:hanging="373"/>
              <w:jc w:val="both"/>
              <w:rPr>
                <w:rStyle w:val="span9"/>
                <w:rFonts w:ascii="Arial" w:hAnsi="Arial"/>
                <w:sz w:val="20"/>
                <w:szCs w:val="20"/>
                <w:lang w:val="en-US"/>
              </w:rPr>
            </w:pPr>
            <w:r w:rsidRPr="00BA2977">
              <w:rPr>
                <w:rStyle w:val="span9"/>
                <w:rFonts w:ascii="Arial" w:hAnsi="Arial"/>
                <w:sz w:val="20"/>
                <w:szCs w:val="20"/>
                <w:lang w:val="en-US"/>
              </w:rPr>
              <w:t xml:space="preserve">1. </w:t>
            </w:r>
            <w:r w:rsidR="000338F4" w:rsidRPr="00BA2977">
              <w:rPr>
                <w:rStyle w:val="span9"/>
                <w:rFonts w:ascii="Arial" w:hAnsi="Arial"/>
                <w:sz w:val="20"/>
                <w:szCs w:val="20"/>
                <w:lang w:val="en-US"/>
              </w:rPr>
              <w:t xml:space="preserve">A student knows and understands how to </w:t>
            </w:r>
            <w:r w:rsidR="00297C0D" w:rsidRPr="00BA2977"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d</w:t>
            </w: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 xml:space="preserve">efine terms from the scope of </w:t>
            </w:r>
            <w:r w:rsidR="00297C0D"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municipal law and law of provision of (local) public services</w:t>
            </w: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 xml:space="preserve">, indicated where and in what context they are being used-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K_W_01</w:t>
            </w:r>
            <w:r w:rsidRPr="00BA2977">
              <w:rPr>
                <w:rFonts w:ascii="Arial" w:hAnsi="Arial"/>
                <w:sz w:val="20"/>
                <w:szCs w:val="20"/>
                <w:lang w:val="en-US"/>
              </w:rPr>
              <w:t>;</w:t>
            </w:r>
          </w:p>
          <w:p w:rsidR="00887CE7" w:rsidRPr="00BA2977" w:rsidRDefault="00305C04">
            <w:pPr>
              <w:spacing w:after="0" w:line="240" w:lineRule="auto"/>
              <w:ind w:left="373" w:hanging="373"/>
              <w:jc w:val="both"/>
              <w:rPr>
                <w:rStyle w:val="span9"/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A2977">
              <w:rPr>
                <w:rStyle w:val="span9"/>
                <w:rFonts w:ascii="Arial" w:hAnsi="Arial"/>
                <w:sz w:val="20"/>
                <w:szCs w:val="20"/>
                <w:lang w:val="en-US"/>
              </w:rPr>
              <w:t xml:space="preserve">2. </w:t>
            </w:r>
            <w:r w:rsidR="000338F4" w:rsidRPr="00BA2977">
              <w:rPr>
                <w:rStyle w:val="span9"/>
                <w:rFonts w:ascii="Arial" w:hAnsi="Arial"/>
                <w:sz w:val="20"/>
                <w:szCs w:val="20"/>
                <w:lang w:val="en-US"/>
              </w:rPr>
              <w:t xml:space="preserve">A student knows and understands how to </w:t>
            </w: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 xml:space="preserve">indicate the law regulated relations between organs and institutions-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K_W_04</w:t>
            </w:r>
            <w:r w:rsidRPr="00BA2977"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;</w:t>
            </w:r>
          </w:p>
          <w:p w:rsidR="00887CE7" w:rsidRDefault="00305C04">
            <w:pPr>
              <w:spacing w:after="0" w:line="240" w:lineRule="auto"/>
              <w:ind w:left="373" w:hanging="373"/>
              <w:jc w:val="both"/>
              <w:rPr>
                <w:rStyle w:val="span9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9"/>
                <w:rFonts w:ascii="Arial" w:hAnsi="Arial"/>
                <w:sz w:val="20"/>
                <w:szCs w:val="20"/>
              </w:rPr>
              <w:t xml:space="preserve">3. </w:t>
            </w:r>
            <w:r w:rsidR="000338F4" w:rsidRPr="00C91AA7">
              <w:rPr>
                <w:rStyle w:val="span9"/>
                <w:rFonts w:ascii="Arial" w:hAnsi="Arial"/>
                <w:sz w:val="20"/>
                <w:szCs w:val="20"/>
              </w:rPr>
              <w:t xml:space="preserve">A student </w:t>
            </w:r>
            <w:proofErr w:type="spellStart"/>
            <w:r w:rsidR="000338F4">
              <w:rPr>
                <w:rStyle w:val="span9"/>
                <w:rFonts w:ascii="Arial" w:hAnsi="Arial"/>
                <w:sz w:val="20"/>
                <w:szCs w:val="20"/>
              </w:rPr>
              <w:t>knows</w:t>
            </w:r>
            <w:proofErr w:type="spellEnd"/>
            <w:r w:rsidR="000338F4">
              <w:rPr>
                <w:rStyle w:val="span9"/>
                <w:rFonts w:ascii="Arial" w:hAnsi="Arial"/>
                <w:sz w:val="20"/>
                <w:szCs w:val="20"/>
              </w:rPr>
              <w:t xml:space="preserve"> and </w:t>
            </w:r>
            <w:proofErr w:type="spellStart"/>
            <w:r w:rsidR="000338F4">
              <w:rPr>
                <w:rStyle w:val="span9"/>
                <w:rFonts w:ascii="Arial" w:hAnsi="Arial"/>
                <w:sz w:val="20"/>
                <w:szCs w:val="20"/>
              </w:rPr>
              <w:t>understands</w:t>
            </w:r>
            <w:proofErr w:type="spellEnd"/>
            <w:r w:rsidR="000338F4">
              <w:rPr>
                <w:rStyle w:val="span9"/>
                <w:rFonts w:ascii="Arial" w:hAnsi="Arial"/>
                <w:sz w:val="20"/>
                <w:szCs w:val="20"/>
              </w:rPr>
              <w:t xml:space="preserve"> </w:t>
            </w:r>
            <w:r w:rsidR="000338F4"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decisions making subjects, having regard to applying the law</w:t>
            </w:r>
            <w:r w:rsidR="000338F4">
              <w:t>-</w:t>
            </w:r>
            <w:r w:rsidR="000338F4">
              <w:rPr>
                <w:rFonts w:ascii="Arial" w:hAnsi="Arial"/>
                <w:sz w:val="20"/>
                <w:szCs w:val="20"/>
                <w:lang w:val="en-US"/>
              </w:rPr>
              <w:t>K_ W_09</w:t>
            </w:r>
            <w:r w:rsidR="000338F4"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;</w:t>
            </w:r>
          </w:p>
          <w:p w:rsidR="00887CE7" w:rsidRDefault="00305C04">
            <w:pPr>
              <w:spacing w:after="0" w:line="240" w:lineRule="auto"/>
              <w:ind w:left="373" w:hanging="373"/>
              <w:jc w:val="both"/>
              <w:rPr>
                <w:rStyle w:val="span9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9"/>
                <w:rFonts w:ascii="Arial" w:hAnsi="Arial"/>
                <w:sz w:val="20"/>
                <w:szCs w:val="20"/>
              </w:rPr>
              <w:t xml:space="preserve">4. </w:t>
            </w:r>
            <w:r w:rsidR="000338F4" w:rsidRPr="00C91AA7">
              <w:rPr>
                <w:rStyle w:val="span9"/>
                <w:rFonts w:ascii="Arial" w:hAnsi="Arial"/>
                <w:sz w:val="20"/>
                <w:szCs w:val="20"/>
              </w:rPr>
              <w:t xml:space="preserve">A student </w:t>
            </w:r>
            <w:proofErr w:type="spellStart"/>
            <w:r w:rsidR="000338F4">
              <w:rPr>
                <w:rStyle w:val="span9"/>
                <w:rFonts w:ascii="Arial" w:hAnsi="Arial"/>
                <w:sz w:val="20"/>
                <w:szCs w:val="20"/>
              </w:rPr>
              <w:t>knows</w:t>
            </w:r>
            <w:proofErr w:type="spellEnd"/>
            <w:r w:rsidR="000338F4">
              <w:rPr>
                <w:rStyle w:val="span9"/>
                <w:rFonts w:ascii="Arial" w:hAnsi="Arial"/>
                <w:sz w:val="20"/>
                <w:szCs w:val="20"/>
              </w:rPr>
              <w:t xml:space="preserve"> and </w:t>
            </w:r>
            <w:proofErr w:type="spellStart"/>
            <w:r w:rsidR="000338F4">
              <w:rPr>
                <w:rStyle w:val="span9"/>
                <w:rFonts w:ascii="Arial" w:hAnsi="Arial"/>
                <w:sz w:val="20"/>
                <w:szCs w:val="20"/>
              </w:rPr>
              <w:t>understands</w:t>
            </w:r>
            <w:proofErr w:type="spellEnd"/>
            <w:r w:rsidR="000338F4">
              <w:rPr>
                <w:rStyle w:val="span9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0338F4">
              <w:rPr>
                <w:rStyle w:val="span9"/>
                <w:rFonts w:ascii="Arial" w:hAnsi="Arial"/>
                <w:sz w:val="20"/>
                <w:szCs w:val="20"/>
              </w:rPr>
              <w:t>how</w:t>
            </w:r>
            <w:proofErr w:type="spellEnd"/>
            <w:r w:rsidR="000338F4">
              <w:rPr>
                <w:rStyle w:val="span9"/>
                <w:rFonts w:ascii="Arial" w:hAnsi="Arial"/>
                <w:sz w:val="20"/>
                <w:szCs w:val="20"/>
              </w:rPr>
              <w:t xml:space="preserve"> to </w:t>
            </w:r>
            <w:r w:rsidR="000338F4">
              <w:rPr>
                <w:rStyle w:val="span9"/>
                <w:rFonts w:ascii="Arial" w:hAnsi="Arial"/>
                <w:sz w:val="20"/>
                <w:szCs w:val="20"/>
                <w:lang w:val="en-US"/>
              </w:rPr>
              <w:t xml:space="preserve">indicate </w:t>
            </w: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 xml:space="preserve">the laws and obligations of the consumers, </w:t>
            </w:r>
            <w:r w:rsidR="00A27559">
              <w:rPr>
                <w:rStyle w:val="span9"/>
                <w:rFonts w:ascii="Arial" w:hAnsi="Arial"/>
                <w:sz w:val="20"/>
                <w:szCs w:val="20"/>
                <w:lang w:val="en-US"/>
              </w:rPr>
              <w:t xml:space="preserve">municipalities and public institutions and utilities in the field of public service provision </w:t>
            </w: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- K_W_13;</w:t>
            </w:r>
          </w:p>
          <w:p w:rsidR="00887CE7" w:rsidRPr="00297C0D" w:rsidRDefault="00887CE7">
            <w:pPr>
              <w:spacing w:after="0" w:line="240" w:lineRule="auto"/>
              <w:ind w:left="373" w:hanging="373"/>
              <w:jc w:val="both"/>
              <w:rPr>
                <w:rStyle w:val="span9"/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887CE7" w:rsidRDefault="00305C04">
            <w:pPr>
              <w:spacing w:after="0" w:line="240" w:lineRule="auto"/>
              <w:ind w:left="373" w:hanging="373"/>
              <w:jc w:val="both"/>
              <w:rPr>
                <w:rStyle w:val="span9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span9"/>
                <w:rFonts w:ascii="Arial" w:hAnsi="Arial"/>
                <w:b/>
                <w:bCs/>
                <w:sz w:val="20"/>
                <w:szCs w:val="20"/>
                <w:lang w:val="da-DK"/>
              </w:rPr>
              <w:t>SKILLS:</w:t>
            </w:r>
          </w:p>
          <w:p w:rsidR="00887CE7" w:rsidRDefault="00305C04">
            <w:pPr>
              <w:spacing w:after="0" w:line="240" w:lineRule="auto"/>
              <w:jc w:val="both"/>
              <w:rPr>
                <w:rStyle w:val="span9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9"/>
                <w:rFonts w:ascii="Arial" w:hAnsi="Arial"/>
                <w:sz w:val="20"/>
                <w:szCs w:val="20"/>
              </w:rPr>
              <w:t xml:space="preserve">1. </w:t>
            </w:r>
            <w:r w:rsidR="000338F4" w:rsidRPr="001416F3">
              <w:rPr>
                <w:rStyle w:val="span9"/>
                <w:rFonts w:ascii="Arial" w:hAnsi="Arial"/>
                <w:sz w:val="20"/>
                <w:szCs w:val="20"/>
              </w:rPr>
              <w:t xml:space="preserve">A student </w:t>
            </w:r>
            <w:proofErr w:type="spellStart"/>
            <w:r w:rsidR="000338F4" w:rsidRPr="001416F3">
              <w:rPr>
                <w:rStyle w:val="span9"/>
                <w:rFonts w:ascii="Arial" w:hAnsi="Arial"/>
                <w:sz w:val="20"/>
                <w:szCs w:val="20"/>
              </w:rPr>
              <w:t>is</w:t>
            </w:r>
            <w:proofErr w:type="spellEnd"/>
            <w:r w:rsidR="000338F4" w:rsidRPr="001416F3">
              <w:rPr>
                <w:rStyle w:val="span9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0338F4" w:rsidRPr="001416F3">
              <w:rPr>
                <w:rStyle w:val="span9"/>
                <w:rFonts w:ascii="Arial" w:hAnsi="Arial"/>
                <w:sz w:val="20"/>
                <w:szCs w:val="20"/>
              </w:rPr>
              <w:t>able</w:t>
            </w:r>
            <w:proofErr w:type="spellEnd"/>
            <w:r w:rsidR="000338F4" w:rsidRPr="001416F3">
              <w:rPr>
                <w:rStyle w:val="span9"/>
                <w:rFonts w:ascii="Arial" w:hAnsi="Arial"/>
                <w:sz w:val="20"/>
                <w:szCs w:val="20"/>
              </w:rPr>
              <w:t xml:space="preserve"> </w:t>
            </w:r>
            <w:r w:rsidR="000338F4"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to interpret</w:t>
            </w:r>
            <w:r w:rsidR="000338F4" w:rsidRPr="002E40D1">
              <w:rPr>
                <w:rStyle w:val="span9"/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and apply the</w:t>
            </w:r>
            <w:r w:rsidR="00297C0D">
              <w:rPr>
                <w:rStyle w:val="span9"/>
                <w:rFonts w:ascii="Arial" w:hAnsi="Arial"/>
                <w:sz w:val="20"/>
                <w:szCs w:val="20"/>
                <w:lang w:val="en-US"/>
              </w:rPr>
              <w:t xml:space="preserve"> Comparative</w:t>
            </w: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="00297C0D"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Municipal Law and</w:t>
            </w: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="00297C0D">
              <w:rPr>
                <w:rStyle w:val="span9"/>
                <w:rFonts w:ascii="Arial" w:hAnsi="Arial"/>
                <w:sz w:val="20"/>
                <w:szCs w:val="20"/>
                <w:lang w:val="en-US"/>
              </w:rPr>
              <w:t xml:space="preserve">Law on Provision of Public Services </w:t>
            </w: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 xml:space="preserve">and other enactments regulating the issues in the </w:t>
            </w:r>
            <w:r w:rsidR="00297C0D"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public service provision</w:t>
            </w: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 xml:space="preserve"> sector- K_U_02;</w:t>
            </w:r>
          </w:p>
          <w:p w:rsidR="00887CE7" w:rsidRDefault="00887CE7">
            <w:pPr>
              <w:spacing w:after="0" w:line="240" w:lineRule="auto"/>
              <w:ind w:left="373" w:hanging="373"/>
              <w:jc w:val="both"/>
              <w:rPr>
                <w:rStyle w:val="span9"/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887CE7" w:rsidRDefault="00305C04">
            <w:pPr>
              <w:spacing w:after="0" w:line="240" w:lineRule="auto"/>
              <w:ind w:left="373" w:hanging="373"/>
              <w:jc w:val="both"/>
              <w:rPr>
                <w:rStyle w:val="span9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span9"/>
                <w:rFonts w:ascii="Arial" w:hAnsi="Arial"/>
                <w:b/>
                <w:bCs/>
                <w:sz w:val="20"/>
                <w:szCs w:val="20"/>
              </w:rPr>
              <w:t>ATTITUDES:</w:t>
            </w:r>
          </w:p>
          <w:p w:rsidR="000338F4" w:rsidRDefault="000338F4" w:rsidP="000338F4">
            <w:pPr>
              <w:spacing w:after="0" w:line="240" w:lineRule="auto"/>
              <w:ind w:left="373" w:hanging="373"/>
              <w:jc w:val="both"/>
              <w:rPr>
                <w:rStyle w:val="span9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9"/>
                <w:rFonts w:ascii="Arial" w:hAnsi="Arial"/>
                <w:sz w:val="20"/>
                <w:szCs w:val="20"/>
              </w:rPr>
              <w:t xml:space="preserve">1. </w:t>
            </w:r>
            <w:r w:rsidRPr="001416F3">
              <w:rPr>
                <w:rStyle w:val="span9"/>
                <w:rFonts w:ascii="Arial" w:hAnsi="Arial"/>
                <w:sz w:val="20"/>
                <w:szCs w:val="20"/>
              </w:rPr>
              <w:t xml:space="preserve">A student </w:t>
            </w:r>
            <w:proofErr w:type="spellStart"/>
            <w:r w:rsidRPr="001416F3">
              <w:rPr>
                <w:rStyle w:val="span9"/>
                <w:rFonts w:ascii="Arial" w:hAnsi="Arial"/>
                <w:sz w:val="20"/>
                <w:szCs w:val="20"/>
              </w:rPr>
              <w:t>is</w:t>
            </w:r>
            <w:proofErr w:type="spellEnd"/>
            <w:r w:rsidRPr="001416F3">
              <w:rPr>
                <w:rStyle w:val="span9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416F3">
              <w:rPr>
                <w:rStyle w:val="span9"/>
                <w:rFonts w:ascii="Arial" w:hAnsi="Arial"/>
                <w:sz w:val="20"/>
                <w:szCs w:val="20"/>
              </w:rPr>
              <w:t>ready</w:t>
            </w:r>
            <w:proofErr w:type="spellEnd"/>
            <w:r w:rsidRPr="001416F3">
              <w:rPr>
                <w:rStyle w:val="span9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to work in a group taking different roles-</w:t>
            </w:r>
            <w:r>
              <w:rPr>
                <w:rStyle w:val="span9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K_K_05</w:t>
            </w: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;</w:t>
            </w:r>
          </w:p>
          <w:p w:rsidR="00887CE7" w:rsidRDefault="000338F4" w:rsidP="000338F4">
            <w:pPr>
              <w:spacing w:after="0" w:line="240" w:lineRule="auto"/>
              <w:ind w:left="373" w:hanging="373"/>
              <w:jc w:val="both"/>
            </w:pPr>
            <w:r>
              <w:rPr>
                <w:rStyle w:val="span9"/>
              </w:rPr>
              <w:t xml:space="preserve">2. </w:t>
            </w:r>
            <w:r w:rsidRPr="001416F3">
              <w:rPr>
                <w:rStyle w:val="span9"/>
              </w:rPr>
              <w:t xml:space="preserve">A student </w:t>
            </w:r>
            <w:proofErr w:type="spellStart"/>
            <w:r w:rsidRPr="001416F3">
              <w:rPr>
                <w:rStyle w:val="span9"/>
              </w:rPr>
              <w:t>is</w:t>
            </w:r>
            <w:proofErr w:type="spellEnd"/>
            <w:r w:rsidRPr="001416F3">
              <w:rPr>
                <w:rStyle w:val="span9"/>
              </w:rPr>
              <w:t xml:space="preserve"> </w:t>
            </w:r>
            <w:proofErr w:type="spellStart"/>
            <w:r w:rsidRPr="001416F3">
              <w:rPr>
                <w:rStyle w:val="span9"/>
              </w:rPr>
              <w:t>ready</w:t>
            </w:r>
            <w:proofErr w:type="spellEnd"/>
            <w:r w:rsidRPr="001416F3">
              <w:rPr>
                <w:rStyle w:val="span9"/>
              </w:rPr>
              <w:t xml:space="preserve"> </w:t>
            </w: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to set the priorities necessary to carry out, appointed by himself or others, tasks- K_K_09.</w:t>
            </w:r>
          </w:p>
        </w:tc>
      </w:tr>
      <w:tr w:rsidR="00887CE7">
        <w:trPr>
          <w:trHeight w:val="67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CE7" w:rsidRDefault="00305C04">
            <w:pPr>
              <w:spacing w:after="0" w:line="240" w:lineRule="auto"/>
            </w:pP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Assessment methods and criteria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7CE7" w:rsidRDefault="00305C04">
            <w:pPr>
              <w:spacing w:after="0" w:line="240" w:lineRule="auto"/>
              <w:rPr>
                <w:rStyle w:val="span9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Frequency of attendance;</w:t>
            </w:r>
          </w:p>
          <w:p w:rsidR="00887CE7" w:rsidRDefault="00305C04">
            <w:pPr>
              <w:spacing w:after="0" w:line="240" w:lineRule="auto"/>
              <w:rPr>
                <w:rStyle w:val="span9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Effort in class;</w:t>
            </w:r>
          </w:p>
          <w:p w:rsidR="00887CE7" w:rsidRDefault="00305C04">
            <w:pPr>
              <w:spacing w:after="0" w:line="240" w:lineRule="auto"/>
            </w:pP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Final paper.</w:t>
            </w:r>
          </w:p>
        </w:tc>
      </w:tr>
      <w:tr w:rsidR="00887CE7">
        <w:trPr>
          <w:trHeight w:val="133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CE7" w:rsidRDefault="00305C04">
            <w:pPr>
              <w:spacing w:after="0" w:line="240" w:lineRule="auto"/>
            </w:pP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Teaching methods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7CE7" w:rsidRDefault="00305C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 xml:space="preserve">Lecture, optional with </w:t>
            </w:r>
            <w:proofErr w:type="spellStart"/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Powerpoint</w:t>
            </w:r>
            <w:proofErr w:type="spellEnd"/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 xml:space="preserve"> presentation;</w:t>
            </w:r>
          </w:p>
          <w:p w:rsidR="00887CE7" w:rsidRDefault="00305C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Case study;</w:t>
            </w:r>
          </w:p>
          <w:p w:rsidR="00887CE7" w:rsidRDefault="00305C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Legal and comparative analysis;</w:t>
            </w:r>
          </w:p>
          <w:p w:rsidR="00887CE7" w:rsidRDefault="00305C04">
            <w:pPr>
              <w:spacing w:after="0" w:line="240" w:lineRule="auto"/>
              <w:rPr>
                <w:rStyle w:val="span9"/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Legal acts study;</w:t>
            </w:r>
          </w:p>
          <w:p w:rsidR="00887CE7" w:rsidRDefault="00305C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Active learning methods (Learning-by-doing);</w:t>
            </w:r>
          </w:p>
          <w:p w:rsidR="00887CE7" w:rsidRDefault="00305C04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Group</w:t>
            </w:r>
            <w:proofErr w:type="spellEnd"/>
            <w:r>
              <w:rPr>
                <w:sz w:val="20"/>
                <w:szCs w:val="20"/>
              </w:rPr>
              <w:t xml:space="preserve"> d</w:t>
            </w:r>
            <w:proofErr w:type="spellStart"/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iscussion</w:t>
            </w:r>
            <w:proofErr w:type="spellEnd"/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 xml:space="preserve">. </w:t>
            </w:r>
          </w:p>
        </w:tc>
      </w:tr>
      <w:tr w:rsidR="00887CE7">
        <w:trPr>
          <w:trHeight w:val="177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CE7" w:rsidRDefault="00305C04">
            <w:pPr>
              <w:spacing w:after="0" w:line="240" w:lineRule="auto"/>
            </w:pP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Educational outcomes verification methods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453" w:type="dxa"/>
              <w:bottom w:w="80" w:type="dxa"/>
              <w:right w:w="80" w:type="dxa"/>
            </w:tcMar>
          </w:tcPr>
          <w:p w:rsidR="00887CE7" w:rsidRDefault="00305C04">
            <w:pPr>
              <w:spacing w:after="0" w:line="240" w:lineRule="auto"/>
              <w:ind w:left="373" w:hanging="373"/>
              <w:rPr>
                <w:rStyle w:val="span9"/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K_</w:t>
            </w: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W_01, class – final paper;</w:t>
            </w:r>
          </w:p>
          <w:p w:rsidR="00887CE7" w:rsidRDefault="00305C04">
            <w:pPr>
              <w:spacing w:after="0" w:line="240" w:lineRule="auto"/>
              <w:ind w:left="373" w:hanging="373"/>
              <w:rPr>
                <w:rStyle w:val="span9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9"/>
                <w:rFonts w:ascii="Arial" w:hAnsi="Arial"/>
                <w:sz w:val="20"/>
                <w:szCs w:val="20"/>
              </w:rPr>
              <w:t>K_</w:t>
            </w: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W_04, class – final paper;</w:t>
            </w:r>
          </w:p>
          <w:p w:rsidR="00887CE7" w:rsidRDefault="00305C04">
            <w:pPr>
              <w:spacing w:after="0" w:line="240" w:lineRule="auto"/>
              <w:ind w:left="373" w:hanging="373"/>
              <w:rPr>
                <w:rStyle w:val="span9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9"/>
                <w:rFonts w:ascii="Arial" w:hAnsi="Arial"/>
                <w:sz w:val="20"/>
                <w:szCs w:val="20"/>
              </w:rPr>
              <w:t>K_W_09</w:t>
            </w: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, class – final paper;</w:t>
            </w:r>
          </w:p>
          <w:p w:rsidR="00887CE7" w:rsidRDefault="00305C04">
            <w:pPr>
              <w:spacing w:after="0" w:line="240" w:lineRule="auto"/>
              <w:ind w:left="373" w:hanging="373"/>
              <w:rPr>
                <w:rStyle w:val="span9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9"/>
                <w:rFonts w:ascii="Arial" w:hAnsi="Arial"/>
                <w:sz w:val="20"/>
                <w:szCs w:val="20"/>
              </w:rPr>
              <w:t>K_</w:t>
            </w: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W_13, class – final paper;</w:t>
            </w:r>
          </w:p>
          <w:p w:rsidR="00887CE7" w:rsidRDefault="00305C04">
            <w:pPr>
              <w:spacing w:after="0" w:line="240" w:lineRule="auto"/>
              <w:ind w:left="373" w:hanging="373"/>
              <w:rPr>
                <w:rStyle w:val="span9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9"/>
                <w:rFonts w:ascii="Arial" w:hAnsi="Arial"/>
                <w:sz w:val="20"/>
                <w:szCs w:val="20"/>
              </w:rPr>
              <w:t>K_</w:t>
            </w: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U_02, class – final paper;</w:t>
            </w:r>
          </w:p>
          <w:p w:rsidR="00887CE7" w:rsidRDefault="00305C04">
            <w:pPr>
              <w:spacing w:after="0" w:line="240" w:lineRule="auto"/>
              <w:ind w:left="373" w:hanging="373"/>
              <w:rPr>
                <w:rStyle w:val="span9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K_K_05, class – final paper;</w:t>
            </w:r>
          </w:p>
          <w:p w:rsidR="00887CE7" w:rsidRDefault="00305C04">
            <w:pPr>
              <w:spacing w:after="0" w:line="240" w:lineRule="auto"/>
              <w:ind w:left="373" w:hanging="373"/>
            </w:pP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K_K_09, class – final paper.</w:t>
            </w:r>
          </w:p>
        </w:tc>
      </w:tr>
      <w:tr w:rsidR="00887CE7">
        <w:trPr>
          <w:trHeight w:val="23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CE7" w:rsidRDefault="00305C04">
            <w:pPr>
              <w:spacing w:after="0" w:line="240" w:lineRule="auto"/>
            </w:pP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CE7" w:rsidRDefault="00305C04">
            <w:pPr>
              <w:spacing w:after="0" w:line="240" w:lineRule="auto"/>
            </w:pP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None</w:t>
            </w:r>
          </w:p>
        </w:tc>
      </w:tr>
      <w:tr w:rsidR="00887CE7">
        <w:trPr>
          <w:trHeight w:val="23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CE7" w:rsidRDefault="00305C04">
            <w:pPr>
              <w:spacing w:after="0" w:line="240" w:lineRule="auto"/>
            </w:pP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Comments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87CE7" w:rsidRDefault="00305C04">
            <w:pPr>
              <w:spacing w:after="0" w:line="240" w:lineRule="auto"/>
            </w:pPr>
            <w:r>
              <w:rPr>
                <w:rStyle w:val="span9"/>
                <w:rFonts w:ascii="Arial" w:hAnsi="Arial"/>
                <w:sz w:val="20"/>
                <w:szCs w:val="20"/>
                <w:lang w:val="en-US"/>
              </w:rPr>
              <w:t>None</w:t>
            </w:r>
          </w:p>
        </w:tc>
      </w:tr>
    </w:tbl>
    <w:p w:rsidR="00887CE7" w:rsidRDefault="00887CE7">
      <w:pPr>
        <w:widowControl w:val="0"/>
        <w:spacing w:line="240" w:lineRule="auto"/>
        <w:ind w:left="163" w:hanging="163"/>
      </w:pPr>
    </w:p>
    <w:sectPr w:rsidR="00887CE7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563" w:rsidRDefault="00F73563">
      <w:pPr>
        <w:spacing w:after="0" w:line="240" w:lineRule="auto"/>
      </w:pPr>
      <w:r>
        <w:separator/>
      </w:r>
    </w:p>
  </w:endnote>
  <w:endnote w:type="continuationSeparator" w:id="0">
    <w:p w:rsidR="00F73563" w:rsidRDefault="00F7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CE7" w:rsidRDefault="00887CE7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563" w:rsidRDefault="00F73563">
      <w:pPr>
        <w:spacing w:after="0" w:line="240" w:lineRule="auto"/>
      </w:pPr>
      <w:r>
        <w:separator/>
      </w:r>
    </w:p>
  </w:footnote>
  <w:footnote w:type="continuationSeparator" w:id="0">
    <w:p w:rsidR="00F73563" w:rsidRDefault="00F73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CE7" w:rsidRDefault="00887CE7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D00FC"/>
    <w:multiLevelType w:val="hybridMultilevel"/>
    <w:tmpl w:val="038C89E0"/>
    <w:lvl w:ilvl="0" w:tplc="E604B762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2E1D5C">
      <w:start w:val="1"/>
      <w:numFmt w:val="lowerLetter"/>
      <w:lvlText w:val="%2."/>
      <w:lvlJc w:val="left"/>
      <w:pPr>
        <w:ind w:left="95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5A5020">
      <w:start w:val="1"/>
      <w:numFmt w:val="lowerRoman"/>
      <w:lvlText w:val="%3."/>
      <w:lvlJc w:val="left"/>
      <w:pPr>
        <w:ind w:left="1672" w:hanging="1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148F8E">
      <w:start w:val="1"/>
      <w:numFmt w:val="decimal"/>
      <w:lvlText w:val="%4."/>
      <w:lvlJc w:val="left"/>
      <w:pPr>
        <w:ind w:left="239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2AAC52">
      <w:start w:val="1"/>
      <w:numFmt w:val="lowerLetter"/>
      <w:lvlText w:val="%5."/>
      <w:lvlJc w:val="left"/>
      <w:pPr>
        <w:ind w:left="311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1618B4">
      <w:start w:val="1"/>
      <w:numFmt w:val="lowerRoman"/>
      <w:lvlText w:val="%6."/>
      <w:lvlJc w:val="left"/>
      <w:pPr>
        <w:ind w:left="3832" w:hanging="1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D0648C">
      <w:start w:val="1"/>
      <w:numFmt w:val="decimal"/>
      <w:lvlText w:val="%7."/>
      <w:lvlJc w:val="left"/>
      <w:pPr>
        <w:ind w:left="455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220426">
      <w:start w:val="1"/>
      <w:numFmt w:val="lowerLetter"/>
      <w:lvlText w:val="%8."/>
      <w:lvlJc w:val="left"/>
      <w:pPr>
        <w:ind w:left="527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8EBC92">
      <w:start w:val="1"/>
      <w:numFmt w:val="lowerRoman"/>
      <w:lvlText w:val="%9."/>
      <w:lvlJc w:val="left"/>
      <w:pPr>
        <w:ind w:left="5992" w:hanging="1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498341C"/>
    <w:multiLevelType w:val="multilevel"/>
    <w:tmpl w:val="BA0E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8D3EE3"/>
    <w:multiLevelType w:val="multilevel"/>
    <w:tmpl w:val="B224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E7"/>
    <w:rsid w:val="000338F4"/>
    <w:rsid w:val="00112D4B"/>
    <w:rsid w:val="001157CB"/>
    <w:rsid w:val="001C1211"/>
    <w:rsid w:val="00231135"/>
    <w:rsid w:val="00297C0D"/>
    <w:rsid w:val="002A185D"/>
    <w:rsid w:val="00305C04"/>
    <w:rsid w:val="003A33DA"/>
    <w:rsid w:val="004C4E66"/>
    <w:rsid w:val="005B0A8A"/>
    <w:rsid w:val="005D61BC"/>
    <w:rsid w:val="006300C3"/>
    <w:rsid w:val="0065026C"/>
    <w:rsid w:val="00677210"/>
    <w:rsid w:val="00742175"/>
    <w:rsid w:val="00772BFC"/>
    <w:rsid w:val="007A6F23"/>
    <w:rsid w:val="007D377A"/>
    <w:rsid w:val="00887CE7"/>
    <w:rsid w:val="00A27559"/>
    <w:rsid w:val="00AF498F"/>
    <w:rsid w:val="00B96F16"/>
    <w:rsid w:val="00BA2977"/>
    <w:rsid w:val="00DF009E"/>
    <w:rsid w:val="00F04DD1"/>
    <w:rsid w:val="00F55AC2"/>
    <w:rsid w:val="00F73563"/>
    <w:rsid w:val="00FA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ED61A-07D3-469C-A0AD-29D58872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span9">
    <w:name w:val="span9"/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pubb.ro/intconf/wp-content/uploads/2016/04/Transylvanian-Conference-in-PA-20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5074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Bodio Joanna</cp:lastModifiedBy>
  <cp:revision>2</cp:revision>
  <dcterms:created xsi:type="dcterms:W3CDTF">2025-02-03T09:23:00Z</dcterms:created>
  <dcterms:modified xsi:type="dcterms:W3CDTF">2025-02-03T09:23:00Z</dcterms:modified>
</cp:coreProperties>
</file>