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6D040F"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6D040F" w:rsidRPr="00754C7B" w:rsidRDefault="006D040F" w:rsidP="008B2FD5">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253B337D" w:rsidR="006D040F" w:rsidRPr="006D040F" w:rsidRDefault="006D040F" w:rsidP="008B2FD5">
            <w:pPr>
              <w:rPr>
                <w:rFonts w:cstheme="minorHAnsi"/>
                <w:bCs/>
                <w:sz w:val="20"/>
                <w:szCs w:val="20"/>
              </w:rPr>
            </w:pPr>
            <w:r w:rsidRPr="005D1B94">
              <w:rPr>
                <w:rFonts w:cstheme="minorHAnsi"/>
                <w:bCs/>
                <w:sz w:val="20"/>
                <w:szCs w:val="20"/>
              </w:rPr>
              <w:t>Dr hab. Katarzyna Wójtowicz, prof. UM</w:t>
            </w:r>
            <w:r>
              <w:rPr>
                <w:rFonts w:cstheme="minorHAnsi"/>
                <w:bCs/>
                <w:sz w:val="20"/>
                <w:szCs w:val="20"/>
              </w:rPr>
              <w:t>CS</w:t>
            </w:r>
          </w:p>
        </w:tc>
      </w:tr>
      <w:tr w:rsidR="006D040F"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6D040F" w:rsidRPr="00754C7B" w:rsidRDefault="006D040F" w:rsidP="008B2FD5">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1FBCCB27" w:rsidR="006D040F" w:rsidRPr="003D1DA3" w:rsidRDefault="00D83D46" w:rsidP="008B2FD5">
            <w:pPr>
              <w:rPr>
                <w:rFonts w:cstheme="minorHAnsi"/>
                <w:bCs/>
                <w:sz w:val="20"/>
                <w:szCs w:val="20"/>
                <w:lang w:val="en-US"/>
              </w:rPr>
            </w:pPr>
            <w:r>
              <w:rPr>
                <w:rFonts w:cstheme="minorHAnsi"/>
                <w:bCs/>
                <w:sz w:val="20"/>
                <w:szCs w:val="20"/>
                <w:lang w:val="en-US"/>
              </w:rPr>
              <w:t>TAK</w:t>
            </w:r>
          </w:p>
        </w:tc>
      </w:tr>
      <w:tr w:rsidR="006D040F"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6D040F" w:rsidRPr="00754C7B" w:rsidRDefault="006D040F" w:rsidP="008B2FD5">
            <w:pPr>
              <w:rPr>
                <w:rFonts w:cstheme="minorHAnsi"/>
                <w:b/>
                <w:sz w:val="20"/>
                <w:szCs w:val="20"/>
              </w:rPr>
            </w:pPr>
            <w:r w:rsidRPr="00754C7B">
              <w:rPr>
                <w:rFonts w:cstheme="minorHAnsi"/>
                <w:b/>
                <w:sz w:val="20"/>
                <w:szCs w:val="20"/>
              </w:rPr>
              <w:t>Oferta PJOE*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18376F1E" w:rsidR="006D040F" w:rsidRPr="003D1DA3" w:rsidRDefault="006D040F" w:rsidP="008B2FD5">
            <w:pPr>
              <w:rPr>
                <w:rFonts w:cstheme="minorHAnsi"/>
                <w:bCs/>
                <w:sz w:val="20"/>
                <w:szCs w:val="20"/>
                <w:lang w:val="en-US"/>
              </w:rPr>
            </w:pPr>
            <w:r>
              <w:rPr>
                <w:rFonts w:cstheme="minorHAnsi"/>
                <w:bCs/>
                <w:sz w:val="20"/>
                <w:szCs w:val="20"/>
                <w:lang w:val="en-US"/>
              </w:rPr>
              <w:t>TAK</w:t>
            </w:r>
          </w:p>
        </w:tc>
      </w:tr>
      <w:tr w:rsidR="006D040F"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6D040F" w:rsidRPr="00754C7B" w:rsidRDefault="006D040F" w:rsidP="008B2FD5">
            <w:pPr>
              <w:rPr>
                <w:rFonts w:cstheme="minorHAnsi"/>
                <w:b/>
                <w:sz w:val="20"/>
                <w:szCs w:val="20"/>
              </w:rPr>
            </w:pPr>
            <w:r w:rsidRPr="00754C7B">
              <w:rPr>
                <w:rFonts w:cstheme="minorHAnsi"/>
                <w:b/>
                <w:sz w:val="20"/>
                <w:szCs w:val="20"/>
              </w:rPr>
              <w:t>Kierunek, rok, stopień dla PJO</w:t>
            </w:r>
            <w:r>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6D040F" w:rsidRPr="00754C7B" w:rsidRDefault="006D040F" w:rsidP="008B2FD5">
            <w:pPr>
              <w:rPr>
                <w:rFonts w:cstheme="minorHAnsi"/>
                <w:bCs/>
                <w:sz w:val="20"/>
                <w:szCs w:val="20"/>
              </w:rPr>
            </w:pPr>
          </w:p>
        </w:tc>
      </w:tr>
      <w:tr w:rsidR="006D040F"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670C87FE" w:rsidR="006D040F" w:rsidRPr="00754C7B" w:rsidRDefault="006D040F" w:rsidP="008B2FD5">
            <w:pPr>
              <w:rPr>
                <w:rFonts w:cstheme="minorHAnsi"/>
                <w:b/>
                <w:sz w:val="20"/>
                <w:szCs w:val="20"/>
              </w:rPr>
            </w:pPr>
            <w:r w:rsidRPr="00754C7B">
              <w:rPr>
                <w:rFonts w:cstheme="minorHAnsi"/>
                <w:b/>
                <w:sz w:val="20"/>
                <w:szCs w:val="20"/>
              </w:rPr>
              <w:t>Semestr roku 202</w:t>
            </w:r>
            <w:r w:rsidR="00D83D46">
              <w:rPr>
                <w:rFonts w:cstheme="minorHAnsi"/>
                <w:b/>
                <w:sz w:val="20"/>
                <w:szCs w:val="20"/>
              </w:rPr>
              <w:t>4</w:t>
            </w:r>
            <w:r w:rsidRPr="00754C7B">
              <w:rPr>
                <w:rFonts w:cstheme="minorHAnsi"/>
                <w:b/>
                <w:sz w:val="20"/>
                <w:szCs w:val="20"/>
              </w:rPr>
              <w:t>/202</w:t>
            </w:r>
            <w:r w:rsidR="00D83D46">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05DBF099" w:rsidR="006D040F" w:rsidRPr="00754C7B" w:rsidRDefault="006D040F" w:rsidP="008B2FD5">
            <w:pPr>
              <w:rPr>
                <w:rFonts w:cstheme="minorHAnsi"/>
                <w:bCs/>
                <w:sz w:val="20"/>
                <w:szCs w:val="20"/>
              </w:rPr>
            </w:pPr>
            <w:r w:rsidRPr="00754C7B">
              <w:rPr>
                <w:rFonts w:cstheme="minorHAnsi"/>
                <w:bCs/>
                <w:sz w:val="20"/>
                <w:szCs w:val="20"/>
              </w:rPr>
              <w:t>letni</w:t>
            </w:r>
          </w:p>
        </w:tc>
      </w:tr>
    </w:tbl>
    <w:p w14:paraId="6EAB3A9D" w14:textId="462B53FF" w:rsidR="001843FB" w:rsidRDefault="00754C7B" w:rsidP="008B2FD5">
      <w:pPr>
        <w:spacing w:after="0" w:line="240" w:lineRule="auto"/>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8B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8B2FD5">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740AE1F0" w:rsidR="001843FB" w:rsidRPr="006D040F" w:rsidRDefault="00D83D46" w:rsidP="008B2FD5">
            <w:pPr>
              <w:rPr>
                <w:rFonts w:cstheme="minorHAnsi"/>
                <w:b/>
                <w:sz w:val="24"/>
                <w:szCs w:val="24"/>
                <w:lang w:val="en-US"/>
              </w:rPr>
            </w:pPr>
            <w:r>
              <w:rPr>
                <w:rFonts w:cstheme="minorHAnsi"/>
                <w:b/>
                <w:sz w:val="24"/>
                <w:szCs w:val="24"/>
                <w:lang w:val="en-US"/>
              </w:rPr>
              <w:t>Indirect taxation in EU</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rsidP="008B2FD5">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rsidP="008B2FD5">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rsidP="008B2FD5">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rsidP="008B2FD5">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rsidP="008B2FD5">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328FC190" w:rsidR="00DD1534" w:rsidRPr="003D1DA3" w:rsidRDefault="006D040F" w:rsidP="008B2FD5">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rsidP="008B2FD5">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C16322" w:rsidRPr="00C16322" w:rsidRDefault="000716E9" w:rsidP="008B2FD5">
            <w:pPr>
              <w:rPr>
                <w:rFonts w:cstheme="minorHAnsi"/>
                <w:bCs/>
                <w:color w:val="0000FF" w:themeColor="hyperlink"/>
                <w:sz w:val="20"/>
                <w:szCs w:val="20"/>
                <w:u w:val="single"/>
              </w:rPr>
            </w:pPr>
            <w:hyperlink r:id="rId8" w:history="1">
              <w:r w:rsidR="00D503FD" w:rsidRPr="008E7F02">
                <w:rPr>
                  <w:rStyle w:val="Hipercze"/>
                </w:rPr>
                <w:t>https://www.umcs.pl/en/courses-in-english-2021-2022,21582.htm</w:t>
              </w:r>
            </w:hyperlink>
            <w:r w:rsidR="00D503FD">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BB649D"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rsidP="008B2FD5">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77A47C09" w:rsidR="00DD1534" w:rsidRPr="003D1DA3" w:rsidRDefault="006D040F" w:rsidP="008B2FD5">
            <w:pPr>
              <w:rPr>
                <w:rFonts w:cstheme="minorHAnsi"/>
                <w:bCs/>
                <w:sz w:val="20"/>
                <w:szCs w:val="20"/>
                <w:lang w:val="en-US"/>
              </w:rPr>
            </w:pPr>
            <w:r w:rsidRPr="006D040F">
              <w:rPr>
                <w:rFonts w:cstheme="minorHAnsi"/>
                <w:bCs/>
                <w:sz w:val="20"/>
                <w:szCs w:val="20"/>
                <w:lang w:val="en-US"/>
              </w:rPr>
              <w:t>Basic knowledge of the public finance system</w:t>
            </w:r>
          </w:p>
        </w:tc>
      </w:tr>
      <w:tr w:rsidR="00DD1534" w:rsidRPr="00BB649D"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rsidP="008B2FD5">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861BEE3" w14:textId="577E077A" w:rsidR="006D040F" w:rsidRPr="006D040F" w:rsidRDefault="006D040F" w:rsidP="008B2FD5">
            <w:pPr>
              <w:rPr>
                <w:rFonts w:eastAsia="Times New Roman" w:cstheme="minorHAnsi"/>
                <w:bCs/>
                <w:sz w:val="20"/>
                <w:szCs w:val="20"/>
                <w:lang w:val="en-GB"/>
              </w:rPr>
            </w:pPr>
            <w:r w:rsidRPr="006D040F">
              <w:rPr>
                <w:rFonts w:eastAsia="Times New Roman" w:cstheme="minorHAnsi"/>
                <w:bCs/>
                <w:sz w:val="20"/>
                <w:szCs w:val="20"/>
                <w:lang w:val="en-GB"/>
              </w:rPr>
              <w:t>Contact hours (work with an academic teacher): 25</w:t>
            </w:r>
          </w:p>
          <w:p w14:paraId="08E4EDD3" w14:textId="77777777" w:rsidR="006D040F" w:rsidRPr="006D040F" w:rsidRDefault="006D040F" w:rsidP="008B2FD5">
            <w:pPr>
              <w:rPr>
                <w:rFonts w:eastAsia="Times New Roman" w:cstheme="minorHAnsi"/>
                <w:bCs/>
                <w:sz w:val="20"/>
                <w:szCs w:val="20"/>
                <w:lang w:val="en-GB"/>
              </w:rPr>
            </w:pPr>
            <w:r w:rsidRPr="006D040F">
              <w:rPr>
                <w:rFonts w:eastAsia="Times New Roman" w:cstheme="minorHAnsi"/>
                <w:bCs/>
                <w:sz w:val="20"/>
                <w:szCs w:val="20"/>
                <w:lang w:val="en-GB"/>
              </w:rPr>
              <w:t>Total number of hours with an academic teacher: 30</w:t>
            </w:r>
          </w:p>
          <w:p w14:paraId="51846595" w14:textId="77777777" w:rsidR="006D040F" w:rsidRPr="006D040F" w:rsidRDefault="006D040F" w:rsidP="008B2FD5">
            <w:pPr>
              <w:rPr>
                <w:rFonts w:eastAsia="Times New Roman" w:cstheme="minorHAnsi"/>
                <w:bCs/>
                <w:sz w:val="20"/>
                <w:szCs w:val="20"/>
                <w:lang w:val="en-GB"/>
              </w:rPr>
            </w:pPr>
            <w:r w:rsidRPr="006D040F">
              <w:rPr>
                <w:rFonts w:eastAsia="Times New Roman" w:cstheme="minorHAnsi"/>
                <w:bCs/>
                <w:sz w:val="20"/>
                <w:szCs w:val="20"/>
                <w:lang w:val="en-GB"/>
              </w:rPr>
              <w:t>Number of ECTS points with an academic teacher: 3</w:t>
            </w:r>
          </w:p>
          <w:p w14:paraId="5F39EC3B" w14:textId="77777777" w:rsidR="006D040F" w:rsidRPr="006D040F" w:rsidRDefault="006D040F" w:rsidP="008B2FD5">
            <w:pPr>
              <w:rPr>
                <w:rFonts w:eastAsia="Times New Roman" w:cstheme="minorHAnsi"/>
                <w:bCs/>
                <w:sz w:val="20"/>
                <w:szCs w:val="20"/>
                <w:lang w:val="en-GB"/>
              </w:rPr>
            </w:pPr>
            <w:r w:rsidRPr="006D040F">
              <w:rPr>
                <w:rFonts w:eastAsia="Times New Roman" w:cstheme="minorHAnsi"/>
                <w:bCs/>
                <w:sz w:val="20"/>
                <w:szCs w:val="20"/>
                <w:lang w:val="en-GB"/>
              </w:rPr>
              <w:t>Non-contact hours (students' work): 15</w:t>
            </w:r>
          </w:p>
          <w:p w14:paraId="4C286AE0" w14:textId="77777777" w:rsidR="006D040F" w:rsidRPr="006D040F" w:rsidRDefault="006D040F" w:rsidP="008B2FD5">
            <w:pPr>
              <w:rPr>
                <w:rFonts w:eastAsia="Times New Roman" w:cstheme="minorHAnsi"/>
                <w:bCs/>
                <w:sz w:val="20"/>
                <w:szCs w:val="20"/>
                <w:lang w:val="en-GB"/>
              </w:rPr>
            </w:pPr>
            <w:r w:rsidRPr="006D040F">
              <w:rPr>
                <w:rFonts w:eastAsia="Times New Roman" w:cstheme="minorHAnsi"/>
                <w:bCs/>
                <w:sz w:val="20"/>
                <w:szCs w:val="20"/>
                <w:lang w:val="en-GB"/>
              </w:rPr>
              <w:t>Total number of non-contact hours: 15</w:t>
            </w:r>
          </w:p>
          <w:p w14:paraId="4598EC3D" w14:textId="77777777" w:rsidR="006D040F" w:rsidRPr="006D040F" w:rsidRDefault="006D040F" w:rsidP="008B2FD5">
            <w:pPr>
              <w:rPr>
                <w:rFonts w:eastAsia="Times New Roman" w:cstheme="minorHAnsi"/>
                <w:bCs/>
                <w:sz w:val="20"/>
                <w:szCs w:val="20"/>
                <w:lang w:val="en-GB"/>
              </w:rPr>
            </w:pPr>
            <w:r w:rsidRPr="006D040F">
              <w:rPr>
                <w:rFonts w:eastAsia="Times New Roman" w:cstheme="minorHAnsi"/>
                <w:bCs/>
                <w:sz w:val="20"/>
                <w:szCs w:val="20"/>
                <w:lang w:val="en-GB"/>
              </w:rPr>
              <w:t>Number of ECTS points for non-contact hours: 1</w:t>
            </w:r>
          </w:p>
          <w:p w14:paraId="552A100D" w14:textId="16ABCA56" w:rsidR="00DD1534" w:rsidRPr="003D1DA3" w:rsidRDefault="006D040F" w:rsidP="008B2FD5">
            <w:pPr>
              <w:rPr>
                <w:rFonts w:cstheme="minorHAnsi"/>
                <w:bCs/>
                <w:sz w:val="20"/>
                <w:szCs w:val="20"/>
                <w:lang w:val="en-US"/>
              </w:rPr>
            </w:pPr>
            <w:r w:rsidRPr="006D040F">
              <w:rPr>
                <w:rFonts w:eastAsia="Times New Roman" w:cstheme="minorHAnsi"/>
                <w:bCs/>
                <w:sz w:val="20"/>
                <w:szCs w:val="20"/>
                <w:lang w:val="en-GB"/>
              </w:rPr>
              <w:t>Total number of ECTS points for the module: 4</w:t>
            </w:r>
          </w:p>
        </w:tc>
      </w:tr>
      <w:tr w:rsidR="00DD1534" w:rsidRPr="00BB649D"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rsidP="008B2FD5">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1C3CF920" w:rsidR="00DD1534" w:rsidRPr="003D1DA3" w:rsidRDefault="008B2FD5" w:rsidP="008B2FD5">
            <w:pPr>
              <w:rPr>
                <w:rFonts w:cstheme="minorHAnsi"/>
                <w:bCs/>
                <w:sz w:val="20"/>
                <w:szCs w:val="20"/>
                <w:lang w:val="en-US"/>
              </w:rPr>
            </w:pPr>
            <w:r w:rsidRPr="008B2FD5">
              <w:rPr>
                <w:rFonts w:cstheme="minorHAnsi"/>
                <w:bCs/>
                <w:sz w:val="20"/>
                <w:szCs w:val="20"/>
                <w:lang w:val="en-US"/>
              </w:rPr>
              <w:t>The v</w:t>
            </w:r>
            <w:r>
              <w:rPr>
                <w:rFonts w:cstheme="minorHAnsi"/>
                <w:bCs/>
                <w:sz w:val="20"/>
                <w:szCs w:val="20"/>
                <w:lang w:val="en-US"/>
              </w:rPr>
              <w:t xml:space="preserve">erification method of educational outcomes </w:t>
            </w:r>
            <w:r w:rsidRPr="008B2FD5">
              <w:rPr>
                <w:rFonts w:cstheme="minorHAnsi"/>
                <w:bCs/>
                <w:sz w:val="20"/>
                <w:szCs w:val="20"/>
                <w:lang w:val="en-US"/>
              </w:rPr>
              <w:t xml:space="preserve"> for this course involves two components: students' presentations during seminars and a final exam. The grading criteria are based on participation in the course, preparing presentations on assigned topics, and successfully passing the final exam.</w:t>
            </w:r>
          </w:p>
        </w:tc>
      </w:tr>
      <w:tr w:rsidR="00DD1534" w:rsidRPr="00BB649D"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rsidP="008B2FD5">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3EE873D5" w:rsidR="00DD1534" w:rsidRPr="003D1DA3" w:rsidRDefault="0014331F" w:rsidP="008B2FD5">
            <w:pPr>
              <w:jc w:val="both"/>
              <w:rPr>
                <w:rFonts w:eastAsia="Times New Roman" w:cstheme="minorHAnsi"/>
                <w:bCs/>
                <w:sz w:val="20"/>
                <w:szCs w:val="20"/>
                <w:lang w:val="en-US"/>
              </w:rPr>
            </w:pPr>
            <w:r w:rsidRPr="0014331F">
              <w:rPr>
                <w:rFonts w:eastAsia="Times New Roman" w:cstheme="minorHAnsi"/>
                <w:bCs/>
                <w:sz w:val="20"/>
                <w:szCs w:val="20"/>
                <w:lang w:val="en-US"/>
              </w:rPr>
              <w:t>This course introduces students to the basics of indirect taxation in the EU, focusing on Poland. The lecture will cover various topics, such as evaluating the effectiveness of VAT inflows, identifying the sources and scale of the VAT gap, conducting a comparative analysis of the VAT system in Poland with other EU countries, and presenting ways to improve VAT collection. Additionally, the lecture will provide an overview of EU excise duty rules, including the EU General Arrangements Directive, products subject to excise duties, time of charge ability, and excise duty suspension regimes.</w:t>
            </w:r>
          </w:p>
        </w:tc>
      </w:tr>
      <w:tr w:rsidR="00DD1534" w:rsidRPr="00BB649D"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rsidP="008B2FD5">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0B0E7292" w14:textId="77777777" w:rsidR="006D040F" w:rsidRDefault="006D040F" w:rsidP="008B2FD5">
            <w:pPr>
              <w:pStyle w:val="Akapitzlist"/>
              <w:numPr>
                <w:ilvl w:val="0"/>
                <w:numId w:val="1"/>
              </w:numPr>
              <w:rPr>
                <w:rFonts w:cstheme="minorHAnsi"/>
                <w:bCs/>
                <w:color w:val="333333"/>
                <w:sz w:val="20"/>
                <w:szCs w:val="20"/>
                <w:shd w:val="clear" w:color="auto" w:fill="FFFFFF"/>
                <w:lang w:val="en-US"/>
              </w:rPr>
            </w:pPr>
            <w:r w:rsidRPr="006D040F">
              <w:rPr>
                <w:rFonts w:cstheme="minorHAnsi"/>
                <w:bCs/>
                <w:color w:val="333333"/>
                <w:sz w:val="20"/>
                <w:szCs w:val="20"/>
                <w:shd w:val="clear" w:color="auto" w:fill="FFFFFF"/>
                <w:lang w:val="en-US"/>
              </w:rPr>
              <w:t xml:space="preserve">Ad van </w:t>
            </w:r>
            <w:proofErr w:type="spellStart"/>
            <w:r w:rsidRPr="006D040F">
              <w:rPr>
                <w:rFonts w:cstheme="minorHAnsi"/>
                <w:bCs/>
                <w:color w:val="333333"/>
                <w:sz w:val="20"/>
                <w:szCs w:val="20"/>
                <w:shd w:val="clear" w:color="auto" w:fill="FFFFFF"/>
                <w:lang w:val="en-US"/>
              </w:rPr>
              <w:t>Doesum</w:t>
            </w:r>
            <w:proofErr w:type="spellEnd"/>
            <w:r w:rsidRPr="006D040F">
              <w:rPr>
                <w:rFonts w:cstheme="minorHAnsi"/>
                <w:bCs/>
                <w:color w:val="333333"/>
                <w:sz w:val="20"/>
                <w:szCs w:val="20"/>
                <w:shd w:val="clear" w:color="auto" w:fill="FFFFFF"/>
                <w:lang w:val="en-US"/>
              </w:rPr>
              <w:t xml:space="preserve">, Herman van </w:t>
            </w:r>
            <w:proofErr w:type="spellStart"/>
            <w:r w:rsidRPr="006D040F">
              <w:rPr>
                <w:rFonts w:cstheme="minorHAnsi"/>
                <w:bCs/>
                <w:color w:val="333333"/>
                <w:sz w:val="20"/>
                <w:szCs w:val="20"/>
                <w:shd w:val="clear" w:color="auto" w:fill="FFFFFF"/>
                <w:lang w:val="en-US"/>
              </w:rPr>
              <w:t>Kesteren</w:t>
            </w:r>
            <w:proofErr w:type="spellEnd"/>
            <w:r w:rsidRPr="006D040F">
              <w:rPr>
                <w:rFonts w:cstheme="minorHAnsi"/>
                <w:bCs/>
                <w:color w:val="333333"/>
                <w:sz w:val="20"/>
                <w:szCs w:val="20"/>
                <w:shd w:val="clear" w:color="auto" w:fill="FFFFFF"/>
                <w:lang w:val="en-US"/>
              </w:rPr>
              <w:t xml:space="preserve">, Simon Cornielje, Frank J. G. Nellen </w:t>
            </w:r>
            <w:r>
              <w:rPr>
                <w:rFonts w:cstheme="minorHAnsi"/>
                <w:bCs/>
                <w:color w:val="333333"/>
                <w:sz w:val="20"/>
                <w:szCs w:val="20"/>
                <w:shd w:val="clear" w:color="auto" w:fill="FFFFFF"/>
                <w:lang w:val="en-US"/>
              </w:rPr>
              <w:t xml:space="preserve">(2020). </w:t>
            </w:r>
            <w:r w:rsidRPr="006D040F">
              <w:rPr>
                <w:rFonts w:cstheme="minorHAnsi"/>
                <w:bCs/>
                <w:color w:val="333333"/>
                <w:sz w:val="20"/>
                <w:szCs w:val="20"/>
                <w:shd w:val="clear" w:color="auto" w:fill="FFFFFF"/>
                <w:lang w:val="en-US"/>
              </w:rPr>
              <w:t>Fundamentals of EU VAT Law, Second Edition</w:t>
            </w:r>
            <w:r>
              <w:rPr>
                <w:rFonts w:cstheme="minorHAnsi"/>
                <w:bCs/>
                <w:color w:val="333333"/>
                <w:sz w:val="20"/>
                <w:szCs w:val="20"/>
                <w:shd w:val="clear" w:color="auto" w:fill="FFFFFF"/>
                <w:lang w:val="en-US"/>
              </w:rPr>
              <w:t xml:space="preserve"> </w:t>
            </w:r>
            <w:r w:rsidRPr="006D040F">
              <w:rPr>
                <w:rFonts w:cstheme="minorHAnsi"/>
                <w:bCs/>
                <w:color w:val="333333"/>
                <w:sz w:val="20"/>
                <w:szCs w:val="20"/>
                <w:shd w:val="clear" w:color="auto" w:fill="FFFFFF"/>
                <w:lang w:val="en-US"/>
              </w:rPr>
              <w:t>SKU:10057841-0002</w:t>
            </w:r>
          </w:p>
          <w:p w14:paraId="101CA98D" w14:textId="77777777" w:rsidR="006D040F" w:rsidRPr="006D040F" w:rsidRDefault="006D040F" w:rsidP="008B2FD5">
            <w:pPr>
              <w:pStyle w:val="Akapitzlist"/>
              <w:numPr>
                <w:ilvl w:val="0"/>
                <w:numId w:val="1"/>
              </w:numPr>
              <w:rPr>
                <w:rFonts w:cstheme="minorHAnsi"/>
                <w:bCs/>
                <w:color w:val="333333"/>
                <w:sz w:val="20"/>
                <w:szCs w:val="20"/>
                <w:shd w:val="clear" w:color="auto" w:fill="FFFFFF"/>
                <w:lang w:val="en-US"/>
              </w:rPr>
            </w:pPr>
            <w:r w:rsidRPr="006D040F">
              <w:rPr>
                <w:rFonts w:cstheme="minorHAnsi"/>
                <w:bCs/>
                <w:color w:val="333333"/>
                <w:sz w:val="20"/>
                <w:szCs w:val="20"/>
                <w:shd w:val="clear" w:color="auto" w:fill="FFFFFF"/>
                <w:lang w:val="en-US"/>
              </w:rPr>
              <w:t>Keen M. (2013); The Anatomy of the VAT, IMF Working Papers 13/111, International Monetary Fund.</w:t>
            </w:r>
          </w:p>
          <w:p w14:paraId="552A101D" w14:textId="096B1095" w:rsidR="001C2D1A" w:rsidRPr="006D040F" w:rsidRDefault="006D040F" w:rsidP="008B2FD5">
            <w:pPr>
              <w:pStyle w:val="Akapitzlist"/>
              <w:numPr>
                <w:ilvl w:val="0"/>
                <w:numId w:val="1"/>
              </w:numPr>
              <w:rPr>
                <w:rFonts w:cstheme="minorHAnsi"/>
                <w:bCs/>
                <w:color w:val="333333"/>
                <w:sz w:val="20"/>
                <w:szCs w:val="20"/>
                <w:shd w:val="clear" w:color="auto" w:fill="FFFFFF"/>
                <w:lang w:val="en-US"/>
              </w:rPr>
            </w:pPr>
            <w:r w:rsidRPr="006D040F">
              <w:rPr>
                <w:rFonts w:cstheme="minorHAnsi"/>
                <w:bCs/>
                <w:color w:val="333333"/>
                <w:sz w:val="20"/>
                <w:szCs w:val="20"/>
                <w:shd w:val="clear" w:color="auto" w:fill="FFFFFF"/>
                <w:lang w:val="en-US"/>
              </w:rPr>
              <w:t xml:space="preserve">Mathe M.,  </w:t>
            </w:r>
            <w:proofErr w:type="spellStart"/>
            <w:r w:rsidRPr="006D040F">
              <w:rPr>
                <w:rFonts w:cstheme="minorHAnsi"/>
                <w:bCs/>
                <w:color w:val="333333"/>
                <w:sz w:val="20"/>
                <w:szCs w:val="20"/>
                <w:shd w:val="clear" w:color="auto" w:fill="FFFFFF"/>
                <w:lang w:val="en-US"/>
              </w:rPr>
              <w:t>Nicodeme</w:t>
            </w:r>
            <w:proofErr w:type="spellEnd"/>
            <w:r w:rsidRPr="006D040F">
              <w:rPr>
                <w:rFonts w:cstheme="minorHAnsi"/>
                <w:bCs/>
                <w:color w:val="333333"/>
                <w:sz w:val="20"/>
                <w:szCs w:val="20"/>
                <w:shd w:val="clear" w:color="auto" w:fill="FFFFFF"/>
                <w:lang w:val="en-US"/>
              </w:rPr>
              <w:t xml:space="preserve"> G.. Rua S., (2013) Tax Shifts, Taxation papers, Working paper no. 59–2015, E L. Barbone , M. </w:t>
            </w:r>
            <w:proofErr w:type="spellStart"/>
            <w:r w:rsidRPr="006D040F">
              <w:rPr>
                <w:rFonts w:cstheme="minorHAnsi"/>
                <w:bCs/>
                <w:color w:val="333333"/>
                <w:sz w:val="20"/>
                <w:szCs w:val="20"/>
                <w:shd w:val="clear" w:color="auto" w:fill="FFFFFF"/>
                <w:lang w:val="en-US"/>
              </w:rPr>
              <w:t>Belkindas</w:t>
            </w:r>
            <w:proofErr w:type="spellEnd"/>
            <w:r w:rsidRPr="006D040F">
              <w:rPr>
                <w:rFonts w:cstheme="minorHAnsi"/>
                <w:bCs/>
                <w:color w:val="333333"/>
                <w:sz w:val="20"/>
                <w:szCs w:val="20"/>
                <w:shd w:val="clear" w:color="auto" w:fill="FFFFFF"/>
                <w:lang w:val="en-US"/>
              </w:rPr>
              <w:t xml:space="preserve">, L. Bettendorf, R. Bird, M. </w:t>
            </w:r>
            <w:proofErr w:type="spellStart"/>
            <w:r w:rsidRPr="006D040F">
              <w:rPr>
                <w:rFonts w:cstheme="minorHAnsi"/>
                <w:bCs/>
                <w:color w:val="333333"/>
                <w:sz w:val="20"/>
                <w:szCs w:val="20"/>
                <w:shd w:val="clear" w:color="auto" w:fill="FFFFFF"/>
                <w:lang w:val="en-US"/>
              </w:rPr>
              <w:t>Bonch-Osmolovskiy</w:t>
            </w:r>
            <w:proofErr w:type="spellEnd"/>
            <w:r w:rsidRPr="006D040F">
              <w:rPr>
                <w:rFonts w:cstheme="minorHAnsi"/>
                <w:bCs/>
                <w:color w:val="333333"/>
                <w:sz w:val="20"/>
                <w:szCs w:val="20"/>
                <w:shd w:val="clear" w:color="auto" w:fill="FFFFFF"/>
                <w:lang w:val="en-US"/>
              </w:rPr>
              <w:t xml:space="preserve"> </w:t>
            </w:r>
            <w:proofErr w:type="spellStart"/>
            <w:r w:rsidRPr="006D040F">
              <w:rPr>
                <w:rFonts w:cstheme="minorHAnsi"/>
                <w:bCs/>
                <w:color w:val="333333"/>
                <w:sz w:val="20"/>
                <w:szCs w:val="20"/>
                <w:shd w:val="clear" w:color="auto" w:fill="FFFFFF"/>
                <w:lang w:val="en-US"/>
              </w:rPr>
              <w:t>i</w:t>
            </w:r>
            <w:proofErr w:type="spellEnd"/>
            <w:r w:rsidRPr="006D040F">
              <w:rPr>
                <w:rFonts w:cstheme="minorHAnsi"/>
                <w:bCs/>
                <w:color w:val="333333"/>
                <w:sz w:val="20"/>
                <w:szCs w:val="20"/>
                <w:shd w:val="clear" w:color="auto" w:fill="FFFFFF"/>
                <w:lang w:val="en-US"/>
              </w:rPr>
              <w:t xml:space="preserve"> M. Smart, Study to quantify and </w:t>
            </w:r>
            <w:proofErr w:type="spellStart"/>
            <w:r w:rsidRPr="006D040F">
              <w:rPr>
                <w:rFonts w:cstheme="minorHAnsi"/>
                <w:bCs/>
                <w:color w:val="333333"/>
                <w:sz w:val="20"/>
                <w:szCs w:val="20"/>
                <w:shd w:val="clear" w:color="auto" w:fill="FFFFFF"/>
                <w:lang w:val="en-US"/>
              </w:rPr>
              <w:t>analyse</w:t>
            </w:r>
            <w:proofErr w:type="spellEnd"/>
            <w:r w:rsidRPr="006D040F">
              <w:rPr>
                <w:rFonts w:cstheme="minorHAnsi"/>
                <w:bCs/>
                <w:color w:val="333333"/>
                <w:sz w:val="20"/>
                <w:szCs w:val="20"/>
                <w:shd w:val="clear" w:color="auto" w:fill="FFFFFF"/>
                <w:lang w:val="en-US"/>
              </w:rPr>
              <w:t xml:space="preserve"> the VAT gap in EU-27 Members States, Case Network Reports No. 116, s. 131, European Commission</w:t>
            </w:r>
          </w:p>
        </w:tc>
      </w:tr>
      <w:tr w:rsidR="00DD1534" w:rsidRPr="00BB649D"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rsidP="008B2FD5">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01EA0AE4" w14:textId="46234402" w:rsidR="00141836" w:rsidRPr="00141836" w:rsidRDefault="00141836" w:rsidP="008B2FD5">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KNOWLEDGE: </w:t>
            </w:r>
          </w:p>
          <w:p w14:paraId="0AB06F26" w14:textId="77777777" w:rsidR="00141836" w:rsidRPr="00141836" w:rsidRDefault="00141836" w:rsidP="008B2FD5">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 Acquire knowledge of the fundamental elements that underlie EU and international indirect tax law, particularly about cross-border transactions. </w:t>
            </w:r>
          </w:p>
          <w:p w14:paraId="2DA4BFA1" w14:textId="77777777" w:rsidR="00141836" w:rsidRPr="00141836" w:rsidRDefault="00141836" w:rsidP="008B2FD5">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 Demonstrate an understanding of the principles of EU law that relate to the interaction between domestic, international, and European sources of law as applied to real-life tax scenarios. </w:t>
            </w:r>
          </w:p>
          <w:p w14:paraId="24583E26" w14:textId="3AD06E92" w:rsidR="00141836" w:rsidRPr="00141836" w:rsidRDefault="00141836" w:rsidP="008B2FD5">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SKILLS: </w:t>
            </w:r>
          </w:p>
          <w:p w14:paraId="68550B03" w14:textId="77777777" w:rsidR="00141836" w:rsidRPr="00141836" w:rsidRDefault="00141836" w:rsidP="008B2FD5">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 Analyze problems critically and personally and comprehend issues relevant to international indirect tax planning or arising from deficient implementation of European Union rules. </w:t>
            </w:r>
          </w:p>
          <w:p w14:paraId="21945410" w14:textId="77777777" w:rsidR="00141836" w:rsidRPr="00141836" w:rsidRDefault="00141836" w:rsidP="008B2FD5">
            <w:pPr>
              <w:ind w:left="373" w:hanging="373"/>
              <w:rPr>
                <w:rFonts w:eastAsia="Times New Roman" w:cstheme="minorHAnsi"/>
                <w:bCs/>
                <w:sz w:val="20"/>
                <w:szCs w:val="20"/>
                <w:lang w:val="en-US"/>
              </w:rPr>
            </w:pPr>
            <w:r w:rsidRPr="00141836">
              <w:rPr>
                <w:rFonts w:eastAsia="Times New Roman" w:cstheme="minorHAnsi"/>
                <w:bCs/>
                <w:sz w:val="20"/>
                <w:szCs w:val="20"/>
                <w:lang w:val="en-US"/>
              </w:rPr>
              <w:t>- Exhibit a strong awareness of the legal remedies that are available to taxpayers before the Court of Justice of the European Union. -</w:t>
            </w:r>
          </w:p>
          <w:p w14:paraId="52699D10" w14:textId="77777777" w:rsidR="00141836" w:rsidRPr="00141836" w:rsidRDefault="00141836" w:rsidP="008B2FD5">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-Communicate findings and conclusions to both specialists and non-specialists. </w:t>
            </w:r>
          </w:p>
          <w:p w14:paraId="38BB51F2" w14:textId="77777777" w:rsidR="00141836" w:rsidRPr="00141836" w:rsidRDefault="00141836" w:rsidP="008B2FD5">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 Apply general principles, theories, and analyses to practical cases. </w:t>
            </w:r>
          </w:p>
          <w:p w14:paraId="0543704F" w14:textId="3E98012C" w:rsidR="00141836" w:rsidRPr="00141836" w:rsidRDefault="00141836" w:rsidP="008B2FD5">
            <w:pPr>
              <w:ind w:left="373" w:hanging="373"/>
              <w:rPr>
                <w:rFonts w:eastAsia="Times New Roman" w:cstheme="minorHAnsi"/>
                <w:bCs/>
                <w:sz w:val="20"/>
                <w:szCs w:val="20"/>
                <w:lang w:val="en-US"/>
              </w:rPr>
            </w:pPr>
            <w:r w:rsidRPr="00141836">
              <w:rPr>
                <w:rFonts w:eastAsia="Times New Roman" w:cstheme="minorHAnsi"/>
                <w:bCs/>
                <w:sz w:val="20"/>
                <w:szCs w:val="20"/>
                <w:lang w:val="en-US"/>
              </w:rPr>
              <w:lastRenderedPageBreak/>
              <w:t xml:space="preserve">ATTITUDES: </w:t>
            </w:r>
          </w:p>
          <w:p w14:paraId="07382D71" w14:textId="77777777" w:rsidR="00141836" w:rsidRPr="00141836" w:rsidRDefault="00141836" w:rsidP="008B2FD5">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 Conduct limited independent research and take responsibility for their knowledge development in an objective yet critical manner. </w:t>
            </w:r>
          </w:p>
          <w:p w14:paraId="552A1022" w14:textId="1133F802" w:rsidR="000C2FD8" w:rsidRPr="003D1DA3" w:rsidRDefault="00141836" w:rsidP="008B2FD5">
            <w:pPr>
              <w:ind w:left="373" w:hanging="373"/>
              <w:rPr>
                <w:rFonts w:eastAsia="Times New Roman" w:cstheme="minorHAnsi"/>
                <w:bCs/>
                <w:sz w:val="20"/>
                <w:szCs w:val="20"/>
                <w:lang w:val="en-US"/>
              </w:rPr>
            </w:pPr>
            <w:r w:rsidRPr="00141836">
              <w:rPr>
                <w:rFonts w:eastAsia="Times New Roman" w:cstheme="minorHAnsi"/>
                <w:bCs/>
                <w:sz w:val="20"/>
                <w:szCs w:val="20"/>
                <w:lang w:val="en-US"/>
              </w:rPr>
              <w:t>- Develop a reliance on their understanding of European Union law when analyzing and solving practical and theoretical problems through preparing and presenting case studies and written assessments.</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rsidP="008B2FD5">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rsidP="008B2FD5">
            <w:pPr>
              <w:rPr>
                <w:rFonts w:cstheme="minorHAnsi"/>
                <w:bCs/>
                <w:sz w:val="20"/>
                <w:szCs w:val="20"/>
                <w:lang w:val="en-US"/>
              </w:rPr>
            </w:pPr>
            <w:r w:rsidRPr="003D1DA3">
              <w:rPr>
                <w:rFonts w:cstheme="minorHAnsi"/>
                <w:bCs/>
                <w:sz w:val="20"/>
                <w:szCs w:val="20"/>
                <w:lang w:val="en-US"/>
              </w:rPr>
              <w:t>n/a</w:t>
            </w:r>
          </w:p>
        </w:tc>
      </w:tr>
    </w:tbl>
    <w:p w14:paraId="45A66CE6" w14:textId="61BF7936" w:rsidR="000C2FD8" w:rsidRDefault="000C2FD8" w:rsidP="008B2FD5">
      <w:pPr>
        <w:spacing w:after="0" w:line="240" w:lineRule="auto"/>
        <w:rPr>
          <w:rFonts w:eastAsia="Times New Roman" w:cstheme="minorHAnsi"/>
          <w:sz w:val="20"/>
          <w:szCs w:val="20"/>
          <w:lang w:val="en-US"/>
        </w:rPr>
      </w:pPr>
    </w:p>
    <w:p w14:paraId="552A1029" w14:textId="6D33D74E" w:rsidR="00DD1534" w:rsidRPr="00A76008" w:rsidRDefault="00754C7B" w:rsidP="008B2FD5">
      <w:pPr>
        <w:pStyle w:val="HTML-wstpniesformatowany"/>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10201" w:type="dxa"/>
        <w:tblLook w:val="04A0" w:firstRow="1" w:lastRow="0" w:firstColumn="1" w:lastColumn="0" w:noHBand="0" w:noVBand="1"/>
      </w:tblPr>
      <w:tblGrid>
        <w:gridCol w:w="3936"/>
        <w:gridCol w:w="6265"/>
      </w:tblGrid>
      <w:tr w:rsidR="00FA6F83" w:rsidRPr="00C16322" w14:paraId="552A102C" w14:textId="77777777" w:rsidTr="00BB649D">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8B2FD5">
            <w:pPr>
              <w:rPr>
                <w:rFonts w:cstheme="minorHAnsi"/>
                <w:b/>
                <w:bCs/>
                <w:sz w:val="20"/>
                <w:szCs w:val="20"/>
                <w:lang w:val="en-US"/>
              </w:rPr>
            </w:pPr>
            <w:r w:rsidRPr="003D1DA3">
              <w:rPr>
                <w:rFonts w:eastAsia="Times New Roman" w:cstheme="minorHAnsi"/>
                <w:b/>
                <w:bCs/>
                <w:sz w:val="20"/>
                <w:szCs w:val="20"/>
                <w:lang w:val="en-US"/>
              </w:rPr>
              <w:t>Website</w:t>
            </w:r>
          </w:p>
        </w:tc>
        <w:tc>
          <w:tcPr>
            <w:tcW w:w="6265"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0716E9" w:rsidP="008B2FD5">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BB649D" w14:paraId="552A102F" w14:textId="77777777" w:rsidTr="00BB649D">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8B2FD5">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6265" w:type="dxa"/>
            <w:tcBorders>
              <w:top w:val="single" w:sz="4" w:space="0" w:color="auto"/>
              <w:left w:val="single" w:sz="4" w:space="0" w:color="auto"/>
              <w:bottom w:val="single" w:sz="4" w:space="0" w:color="auto"/>
              <w:right w:val="single" w:sz="4" w:space="0" w:color="auto"/>
            </w:tcBorders>
          </w:tcPr>
          <w:p w14:paraId="552A102E" w14:textId="3FBE224C" w:rsidR="00FA6F83" w:rsidRPr="00A76008" w:rsidRDefault="0070782F" w:rsidP="008B2FD5">
            <w:pPr>
              <w:rPr>
                <w:rFonts w:cstheme="minorHAnsi"/>
                <w:sz w:val="20"/>
                <w:szCs w:val="20"/>
                <w:lang w:val="en-US"/>
              </w:rPr>
            </w:pPr>
            <w:r w:rsidRPr="005D1B94">
              <w:rPr>
                <w:rFonts w:cstheme="minorHAnsi"/>
                <w:bCs/>
                <w:sz w:val="20"/>
                <w:szCs w:val="20"/>
                <w:lang w:val="en-US"/>
              </w:rPr>
              <w:t>Activity and attendance during classes, written exam-choice test</w:t>
            </w:r>
          </w:p>
        </w:tc>
      </w:tr>
      <w:tr w:rsidR="00DD1534" w:rsidRPr="0070782F" w14:paraId="552A1032" w14:textId="77777777" w:rsidTr="00BB649D">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rsidP="008B2FD5">
            <w:pPr>
              <w:rPr>
                <w:rFonts w:cstheme="minorHAnsi"/>
                <w:b/>
                <w:bCs/>
                <w:sz w:val="20"/>
                <w:szCs w:val="20"/>
                <w:lang w:val="en-US"/>
              </w:rPr>
            </w:pPr>
            <w:r w:rsidRPr="003D1DA3">
              <w:rPr>
                <w:rFonts w:eastAsia="Times New Roman" w:cstheme="minorHAnsi"/>
                <w:b/>
                <w:bCs/>
                <w:sz w:val="20"/>
                <w:szCs w:val="20"/>
                <w:lang w:val="en-US"/>
              </w:rPr>
              <w:t>Comments</w:t>
            </w:r>
          </w:p>
        </w:tc>
        <w:tc>
          <w:tcPr>
            <w:tcW w:w="6265" w:type="dxa"/>
            <w:tcBorders>
              <w:top w:val="single" w:sz="4" w:space="0" w:color="auto"/>
              <w:left w:val="single" w:sz="4" w:space="0" w:color="auto"/>
              <w:bottom w:val="single" w:sz="4" w:space="0" w:color="auto"/>
              <w:right w:val="single" w:sz="4" w:space="0" w:color="auto"/>
            </w:tcBorders>
          </w:tcPr>
          <w:p w14:paraId="552A1031" w14:textId="14881A3E" w:rsidR="00DD1534" w:rsidRPr="00A76008" w:rsidRDefault="00DD1534" w:rsidP="008B2FD5">
            <w:pPr>
              <w:rPr>
                <w:rFonts w:cstheme="minorHAnsi"/>
                <w:sz w:val="20"/>
                <w:szCs w:val="20"/>
                <w:lang w:val="en-US"/>
              </w:rPr>
            </w:pPr>
          </w:p>
        </w:tc>
      </w:tr>
      <w:tr w:rsidR="00DD1534" w:rsidRPr="00BB649D" w14:paraId="552A1039" w14:textId="77777777" w:rsidTr="00BB649D">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rsidP="008B2FD5">
            <w:pPr>
              <w:rPr>
                <w:rFonts w:cstheme="minorHAnsi"/>
                <w:b/>
                <w:bCs/>
                <w:sz w:val="20"/>
                <w:szCs w:val="20"/>
                <w:lang w:val="en-US"/>
              </w:rPr>
            </w:pPr>
            <w:r w:rsidRPr="003D1DA3">
              <w:rPr>
                <w:rFonts w:eastAsia="Times New Roman" w:cstheme="minorHAnsi"/>
                <w:b/>
                <w:bCs/>
                <w:sz w:val="20"/>
                <w:szCs w:val="20"/>
                <w:lang w:val="en-US"/>
              </w:rPr>
              <w:t>Reading list</w:t>
            </w:r>
          </w:p>
        </w:tc>
        <w:tc>
          <w:tcPr>
            <w:tcW w:w="6265" w:type="dxa"/>
            <w:tcBorders>
              <w:top w:val="single" w:sz="4" w:space="0" w:color="auto"/>
              <w:left w:val="single" w:sz="4" w:space="0" w:color="auto"/>
              <w:bottom w:val="single" w:sz="4" w:space="0" w:color="auto"/>
              <w:right w:val="single" w:sz="4" w:space="0" w:color="auto"/>
            </w:tcBorders>
          </w:tcPr>
          <w:p w14:paraId="67F76F84" w14:textId="77777777" w:rsidR="0070782F" w:rsidRPr="0070782F" w:rsidRDefault="0070782F" w:rsidP="008B2FD5">
            <w:pPr>
              <w:rPr>
                <w:rFonts w:cstheme="minorHAnsi"/>
                <w:sz w:val="20"/>
                <w:szCs w:val="20"/>
                <w:lang w:val="en-US"/>
              </w:rPr>
            </w:pPr>
            <w:r w:rsidRPr="0070782F">
              <w:rPr>
                <w:rFonts w:cstheme="minorHAnsi"/>
                <w:sz w:val="20"/>
                <w:szCs w:val="20"/>
                <w:lang w:val="en-US"/>
              </w:rPr>
              <w:t xml:space="preserve">1.Ad van </w:t>
            </w:r>
            <w:proofErr w:type="spellStart"/>
            <w:r w:rsidRPr="0070782F">
              <w:rPr>
                <w:rFonts w:cstheme="minorHAnsi"/>
                <w:sz w:val="20"/>
                <w:szCs w:val="20"/>
                <w:lang w:val="en-US"/>
              </w:rPr>
              <w:t>Doesum</w:t>
            </w:r>
            <w:proofErr w:type="spellEnd"/>
            <w:r w:rsidRPr="0070782F">
              <w:rPr>
                <w:rFonts w:cstheme="minorHAnsi"/>
                <w:sz w:val="20"/>
                <w:szCs w:val="20"/>
                <w:lang w:val="en-US"/>
              </w:rPr>
              <w:t xml:space="preserve">, Herman van </w:t>
            </w:r>
            <w:proofErr w:type="spellStart"/>
            <w:r w:rsidRPr="0070782F">
              <w:rPr>
                <w:rFonts w:cstheme="minorHAnsi"/>
                <w:sz w:val="20"/>
                <w:szCs w:val="20"/>
                <w:lang w:val="en-US"/>
              </w:rPr>
              <w:t>Kesteren</w:t>
            </w:r>
            <w:proofErr w:type="spellEnd"/>
            <w:r w:rsidRPr="0070782F">
              <w:rPr>
                <w:rFonts w:cstheme="minorHAnsi"/>
                <w:sz w:val="20"/>
                <w:szCs w:val="20"/>
                <w:lang w:val="en-US"/>
              </w:rPr>
              <w:t>, Simon Cornielje, Frank J. G. Nellen (2020). Fundamentals of EU VAT Law, Second Edition SKU:10057841-0002</w:t>
            </w:r>
          </w:p>
          <w:p w14:paraId="1A7E0E32" w14:textId="77777777" w:rsidR="0070782F" w:rsidRPr="0070782F" w:rsidRDefault="0070782F" w:rsidP="008B2FD5">
            <w:pPr>
              <w:rPr>
                <w:rFonts w:cstheme="minorHAnsi"/>
                <w:sz w:val="20"/>
                <w:szCs w:val="20"/>
                <w:lang w:val="en-US"/>
              </w:rPr>
            </w:pPr>
            <w:r w:rsidRPr="0070782F">
              <w:rPr>
                <w:rFonts w:cstheme="minorHAnsi"/>
                <w:sz w:val="20"/>
                <w:szCs w:val="20"/>
                <w:lang w:val="en-US"/>
              </w:rPr>
              <w:t>2.Keen M. (2013); The Anatomy of the VAT, IMF Working Papers 13/111, International Monetary Fund.</w:t>
            </w:r>
          </w:p>
          <w:p w14:paraId="552A1038" w14:textId="70F35593" w:rsidR="00DD1534" w:rsidRPr="0070782F" w:rsidRDefault="0070782F" w:rsidP="008B2FD5">
            <w:pPr>
              <w:rPr>
                <w:rFonts w:cstheme="minorHAnsi"/>
                <w:sz w:val="20"/>
                <w:szCs w:val="20"/>
                <w:lang w:val="en-US"/>
              </w:rPr>
            </w:pPr>
            <w:r w:rsidRPr="0070782F">
              <w:rPr>
                <w:rFonts w:cstheme="minorHAnsi"/>
                <w:sz w:val="20"/>
                <w:szCs w:val="20"/>
                <w:lang w:val="en-US"/>
              </w:rPr>
              <w:t xml:space="preserve">3.Mathe M.,  </w:t>
            </w:r>
            <w:proofErr w:type="spellStart"/>
            <w:r w:rsidRPr="0070782F">
              <w:rPr>
                <w:rFonts w:cstheme="minorHAnsi"/>
                <w:sz w:val="20"/>
                <w:szCs w:val="20"/>
                <w:lang w:val="en-US"/>
              </w:rPr>
              <w:t>Nicodeme</w:t>
            </w:r>
            <w:proofErr w:type="spellEnd"/>
            <w:r w:rsidRPr="0070782F">
              <w:rPr>
                <w:rFonts w:cstheme="minorHAnsi"/>
                <w:sz w:val="20"/>
                <w:szCs w:val="20"/>
                <w:lang w:val="en-US"/>
              </w:rPr>
              <w:t xml:space="preserve"> G.. Rua S., (2013) Tax Shifts, Taxation papers, Working paper no. 59–2015, E L. Barbone , M. </w:t>
            </w:r>
            <w:proofErr w:type="spellStart"/>
            <w:r w:rsidRPr="0070782F">
              <w:rPr>
                <w:rFonts w:cstheme="minorHAnsi"/>
                <w:sz w:val="20"/>
                <w:szCs w:val="20"/>
                <w:lang w:val="en-US"/>
              </w:rPr>
              <w:t>Belkindas</w:t>
            </w:r>
            <w:proofErr w:type="spellEnd"/>
            <w:r w:rsidRPr="0070782F">
              <w:rPr>
                <w:rFonts w:cstheme="minorHAnsi"/>
                <w:sz w:val="20"/>
                <w:szCs w:val="20"/>
                <w:lang w:val="en-US"/>
              </w:rPr>
              <w:t xml:space="preserve">, L. Bettendorf, R. Bird, M. </w:t>
            </w:r>
            <w:proofErr w:type="spellStart"/>
            <w:r w:rsidRPr="0070782F">
              <w:rPr>
                <w:rFonts w:cstheme="minorHAnsi"/>
                <w:sz w:val="20"/>
                <w:szCs w:val="20"/>
                <w:lang w:val="en-US"/>
              </w:rPr>
              <w:t>Bonch-Osmolovskiy</w:t>
            </w:r>
            <w:proofErr w:type="spellEnd"/>
            <w:r w:rsidRPr="0070782F">
              <w:rPr>
                <w:rFonts w:cstheme="minorHAnsi"/>
                <w:sz w:val="20"/>
                <w:szCs w:val="20"/>
                <w:lang w:val="en-US"/>
              </w:rPr>
              <w:t xml:space="preserve"> </w:t>
            </w:r>
            <w:proofErr w:type="spellStart"/>
            <w:r w:rsidRPr="0070782F">
              <w:rPr>
                <w:rFonts w:cstheme="minorHAnsi"/>
                <w:sz w:val="20"/>
                <w:szCs w:val="20"/>
                <w:lang w:val="en-US"/>
              </w:rPr>
              <w:t>i</w:t>
            </w:r>
            <w:proofErr w:type="spellEnd"/>
            <w:r w:rsidRPr="0070782F">
              <w:rPr>
                <w:rFonts w:cstheme="minorHAnsi"/>
                <w:sz w:val="20"/>
                <w:szCs w:val="20"/>
                <w:lang w:val="en-US"/>
              </w:rPr>
              <w:t xml:space="preserve"> M. Smart, Study to quantify and </w:t>
            </w:r>
            <w:proofErr w:type="spellStart"/>
            <w:r w:rsidRPr="0070782F">
              <w:rPr>
                <w:rFonts w:cstheme="minorHAnsi"/>
                <w:sz w:val="20"/>
                <w:szCs w:val="20"/>
                <w:lang w:val="en-US"/>
              </w:rPr>
              <w:t>analyse</w:t>
            </w:r>
            <w:proofErr w:type="spellEnd"/>
            <w:r w:rsidRPr="0070782F">
              <w:rPr>
                <w:rFonts w:cstheme="minorHAnsi"/>
                <w:sz w:val="20"/>
                <w:szCs w:val="20"/>
                <w:lang w:val="en-US"/>
              </w:rPr>
              <w:t xml:space="preserve"> the VAT gap in EU-27 Members States, Case Network Reports No. 116, s. 131, European Commission</w:t>
            </w:r>
          </w:p>
        </w:tc>
      </w:tr>
      <w:tr w:rsidR="00B72C3F" w:rsidRPr="00BB649D" w14:paraId="552A103E" w14:textId="77777777" w:rsidTr="00BB649D">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8B2FD5">
            <w:pPr>
              <w:rPr>
                <w:rFonts w:cstheme="minorHAnsi"/>
                <w:b/>
                <w:bCs/>
                <w:sz w:val="20"/>
                <w:szCs w:val="20"/>
                <w:lang w:val="en-US"/>
              </w:rPr>
            </w:pPr>
            <w:r w:rsidRPr="003D1DA3">
              <w:rPr>
                <w:rFonts w:eastAsia="Times New Roman" w:cstheme="minorHAnsi"/>
                <w:b/>
                <w:bCs/>
                <w:sz w:val="20"/>
                <w:szCs w:val="20"/>
                <w:lang w:val="en-US"/>
              </w:rPr>
              <w:t>Educational outcomes</w:t>
            </w:r>
          </w:p>
        </w:tc>
        <w:tc>
          <w:tcPr>
            <w:tcW w:w="6265" w:type="dxa"/>
            <w:tcBorders>
              <w:top w:val="single" w:sz="4" w:space="0" w:color="auto"/>
              <w:left w:val="single" w:sz="4" w:space="0" w:color="auto"/>
              <w:bottom w:val="single" w:sz="4" w:space="0" w:color="auto"/>
              <w:right w:val="single" w:sz="4" w:space="0" w:color="auto"/>
            </w:tcBorders>
          </w:tcPr>
          <w:p w14:paraId="365C5666" w14:textId="77777777" w:rsidR="00BB649D" w:rsidRPr="00141836" w:rsidRDefault="00BB649D" w:rsidP="00BB649D">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KNOWLEDGE: </w:t>
            </w:r>
          </w:p>
          <w:p w14:paraId="0F6B51FC" w14:textId="77777777" w:rsidR="00BB649D" w:rsidRPr="00141836" w:rsidRDefault="00BB649D" w:rsidP="00BB649D">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 Acquire knowledge of the fundamental elements that underlie EU and international indirect tax law, particularly about cross-border transactions. </w:t>
            </w:r>
          </w:p>
          <w:p w14:paraId="2334FC9A" w14:textId="77777777" w:rsidR="00BB649D" w:rsidRPr="00141836" w:rsidRDefault="00BB649D" w:rsidP="00BB649D">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 Demonstrate an understanding of the principles of EU law that relate to the interaction between domestic, international, and European sources of law as applied to real-life tax scenarios. </w:t>
            </w:r>
          </w:p>
          <w:p w14:paraId="42CB616F" w14:textId="77777777" w:rsidR="00BB649D" w:rsidRPr="00141836" w:rsidRDefault="00BB649D" w:rsidP="00BB649D">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SKILLS: </w:t>
            </w:r>
          </w:p>
          <w:p w14:paraId="0F65AFBA" w14:textId="77777777" w:rsidR="00BB649D" w:rsidRPr="00141836" w:rsidRDefault="00BB649D" w:rsidP="00BB649D">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 Analyze problems critically and personally and comprehend issues relevant to international indirect tax planning or arising from deficient implementation of European Union rules. </w:t>
            </w:r>
          </w:p>
          <w:p w14:paraId="4B132239" w14:textId="77777777" w:rsidR="00BB649D" w:rsidRPr="00141836" w:rsidRDefault="00BB649D" w:rsidP="00BB649D">
            <w:pPr>
              <w:ind w:left="373" w:hanging="373"/>
              <w:rPr>
                <w:rFonts w:eastAsia="Times New Roman" w:cstheme="minorHAnsi"/>
                <w:bCs/>
                <w:sz w:val="20"/>
                <w:szCs w:val="20"/>
                <w:lang w:val="en-US"/>
              </w:rPr>
            </w:pPr>
            <w:r w:rsidRPr="00141836">
              <w:rPr>
                <w:rFonts w:eastAsia="Times New Roman" w:cstheme="minorHAnsi"/>
                <w:bCs/>
                <w:sz w:val="20"/>
                <w:szCs w:val="20"/>
                <w:lang w:val="en-US"/>
              </w:rPr>
              <w:t>- Exhibit a strong awareness of the legal remedies that are available to taxpayers before the Court of Justice of the European Union. -</w:t>
            </w:r>
          </w:p>
          <w:p w14:paraId="3814D2A1" w14:textId="77777777" w:rsidR="00BB649D" w:rsidRPr="00141836" w:rsidRDefault="00BB649D" w:rsidP="00BB649D">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-Communicate findings and conclusions to both specialists and non-specialists. </w:t>
            </w:r>
          </w:p>
          <w:p w14:paraId="11E12FE0" w14:textId="77777777" w:rsidR="00BB649D" w:rsidRPr="00141836" w:rsidRDefault="00BB649D" w:rsidP="00BB649D">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 Apply general principles, theories, and analyses to practical cases. </w:t>
            </w:r>
          </w:p>
          <w:p w14:paraId="06F65F7F" w14:textId="77777777" w:rsidR="00BB649D" w:rsidRPr="00141836" w:rsidRDefault="00BB649D" w:rsidP="00BB649D">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ATTITUDES: </w:t>
            </w:r>
          </w:p>
          <w:p w14:paraId="34BA4AAD" w14:textId="77777777" w:rsidR="00BB649D" w:rsidRPr="00141836" w:rsidRDefault="00BB649D" w:rsidP="00BB649D">
            <w:pPr>
              <w:ind w:left="373" w:hanging="373"/>
              <w:rPr>
                <w:rFonts w:eastAsia="Times New Roman" w:cstheme="minorHAnsi"/>
                <w:bCs/>
                <w:sz w:val="20"/>
                <w:szCs w:val="20"/>
                <w:lang w:val="en-US"/>
              </w:rPr>
            </w:pPr>
            <w:r w:rsidRPr="00141836">
              <w:rPr>
                <w:rFonts w:eastAsia="Times New Roman" w:cstheme="minorHAnsi"/>
                <w:bCs/>
                <w:sz w:val="20"/>
                <w:szCs w:val="20"/>
                <w:lang w:val="en-US"/>
              </w:rPr>
              <w:t xml:space="preserve">- Conduct limited independent research and take responsibility for their knowledge development in an objective yet critical manner. </w:t>
            </w:r>
          </w:p>
          <w:p w14:paraId="6C98EB72" w14:textId="77777777" w:rsidR="00B72C3F" w:rsidRDefault="00BB649D" w:rsidP="00BB649D">
            <w:pPr>
              <w:rPr>
                <w:rFonts w:eastAsia="Times New Roman" w:cstheme="minorHAnsi"/>
                <w:bCs/>
                <w:sz w:val="20"/>
                <w:szCs w:val="20"/>
                <w:lang w:val="en-US"/>
              </w:rPr>
            </w:pPr>
            <w:r w:rsidRPr="00141836">
              <w:rPr>
                <w:rFonts w:eastAsia="Times New Roman" w:cstheme="minorHAnsi"/>
                <w:bCs/>
                <w:sz w:val="20"/>
                <w:szCs w:val="20"/>
                <w:lang w:val="en-US"/>
              </w:rPr>
              <w:t>- Develop a reliance on their understanding of European Union law when analyzing and solving practical and theoretical problems through preparing and presenting case studies and written assessments.</w:t>
            </w:r>
            <w:r w:rsidR="00E507AB">
              <w:rPr>
                <w:rFonts w:eastAsia="Times New Roman" w:cstheme="minorHAnsi"/>
                <w:bCs/>
                <w:sz w:val="20"/>
                <w:szCs w:val="20"/>
                <w:lang w:val="en-US"/>
              </w:rPr>
              <w:t>+</w:t>
            </w:r>
          </w:p>
          <w:p w14:paraId="552A103D" w14:textId="23757868" w:rsidR="00E507AB" w:rsidRPr="00BB649D" w:rsidRDefault="00E507AB" w:rsidP="00BB649D">
            <w:pPr>
              <w:rPr>
                <w:rFonts w:eastAsia="Times New Roman" w:cstheme="minorHAnsi"/>
                <w:bCs/>
                <w:sz w:val="20"/>
                <w:szCs w:val="20"/>
                <w:lang w:val="en-US"/>
              </w:rPr>
            </w:pPr>
          </w:p>
        </w:tc>
      </w:tr>
      <w:tr w:rsidR="00B72C3F" w:rsidRPr="00BB649D" w14:paraId="552A1047" w14:textId="77777777" w:rsidTr="00BB649D">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8B2FD5">
            <w:pPr>
              <w:rPr>
                <w:rFonts w:cstheme="minorHAnsi"/>
                <w:b/>
                <w:bCs/>
                <w:sz w:val="20"/>
                <w:szCs w:val="20"/>
                <w:lang w:val="en-US"/>
              </w:rPr>
            </w:pPr>
            <w:r w:rsidRPr="003D1DA3">
              <w:rPr>
                <w:rFonts w:eastAsia="Times New Roman" w:cstheme="minorHAnsi"/>
                <w:b/>
                <w:bCs/>
                <w:sz w:val="20"/>
                <w:szCs w:val="20"/>
                <w:lang w:val="en-US"/>
              </w:rPr>
              <w:t>A list of topics</w:t>
            </w:r>
          </w:p>
        </w:tc>
        <w:tc>
          <w:tcPr>
            <w:tcW w:w="6265" w:type="dxa"/>
            <w:tcBorders>
              <w:top w:val="single" w:sz="4" w:space="0" w:color="auto"/>
              <w:left w:val="single" w:sz="4" w:space="0" w:color="auto"/>
              <w:bottom w:val="single" w:sz="4" w:space="0" w:color="auto"/>
              <w:right w:val="single" w:sz="4" w:space="0" w:color="auto"/>
            </w:tcBorders>
          </w:tcPr>
          <w:p w14:paraId="1C910265" w14:textId="77777777" w:rsidR="00B86B98" w:rsidRPr="00B86B98" w:rsidRDefault="00B86B98" w:rsidP="008B2FD5">
            <w:pPr>
              <w:rPr>
                <w:rFonts w:cstheme="minorHAnsi"/>
                <w:sz w:val="20"/>
                <w:szCs w:val="20"/>
                <w:lang w:val="en-US"/>
              </w:rPr>
            </w:pPr>
            <w:r w:rsidRPr="00B86B98">
              <w:rPr>
                <w:rFonts w:cstheme="minorHAnsi"/>
                <w:sz w:val="20"/>
                <w:szCs w:val="20"/>
                <w:lang w:val="en-US"/>
              </w:rPr>
              <w:t>1. The main aspects of the structure of EU VAT (historical and economic context, main features of the EU VAT system, taxable persons, special schemes regulations, taxable events, place of taxation, time of taxation, taxable amount, rates, exemptions, input tax deduction, administration of VAT)</w:t>
            </w:r>
          </w:p>
          <w:p w14:paraId="0215A59A" w14:textId="7DF1CA5D" w:rsidR="00B86B98" w:rsidRPr="00B86B98" w:rsidRDefault="00B86B98" w:rsidP="008B2FD5">
            <w:pPr>
              <w:rPr>
                <w:rFonts w:cstheme="minorHAnsi"/>
                <w:sz w:val="20"/>
                <w:szCs w:val="20"/>
                <w:lang w:val="en-US"/>
              </w:rPr>
            </w:pPr>
            <w:r w:rsidRPr="00B86B98">
              <w:rPr>
                <w:rFonts w:cstheme="minorHAnsi"/>
                <w:sz w:val="20"/>
                <w:szCs w:val="20"/>
                <w:lang w:val="en-US"/>
              </w:rPr>
              <w:t>2. Evaluation of fiscal effectiveness of VAT inflows in EU countries (changes in VAT inflows compared with economic, the level of VAT revenues and their share in total budget revenues and GDP, the main factors creating VAT revenues on the example of Poland )</w:t>
            </w:r>
          </w:p>
          <w:p w14:paraId="5430C797" w14:textId="77777777" w:rsidR="00B72C3F" w:rsidRDefault="00B86B98" w:rsidP="008B2FD5">
            <w:pPr>
              <w:rPr>
                <w:rFonts w:cstheme="minorHAnsi"/>
                <w:sz w:val="20"/>
                <w:szCs w:val="20"/>
                <w:lang w:val="en-US"/>
              </w:rPr>
            </w:pPr>
            <w:r w:rsidRPr="00B86B98">
              <w:rPr>
                <w:rFonts w:cstheme="minorHAnsi"/>
                <w:sz w:val="20"/>
                <w:szCs w:val="20"/>
                <w:lang w:val="en-US"/>
              </w:rPr>
              <w:t xml:space="preserve">3. VAT collection in EU Countries (VAT gaps and other measures of tax non-compliance, the scale and determinants of VAT gaps in Poland and other UE countries, categorizing the sources of VAT non-collection: fraud and criminal activity: missing trader intra community, carousel fraud, tax </w:t>
            </w:r>
            <w:r w:rsidRPr="00B86B98">
              <w:rPr>
                <w:rFonts w:cstheme="minorHAnsi"/>
                <w:sz w:val="20"/>
                <w:szCs w:val="20"/>
                <w:lang w:val="en-US"/>
              </w:rPr>
              <w:lastRenderedPageBreak/>
              <w:t>evasion, the unregistered economy, tax avoidance, errors and omissions, natural bankruptcies)</w:t>
            </w:r>
          </w:p>
          <w:p w14:paraId="552A1046" w14:textId="1516EE14" w:rsidR="007C6FF2" w:rsidRPr="00B86B98" w:rsidRDefault="007C6FF2" w:rsidP="008B2FD5">
            <w:pPr>
              <w:rPr>
                <w:rFonts w:cstheme="minorHAnsi"/>
                <w:sz w:val="20"/>
                <w:szCs w:val="20"/>
                <w:lang w:val="en-US"/>
              </w:rPr>
            </w:pPr>
            <w:r>
              <w:rPr>
                <w:rFonts w:cstheme="minorHAnsi"/>
                <w:sz w:val="20"/>
                <w:szCs w:val="20"/>
                <w:lang w:val="en-US"/>
              </w:rPr>
              <w:t xml:space="preserve">4. </w:t>
            </w:r>
            <w:r w:rsidRPr="007C6FF2">
              <w:rPr>
                <w:rFonts w:cstheme="minorHAnsi"/>
                <w:sz w:val="20"/>
                <w:szCs w:val="20"/>
                <w:lang w:val="en-US"/>
              </w:rPr>
              <w:t>Harmonization of the structure of excise-duties</w:t>
            </w:r>
            <w:r>
              <w:rPr>
                <w:rFonts w:cstheme="minorHAnsi"/>
                <w:sz w:val="20"/>
                <w:szCs w:val="20"/>
                <w:lang w:val="en-US"/>
              </w:rPr>
              <w:t xml:space="preserve"> in EU</w:t>
            </w:r>
            <w:bookmarkStart w:id="0" w:name="_GoBack"/>
            <w:bookmarkEnd w:id="0"/>
          </w:p>
        </w:tc>
      </w:tr>
      <w:tr w:rsidR="00FB4CCD" w:rsidRPr="00BB649D" w14:paraId="552A104A" w14:textId="77777777" w:rsidTr="00BB649D">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FB4CCD" w:rsidRPr="003D1DA3" w:rsidRDefault="00FB4CCD" w:rsidP="008B2FD5">
            <w:pPr>
              <w:rPr>
                <w:rFonts w:cstheme="minorHAnsi"/>
                <w:b/>
                <w:bCs/>
                <w:sz w:val="20"/>
                <w:szCs w:val="20"/>
                <w:lang w:val="en-US"/>
              </w:rPr>
            </w:pPr>
            <w:r w:rsidRPr="003D1DA3">
              <w:rPr>
                <w:rFonts w:eastAsia="Times New Roman" w:cstheme="minorHAnsi"/>
                <w:b/>
                <w:bCs/>
                <w:sz w:val="20"/>
                <w:szCs w:val="20"/>
                <w:lang w:val="en-US"/>
              </w:rPr>
              <w:lastRenderedPageBreak/>
              <w:t>Teaching methods</w:t>
            </w:r>
          </w:p>
        </w:tc>
        <w:tc>
          <w:tcPr>
            <w:tcW w:w="6265" w:type="dxa"/>
            <w:tcBorders>
              <w:top w:val="single" w:sz="4" w:space="0" w:color="auto"/>
              <w:left w:val="single" w:sz="4" w:space="0" w:color="auto"/>
              <w:bottom w:val="single" w:sz="4" w:space="0" w:color="auto"/>
              <w:right w:val="single" w:sz="4" w:space="0" w:color="auto"/>
            </w:tcBorders>
          </w:tcPr>
          <w:p w14:paraId="552A1049" w14:textId="6B55F2DF" w:rsidR="00FB4CCD" w:rsidRPr="00A76008" w:rsidRDefault="00FB4CCD" w:rsidP="008B2FD5">
            <w:pPr>
              <w:rPr>
                <w:rFonts w:cstheme="minorHAnsi"/>
                <w:sz w:val="20"/>
                <w:szCs w:val="20"/>
                <w:lang w:val="en-US"/>
              </w:rPr>
            </w:pPr>
            <w:r w:rsidRPr="0073143C">
              <w:rPr>
                <w:rFonts w:cstheme="minorHAnsi"/>
                <w:sz w:val="20"/>
                <w:szCs w:val="20"/>
                <w:lang w:val="en-US"/>
              </w:rPr>
              <w:t>Discussion, Lectures, Group presentations, Self-study tasks</w:t>
            </w:r>
          </w:p>
        </w:tc>
      </w:tr>
      <w:tr w:rsidR="00FB4CCD" w:rsidRPr="00BB649D" w14:paraId="552A104F" w14:textId="77777777" w:rsidTr="00BB649D">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FB4CCD" w:rsidRPr="003D1DA3" w:rsidRDefault="00FB4CCD" w:rsidP="008B2FD5">
            <w:pPr>
              <w:rPr>
                <w:rFonts w:cstheme="minorHAnsi"/>
                <w:b/>
                <w:bCs/>
                <w:sz w:val="20"/>
                <w:szCs w:val="20"/>
                <w:lang w:val="en-US"/>
              </w:rPr>
            </w:pPr>
            <w:r w:rsidRPr="003D1DA3">
              <w:rPr>
                <w:rFonts w:eastAsia="Times New Roman" w:cstheme="minorHAnsi"/>
                <w:b/>
                <w:bCs/>
                <w:sz w:val="20"/>
                <w:szCs w:val="20"/>
                <w:lang w:val="en-US"/>
              </w:rPr>
              <w:t>Assessment methods</w:t>
            </w:r>
          </w:p>
        </w:tc>
        <w:tc>
          <w:tcPr>
            <w:tcW w:w="6265" w:type="dxa"/>
            <w:tcBorders>
              <w:top w:val="single" w:sz="4" w:space="0" w:color="auto"/>
              <w:left w:val="single" w:sz="4" w:space="0" w:color="auto"/>
              <w:bottom w:val="single" w:sz="4" w:space="0" w:color="auto"/>
              <w:right w:val="single" w:sz="4" w:space="0" w:color="auto"/>
            </w:tcBorders>
          </w:tcPr>
          <w:p w14:paraId="552A104E" w14:textId="5B533AC3" w:rsidR="00FB4CCD" w:rsidRPr="00A76008" w:rsidRDefault="00FB4CCD" w:rsidP="008B2FD5">
            <w:pPr>
              <w:rPr>
                <w:rFonts w:cstheme="minorHAnsi"/>
                <w:sz w:val="20"/>
                <w:szCs w:val="20"/>
                <w:lang w:val="en-US"/>
              </w:rPr>
            </w:pPr>
            <w:r w:rsidRPr="0073143C">
              <w:rPr>
                <w:rFonts w:cstheme="minorHAnsi"/>
                <w:sz w:val="20"/>
                <w:szCs w:val="20"/>
                <w:lang w:val="en-US"/>
              </w:rPr>
              <w:t>Activity and attendance during classes (40%), written exam-choice test (60%)</w:t>
            </w:r>
          </w:p>
        </w:tc>
      </w:tr>
    </w:tbl>
    <w:p w14:paraId="552A1050" w14:textId="77777777" w:rsidR="00D055F6" w:rsidRPr="00A76008" w:rsidRDefault="00D055F6" w:rsidP="008B2FD5">
      <w:pPr>
        <w:spacing w:after="0" w:line="240" w:lineRule="auto"/>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B2CE5" w14:textId="77777777" w:rsidR="000716E9" w:rsidRDefault="000716E9" w:rsidP="006E7390">
      <w:pPr>
        <w:spacing w:after="0" w:line="240" w:lineRule="auto"/>
      </w:pPr>
      <w:r>
        <w:separator/>
      </w:r>
    </w:p>
  </w:endnote>
  <w:endnote w:type="continuationSeparator" w:id="0">
    <w:p w14:paraId="4B2681AE" w14:textId="77777777" w:rsidR="000716E9" w:rsidRDefault="000716E9"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39BA5" w14:textId="77777777" w:rsidR="000716E9" w:rsidRDefault="000716E9" w:rsidP="006E7390">
      <w:pPr>
        <w:spacing w:after="0" w:line="240" w:lineRule="auto"/>
      </w:pPr>
      <w:r>
        <w:separator/>
      </w:r>
    </w:p>
  </w:footnote>
  <w:footnote w:type="continuationSeparator" w:id="0">
    <w:p w14:paraId="00D50986" w14:textId="77777777" w:rsidR="000716E9" w:rsidRDefault="000716E9"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52474"/>
    <w:multiLevelType w:val="hybridMultilevel"/>
    <w:tmpl w:val="7AD4B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B5179C"/>
    <w:multiLevelType w:val="hybridMultilevel"/>
    <w:tmpl w:val="51CEA9D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206A50"/>
    <w:multiLevelType w:val="hybridMultilevel"/>
    <w:tmpl w:val="7A489E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CA2BCB"/>
    <w:multiLevelType w:val="hybridMultilevel"/>
    <w:tmpl w:val="278CA4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654D31"/>
    <w:multiLevelType w:val="hybridMultilevel"/>
    <w:tmpl w:val="2EE0BF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A2379A"/>
    <w:multiLevelType w:val="hybridMultilevel"/>
    <w:tmpl w:val="AFB2D1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9"/>
  </w:num>
  <w:num w:numId="4">
    <w:abstractNumId w:val="2"/>
  </w:num>
  <w:num w:numId="5">
    <w:abstractNumId w:val="20"/>
  </w:num>
  <w:num w:numId="6">
    <w:abstractNumId w:val="17"/>
  </w:num>
  <w:num w:numId="7">
    <w:abstractNumId w:val="11"/>
  </w:num>
  <w:num w:numId="8">
    <w:abstractNumId w:val="16"/>
  </w:num>
  <w:num w:numId="9">
    <w:abstractNumId w:val="8"/>
  </w:num>
  <w:num w:numId="10">
    <w:abstractNumId w:val="6"/>
  </w:num>
  <w:num w:numId="11">
    <w:abstractNumId w:val="23"/>
  </w:num>
  <w:num w:numId="12">
    <w:abstractNumId w:val="3"/>
  </w:num>
  <w:num w:numId="13">
    <w:abstractNumId w:val="15"/>
  </w:num>
  <w:num w:numId="14">
    <w:abstractNumId w:val="0"/>
  </w:num>
  <w:num w:numId="15">
    <w:abstractNumId w:val="9"/>
  </w:num>
  <w:num w:numId="16">
    <w:abstractNumId w:val="10"/>
  </w:num>
  <w:num w:numId="17">
    <w:abstractNumId w:val="12"/>
  </w:num>
  <w:num w:numId="18">
    <w:abstractNumId w:val="18"/>
  </w:num>
  <w:num w:numId="19">
    <w:abstractNumId w:val="4"/>
  </w:num>
  <w:num w:numId="20">
    <w:abstractNumId w:val="21"/>
  </w:num>
  <w:num w:numId="21">
    <w:abstractNumId w:val="5"/>
  </w:num>
  <w:num w:numId="22">
    <w:abstractNumId w:val="14"/>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45980"/>
    <w:rsid w:val="00050FC2"/>
    <w:rsid w:val="00061BB8"/>
    <w:rsid w:val="000716E9"/>
    <w:rsid w:val="000C2FD8"/>
    <w:rsid w:val="000D7C14"/>
    <w:rsid w:val="000E6206"/>
    <w:rsid w:val="00141836"/>
    <w:rsid w:val="0014331F"/>
    <w:rsid w:val="00156121"/>
    <w:rsid w:val="001843FB"/>
    <w:rsid w:val="001C2D1A"/>
    <w:rsid w:val="001E424A"/>
    <w:rsid w:val="00216ADF"/>
    <w:rsid w:val="002E3EE7"/>
    <w:rsid w:val="003233B4"/>
    <w:rsid w:val="003D1DA3"/>
    <w:rsid w:val="003E5E2B"/>
    <w:rsid w:val="00487710"/>
    <w:rsid w:val="004D7065"/>
    <w:rsid w:val="0050630E"/>
    <w:rsid w:val="00544B72"/>
    <w:rsid w:val="00560D3B"/>
    <w:rsid w:val="005862CA"/>
    <w:rsid w:val="005F1CAD"/>
    <w:rsid w:val="00670459"/>
    <w:rsid w:val="00693951"/>
    <w:rsid w:val="0069730C"/>
    <w:rsid w:val="006A6A42"/>
    <w:rsid w:val="006D040F"/>
    <w:rsid w:val="006D36F2"/>
    <w:rsid w:val="006E7390"/>
    <w:rsid w:val="0070782F"/>
    <w:rsid w:val="00716989"/>
    <w:rsid w:val="00735AA7"/>
    <w:rsid w:val="00754C7B"/>
    <w:rsid w:val="007A495E"/>
    <w:rsid w:val="007C6FF2"/>
    <w:rsid w:val="00806345"/>
    <w:rsid w:val="00892D3B"/>
    <w:rsid w:val="008B2FD5"/>
    <w:rsid w:val="008D113F"/>
    <w:rsid w:val="00944F6F"/>
    <w:rsid w:val="00961677"/>
    <w:rsid w:val="009C378A"/>
    <w:rsid w:val="009E034D"/>
    <w:rsid w:val="00A01276"/>
    <w:rsid w:val="00A4414B"/>
    <w:rsid w:val="00A55BB8"/>
    <w:rsid w:val="00A76008"/>
    <w:rsid w:val="00AC50EA"/>
    <w:rsid w:val="00AD176F"/>
    <w:rsid w:val="00B03010"/>
    <w:rsid w:val="00B72C3F"/>
    <w:rsid w:val="00B86B98"/>
    <w:rsid w:val="00BA02F8"/>
    <w:rsid w:val="00BB649D"/>
    <w:rsid w:val="00C16322"/>
    <w:rsid w:val="00C31C17"/>
    <w:rsid w:val="00C6593B"/>
    <w:rsid w:val="00D055F6"/>
    <w:rsid w:val="00D503FD"/>
    <w:rsid w:val="00D52B9B"/>
    <w:rsid w:val="00D83D46"/>
    <w:rsid w:val="00DB1F45"/>
    <w:rsid w:val="00DD1534"/>
    <w:rsid w:val="00E022BE"/>
    <w:rsid w:val="00E507AB"/>
    <w:rsid w:val="00ED4704"/>
    <w:rsid w:val="00EE607D"/>
    <w:rsid w:val="00F01226"/>
    <w:rsid w:val="00F053C7"/>
    <w:rsid w:val="00FA6F83"/>
    <w:rsid w:val="00FB4C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B75F97-EC01-4A04-B89B-74E0B7285CE3}">
  <ds:schemaRefs>
    <ds:schemaRef ds:uri="http://schemas.openxmlformats.org/officeDocument/2006/bibliography"/>
  </ds:schemaRefs>
</ds:datastoreItem>
</file>

<file path=customXml/itemProps2.xml><?xml version="1.0" encoding="utf-8"?>
<ds:datastoreItem xmlns:ds="http://schemas.openxmlformats.org/officeDocument/2006/customXml" ds:itemID="{683395C0-EB56-45F6-A732-E5F46CA50A42}"/>
</file>

<file path=customXml/itemProps3.xml><?xml version="1.0" encoding="utf-8"?>
<ds:datastoreItem xmlns:ds="http://schemas.openxmlformats.org/officeDocument/2006/customXml" ds:itemID="{D32080DD-5AC6-4BFD-9470-D7DDF7E92986}"/>
</file>

<file path=customXml/itemProps4.xml><?xml version="1.0" encoding="utf-8"?>
<ds:datastoreItem xmlns:ds="http://schemas.openxmlformats.org/officeDocument/2006/customXml" ds:itemID="{FD652AA8-E503-43CD-BDE7-720B8270D80B}"/>
</file>

<file path=docProps/app.xml><?xml version="1.0" encoding="utf-8"?>
<Properties xmlns="http://schemas.openxmlformats.org/officeDocument/2006/extended-properties" xmlns:vt="http://schemas.openxmlformats.org/officeDocument/2006/docPropsVTypes">
  <Template>Normal</Template>
  <TotalTime>76</TotalTime>
  <Pages>3</Pages>
  <Words>999</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czytelnia</cp:lastModifiedBy>
  <cp:revision>6</cp:revision>
  <dcterms:created xsi:type="dcterms:W3CDTF">2024-02-01T12:25:00Z</dcterms:created>
  <dcterms:modified xsi:type="dcterms:W3CDTF">2024-02-01T13:50:00Z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59787b17cb7d19796cad7e9eed7a3f27e5428662c79a35971927bb0e2ecfe3a0</vt:lpwstr>
  </property>
  <property fmtid="{D5CDD505-2E9C-101B-9397-08002B2CF9AE}" pid="3" name="ContentTypeId">
    <vt:lpwstr>0x01010053D10FCF3E95CE48A3799634C5E95CCC</vt:lpwstr>
  </property>
</Properties>
</file>