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42522777" w:rsidR="00754C7B" w:rsidRPr="003D1DA3" w:rsidRDefault="00754C7B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0ADA341B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1DF433C" w:rsidR="001843FB" w:rsidRPr="00754C7B" w:rsidRDefault="001843FB" w:rsidP="00A107FC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9F7B33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9F7B3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FFBFDCA" w:rsidR="001843FB" w:rsidRPr="00754C7B" w:rsidRDefault="00F6570B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77777777" w:rsidR="00061C53" w:rsidRP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0EC5FDEC" w14:textId="77777777" w:rsidR="00061C53" w:rsidRPr="00930115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061C53" w:rsidRPr="00061C53" w14:paraId="205400F5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0D9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9CC" w14:textId="571EF573" w:rsidR="00061C53" w:rsidRPr="00061C53" w:rsidRDefault="001531F1" w:rsidP="002A4D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Financing Innovation</w:t>
            </w:r>
          </w:p>
        </w:tc>
      </w:tr>
      <w:tr w:rsidR="00061C53" w:rsidRPr="00061C53" w14:paraId="3D8EF1C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32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5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25722E06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F8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E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56D5A45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02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992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061C53" w:rsidRPr="009F7B33" w14:paraId="7D24EAD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1F5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DE" w14:textId="2D613496" w:rsidR="00061C53" w:rsidRPr="00014EA2" w:rsidRDefault="00000000" w:rsidP="00014EA2">
            <w:pPr>
              <w:spacing w:after="200" w:line="276" w:lineRule="auto"/>
              <w:rPr>
                <w:lang w:val="en-GB"/>
              </w:rPr>
            </w:pPr>
            <w:hyperlink r:id="rId8" w:history="1">
              <w:r w:rsidR="00014EA2" w:rsidRPr="007C35AF">
                <w:rPr>
                  <w:rStyle w:val="Hipercze"/>
                  <w:lang w:val="en-GB"/>
                </w:rPr>
                <w:t>https://www.umcs.pl/en/courses-in-english-2023-2024,26277.htm</w:t>
              </w:r>
            </w:hyperlink>
          </w:p>
        </w:tc>
      </w:tr>
      <w:tr w:rsidR="00061C53" w:rsidRPr="00061C53" w14:paraId="40E3BE0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2F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2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61C53" w:rsidRPr="009F7B33" w14:paraId="5431ED8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A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7" w14:textId="2FBAAA08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Contact hours (work with an academic teacher): </w:t>
            </w:r>
            <w:r w:rsidR="00B61A6C">
              <w:rPr>
                <w:rFonts w:ascii="Times New Roman" w:eastAsia="Times New Roman" w:hAnsi="Times New Roman" w:cs="Times New Roman"/>
                <w:bCs/>
                <w:lang w:val="en-GB"/>
              </w:rPr>
              <w:t>15</w:t>
            </w:r>
          </w:p>
          <w:p w14:paraId="1395AA8D" w14:textId="59415962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</w:t>
            </w:r>
            <w:r w:rsidR="00B61A6C">
              <w:rPr>
                <w:rFonts w:ascii="Times New Roman" w:eastAsia="Times New Roman" w:hAnsi="Times New Roman" w:cs="Times New Roman"/>
                <w:bCs/>
                <w:lang w:val="en-GB"/>
              </w:rPr>
              <w:t>15</w:t>
            </w:r>
          </w:p>
          <w:p w14:paraId="6FBCB0B2" w14:textId="3874B2FD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with an academic teacher: </w:t>
            </w:r>
            <w:r w:rsidR="00901C83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br/>
            </w:r>
            <w:proofErr w:type="gramStart"/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Non-contact</w:t>
            </w:r>
            <w:proofErr w:type="gramEnd"/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hours (students' own work): </w:t>
            </w:r>
            <w:r w:rsidR="00E321F0">
              <w:rPr>
                <w:rFonts w:ascii="Times New Roman" w:eastAsia="Times New Roman" w:hAnsi="Times New Roman" w:cs="Times New Roman"/>
                <w:bCs/>
                <w:lang w:val="en-GB"/>
              </w:rPr>
              <w:t>60</w:t>
            </w:r>
          </w:p>
          <w:p w14:paraId="34D395D3" w14:textId="28F35F95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non-contact hours: </w:t>
            </w:r>
            <w:r w:rsidR="00E321F0">
              <w:rPr>
                <w:rFonts w:ascii="Times New Roman" w:eastAsia="Times New Roman" w:hAnsi="Times New Roman" w:cs="Times New Roman"/>
                <w:bCs/>
                <w:lang w:val="en-GB"/>
              </w:rPr>
              <w:t>60</w:t>
            </w:r>
          </w:p>
          <w:p w14:paraId="34278E8E" w14:textId="4D657E21" w:rsidR="00061C53" w:rsidRPr="00061C53" w:rsidRDefault="00061C53" w:rsidP="000646D5">
            <w:pPr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for non-contact hours: </w:t>
            </w:r>
            <w:r w:rsidR="00E321F0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  <w:r w:rsidR="000646D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     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1C17B2C5" w14:textId="1176794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ECTS points for the module: </w:t>
            </w:r>
            <w:r w:rsidR="00E321F0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</w:p>
        </w:tc>
      </w:tr>
      <w:tr w:rsidR="00061C53" w:rsidRPr="00061C53" w14:paraId="68541F33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C9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34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F7B33" w14:paraId="753B3A17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F5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18" w14:textId="12C017D5" w:rsidR="00061C53" w:rsidRPr="00061C53" w:rsidRDefault="00FB6308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color w:val="000000"/>
                <w:lang w:val="en-GB"/>
              </w:rPr>
              <w:t xml:space="preserve">The main aim of the course is to acquaint students with the characteristics, </w:t>
            </w:r>
            <w:proofErr w:type="gramStart"/>
            <w:r w:rsidRPr="00FB6308">
              <w:rPr>
                <w:rFonts w:ascii="Times New Roman" w:hAnsi="Times New Roman" w:cs="Times New Roman"/>
                <w:color w:val="000000"/>
                <w:lang w:val="en-GB"/>
              </w:rPr>
              <w:t>determinants</w:t>
            </w:r>
            <w:proofErr w:type="gramEnd"/>
            <w:r w:rsidRPr="00FB6308">
              <w:rPr>
                <w:rFonts w:ascii="Times New Roman" w:hAnsi="Times New Roman" w:cs="Times New Roman"/>
                <w:color w:val="000000"/>
                <w:lang w:val="en-GB"/>
              </w:rPr>
              <w:t xml:space="preserve"> and types of innovation and to convey knowledge about the main sources of financing innovation activities and the role of public financial support.</w:t>
            </w:r>
          </w:p>
        </w:tc>
      </w:tr>
      <w:tr w:rsidR="00061C53" w:rsidRPr="009F7B33" w14:paraId="0FDBA8D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2AE" w14:textId="76FAF2A3" w:rsidR="00FB6308" w:rsidRPr="00BB5648" w:rsidRDefault="00FB6308" w:rsidP="00BB5648">
            <w:pPr>
              <w:pStyle w:val="Nagwek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F1111"/>
                <w:sz w:val="24"/>
                <w:szCs w:val="24"/>
                <w:lang w:val="en-US"/>
              </w:rPr>
            </w:pPr>
            <w:proofErr w:type="spellStart"/>
            <w:r w:rsidRPr="00BB5648">
              <w:rPr>
                <w:rStyle w:val="a-size-extra-large"/>
                <w:b w:val="0"/>
                <w:bCs w:val="0"/>
                <w:color w:val="0F1111"/>
                <w:sz w:val="24"/>
                <w:szCs w:val="24"/>
                <w:lang w:val="en-US"/>
              </w:rPr>
              <w:t>Mazzucato</w:t>
            </w:r>
            <w:proofErr w:type="spellEnd"/>
            <w:r w:rsidRPr="00BB5648">
              <w:rPr>
                <w:rStyle w:val="a-size-extra-large"/>
                <w:b w:val="0"/>
                <w:bCs w:val="0"/>
                <w:color w:val="0F1111"/>
                <w:sz w:val="24"/>
                <w:szCs w:val="24"/>
                <w:lang w:val="en-US"/>
              </w:rPr>
              <w:t xml:space="preserve"> M., </w:t>
            </w:r>
            <w:r w:rsidRPr="00BB5648">
              <w:rPr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en-US"/>
              </w:rPr>
              <w:t>The Entrepreneurial State: debunking public vs. private sector myths, Anthem, 2013.</w:t>
            </w:r>
          </w:p>
          <w:p w14:paraId="5690DDD2" w14:textId="538B6079" w:rsidR="00FB6308" w:rsidRPr="00FB6308" w:rsidRDefault="00FB6308" w:rsidP="00FB630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ED9AD56" w14:textId="6510F4EC" w:rsidR="00061C53" w:rsidRPr="00061C53" w:rsidRDefault="00FB6308" w:rsidP="00FB630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 xml:space="preserve">Financing Business </w:t>
            </w:r>
            <w:proofErr w:type="gramStart"/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>Innovation :</w:t>
            </w:r>
            <w:proofErr w:type="gramEnd"/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 xml:space="preserve"> Review of External Sources of Funding for Innovative Businesses and Public Policies to Support Them, World Bank Group Working Paper, 2012.</w:t>
            </w:r>
          </w:p>
        </w:tc>
      </w:tr>
      <w:tr w:rsidR="00061C53" w:rsidRPr="009F7B33" w14:paraId="5990251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14F7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C90" w14:textId="77777777" w:rsidR="00BB5648" w:rsidRPr="00930115" w:rsidRDefault="00BB5648" w:rsidP="00BB5648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4DB83CE4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Knowledge of the </w:t>
            </w:r>
            <w:r>
              <w:rPr>
                <w:rFonts w:ascii="Times New Roman" w:hAnsi="Times New Roman" w:cs="Times New Roman"/>
                <w:lang w:val="en-GB"/>
              </w:rPr>
              <w:t xml:space="preserve">main sources of financing innovation </w:t>
            </w:r>
          </w:p>
          <w:p w14:paraId="3004C2BB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</w:t>
            </w:r>
            <w:r>
              <w:rPr>
                <w:rFonts w:ascii="Times New Roman" w:hAnsi="Times New Roman" w:cs="Times New Roman"/>
                <w:lang w:val="en-GB"/>
              </w:rPr>
              <w:t xml:space="preserve">e of the stages of innovation process </w:t>
            </w:r>
          </w:p>
          <w:p w14:paraId="41AF59D9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7F16B278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B580E2C" w14:textId="3D4C5697" w:rsidR="00BB5648" w:rsidRPr="00BB5648" w:rsidRDefault="00BB5648" w:rsidP="00BB5648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analyse </w:t>
            </w:r>
            <w:r w:rsidRPr="00930115">
              <w:rPr>
                <w:rFonts w:ascii="Times New Roman" w:hAnsi="Times New Roman" w:cs="Times New Roman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lang w:val="en-GB"/>
              </w:rPr>
              <w:t>role of government in financial support of innovation</w:t>
            </w:r>
          </w:p>
          <w:p w14:paraId="663AFCD1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0001DA76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62268FFF" w14:textId="77777777" w:rsidR="00BB5648" w:rsidRPr="00930115" w:rsidRDefault="00BB5648" w:rsidP="00BB5648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problems connected with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financing of</w:t>
            </w:r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innovation activity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in economy</w:t>
            </w:r>
          </w:p>
          <w:p w14:paraId="48FAD37C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C53" w:rsidRPr="00061C53" w14:paraId="72B39A3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CE3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Practice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AE9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F2F49ED" w14:textId="77777777" w:rsidR="00061C53" w:rsidRPr="00061C53" w:rsidRDefault="00061C53" w:rsidP="00061C53">
      <w:pPr>
        <w:rPr>
          <w:rFonts w:ascii="Times New Roman" w:hAnsi="Times New Roman" w:cs="Times New Roman"/>
          <w:caps/>
          <w:lang w:val="en-GB"/>
        </w:rPr>
      </w:pPr>
    </w:p>
    <w:p w14:paraId="0433FA51" w14:textId="77777777" w:rsidR="00061C53" w:rsidRPr="00061C53" w:rsidRDefault="00061C53" w:rsidP="00061C53">
      <w:pPr>
        <w:pStyle w:val="HTML-wstpniesformatowany"/>
        <w:rPr>
          <w:rFonts w:ascii="Times New Roman" w:hAnsi="Times New Roman" w:cs="Times New Roman"/>
          <w:caps/>
          <w:sz w:val="22"/>
          <w:szCs w:val="22"/>
          <w:lang w:val="en-GB"/>
        </w:rPr>
      </w:pPr>
      <w:r w:rsidRPr="00061C53">
        <w:rPr>
          <w:rFonts w:ascii="Times New Roman" w:hAnsi="Times New Roman" w:cs="Times New Roman"/>
          <w:caps/>
          <w:sz w:val="22"/>
          <w:szCs w:val="22"/>
          <w:lang w:val="en-GB"/>
        </w:rPr>
        <w:t>Information about classes in the cycle</w:t>
      </w:r>
    </w:p>
    <w:p w14:paraId="5916BA95" w14:textId="77777777" w:rsidR="00061C53" w:rsidRPr="00930115" w:rsidRDefault="00061C53" w:rsidP="00061C53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061C53" w:rsidRPr="009F7B33" w14:paraId="5C51EFF7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911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71" w14:textId="6BBE45F6" w:rsidR="00061C53" w:rsidRPr="00930115" w:rsidRDefault="00000000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="00013344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930115" w14:paraId="13695B42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5F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4C8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30115" w14:paraId="0F4575AB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B35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DFD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9F7B33" w14:paraId="485BF96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407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236" w14:textId="77777777" w:rsidR="00BB5648" w:rsidRPr="00BB5648" w:rsidRDefault="00BB5648" w:rsidP="00BB5648">
            <w:pPr>
              <w:pStyle w:val="Nagwek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F1111"/>
                <w:sz w:val="24"/>
                <w:szCs w:val="24"/>
                <w:lang w:val="en-US"/>
              </w:rPr>
            </w:pPr>
            <w:proofErr w:type="spellStart"/>
            <w:r w:rsidRPr="00BB5648">
              <w:rPr>
                <w:rStyle w:val="a-size-extra-large"/>
                <w:b w:val="0"/>
                <w:bCs w:val="0"/>
                <w:color w:val="0F1111"/>
                <w:sz w:val="24"/>
                <w:szCs w:val="24"/>
                <w:lang w:val="en-US"/>
              </w:rPr>
              <w:t>Mazzucato</w:t>
            </w:r>
            <w:proofErr w:type="spellEnd"/>
            <w:r w:rsidRPr="00BB5648">
              <w:rPr>
                <w:rStyle w:val="a-size-extra-large"/>
                <w:b w:val="0"/>
                <w:bCs w:val="0"/>
                <w:color w:val="0F1111"/>
                <w:sz w:val="24"/>
                <w:szCs w:val="24"/>
                <w:lang w:val="en-US"/>
              </w:rPr>
              <w:t xml:space="preserve"> M., </w:t>
            </w:r>
            <w:r w:rsidRPr="00BB5648">
              <w:rPr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en-US"/>
              </w:rPr>
              <w:t>The Entrepreneurial State: debunking public vs. private sector myths, Anthem, 2013.</w:t>
            </w:r>
          </w:p>
          <w:p w14:paraId="767B1E4F" w14:textId="06EA03D0" w:rsidR="00FB6308" w:rsidRPr="00FB6308" w:rsidRDefault="00FB6308" w:rsidP="00FB630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E87BC9F" w14:textId="26C67774" w:rsidR="00061C53" w:rsidRPr="00930115" w:rsidRDefault="00FB6308" w:rsidP="00FB630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 xml:space="preserve">Financing Business </w:t>
            </w:r>
            <w:proofErr w:type="gramStart"/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>Innovation :</w:t>
            </w:r>
            <w:proofErr w:type="gramEnd"/>
            <w:r w:rsidRPr="00FB6308">
              <w:rPr>
                <w:rFonts w:ascii="Times New Roman" w:hAnsi="Times New Roman" w:cs="Times New Roman"/>
                <w:color w:val="222222"/>
                <w:lang w:val="en-GB"/>
              </w:rPr>
              <w:t xml:space="preserve"> Review of External Sources of Funding for Innovative Businesses and Public Policies to Support Them, World Bank Group Working Paper, 2012.</w:t>
            </w:r>
          </w:p>
        </w:tc>
      </w:tr>
      <w:tr w:rsidR="00061C53" w:rsidRPr="009F7B33" w14:paraId="5598BF75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02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B1D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03027B01" w14:textId="4E5A323A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0" w:name="_Hlk37883316"/>
            <w:r w:rsidRPr="00930115">
              <w:rPr>
                <w:rFonts w:ascii="Times New Roman" w:hAnsi="Times New Roman" w:cs="Times New Roman"/>
                <w:lang w:val="en-GB"/>
              </w:rPr>
              <w:t xml:space="preserve">Knowledge of the </w:t>
            </w:r>
            <w:r w:rsidR="00BB5648">
              <w:rPr>
                <w:rFonts w:ascii="Times New Roman" w:hAnsi="Times New Roman" w:cs="Times New Roman"/>
                <w:lang w:val="en-GB"/>
              </w:rPr>
              <w:t xml:space="preserve">main sources of financing innovation </w:t>
            </w:r>
          </w:p>
          <w:p w14:paraId="11358565" w14:textId="35FE3AD9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</w:t>
            </w:r>
            <w:r w:rsidR="00BB5648">
              <w:rPr>
                <w:rFonts w:ascii="Times New Roman" w:hAnsi="Times New Roman" w:cs="Times New Roman"/>
                <w:lang w:val="en-GB"/>
              </w:rPr>
              <w:t xml:space="preserve">e of the stages of innovation process </w:t>
            </w:r>
          </w:p>
          <w:bookmarkEnd w:id="0"/>
          <w:p w14:paraId="4D4B37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A5C8B7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811EEC5" w14:textId="3848F32C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analyse </w:t>
            </w:r>
            <w:r w:rsidR="00BB5648" w:rsidRPr="00930115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BB5648">
              <w:rPr>
                <w:rFonts w:ascii="Times New Roman" w:hAnsi="Times New Roman" w:cs="Times New Roman"/>
                <w:lang w:val="en-GB"/>
              </w:rPr>
              <w:t>role of government in financial support of innovation</w:t>
            </w:r>
          </w:p>
          <w:p w14:paraId="27AFB09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1A16D47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78E2C9BA" w14:textId="5328CB32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bookmarkStart w:id="1" w:name="_Hlk37881745"/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problems connected with</w:t>
            </w:r>
            <w:r w:rsidR="00BB564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financing of</w:t>
            </w:r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innovation activity</w:t>
            </w:r>
            <w:r w:rsidR="00BB564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in economy</w:t>
            </w:r>
          </w:p>
          <w:bookmarkEnd w:id="1"/>
          <w:p w14:paraId="2F61CA40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061C53" w:rsidRPr="009F7B33" w14:paraId="1729503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CE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1A9" w14:textId="406E08E5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>Characteristics and stages of innovation process</w:t>
            </w:r>
          </w:p>
          <w:p w14:paraId="344D4957" w14:textId="1B7CD94E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 xml:space="preserve">Categories of innovation funding </w:t>
            </w:r>
          </w:p>
          <w:p w14:paraId="14036A3F" w14:textId="67CC12DB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>Business angels and crowdfunding in financing innovation</w:t>
            </w:r>
          </w:p>
          <w:p w14:paraId="620FABFB" w14:textId="471D1834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>Venture capital in financing innovation</w:t>
            </w:r>
          </w:p>
          <w:p w14:paraId="0E45A5C3" w14:textId="08E24ED2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>The role of public sector intervention in financing innovation</w:t>
            </w:r>
          </w:p>
          <w:p w14:paraId="20F4DAB2" w14:textId="0E630B6B" w:rsidR="00FB6308" w:rsidRPr="00FB6308" w:rsidRDefault="00FB6308" w:rsidP="00FB630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 xml:space="preserve">Instruments of public financial support for innovation </w:t>
            </w:r>
          </w:p>
          <w:p w14:paraId="7F706D98" w14:textId="6C76A29F" w:rsidR="00061C53" w:rsidRPr="00FB6308" w:rsidRDefault="00FB6308" w:rsidP="00FB6308">
            <w:pPr>
              <w:ind w:left="360"/>
              <w:rPr>
                <w:rFonts w:ascii="Times New Roman" w:hAnsi="Times New Roman" w:cs="Times New Roman"/>
                <w:lang w:val="en-GB"/>
              </w:rPr>
            </w:pPr>
            <w:r w:rsidRPr="00FB6308">
              <w:rPr>
                <w:rFonts w:ascii="Times New Roman" w:hAnsi="Times New Roman" w:cs="Times New Roman"/>
                <w:lang w:val="en-GB"/>
              </w:rPr>
              <w:t>7.</w:t>
            </w:r>
            <w:r w:rsidRPr="00FB6308">
              <w:rPr>
                <w:rFonts w:ascii="Times New Roman" w:hAnsi="Times New Roman" w:cs="Times New Roman"/>
                <w:lang w:val="en-GB"/>
              </w:rPr>
              <w:tab/>
              <w:t>Financing innovation in selected countries</w:t>
            </w:r>
          </w:p>
        </w:tc>
      </w:tr>
      <w:tr w:rsidR="00061C53" w:rsidRPr="00930115" w14:paraId="4C373BC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CEB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52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061C53" w:rsidRPr="00013344" w14:paraId="2435546A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35E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C92" w14:textId="24454D62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</w:t>
            </w:r>
          </w:p>
        </w:tc>
      </w:tr>
    </w:tbl>
    <w:p w14:paraId="2CF422E7" w14:textId="77777777" w:rsidR="00061C53" w:rsidRPr="00930115" w:rsidRDefault="00061C53" w:rsidP="00061C53">
      <w:pPr>
        <w:rPr>
          <w:rFonts w:ascii="Times New Roman" w:hAnsi="Times New Roman" w:cs="Times New Roman"/>
          <w:lang w:val="en-GB"/>
        </w:rPr>
      </w:pPr>
    </w:p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120C7A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4B76" w14:textId="77777777" w:rsidR="00120C7A" w:rsidRDefault="00120C7A" w:rsidP="006E7390">
      <w:pPr>
        <w:spacing w:after="0" w:line="240" w:lineRule="auto"/>
      </w:pPr>
      <w:r>
        <w:separator/>
      </w:r>
    </w:p>
  </w:endnote>
  <w:endnote w:type="continuationSeparator" w:id="0">
    <w:p w14:paraId="7D74D099" w14:textId="77777777" w:rsidR="00120C7A" w:rsidRDefault="00120C7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36F5" w14:textId="77777777" w:rsidR="00120C7A" w:rsidRDefault="00120C7A" w:rsidP="006E7390">
      <w:pPr>
        <w:spacing w:after="0" w:line="240" w:lineRule="auto"/>
      </w:pPr>
      <w:r>
        <w:separator/>
      </w:r>
    </w:p>
  </w:footnote>
  <w:footnote w:type="continuationSeparator" w:id="0">
    <w:p w14:paraId="58A3CF6F" w14:textId="77777777" w:rsidR="00120C7A" w:rsidRDefault="00120C7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6EC8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31485">
    <w:abstractNumId w:val="7"/>
  </w:num>
  <w:num w:numId="2" w16cid:durableId="1391272801">
    <w:abstractNumId w:val="1"/>
  </w:num>
  <w:num w:numId="3" w16cid:durableId="924263221">
    <w:abstractNumId w:val="19"/>
  </w:num>
  <w:num w:numId="4" w16cid:durableId="2108503803">
    <w:abstractNumId w:val="2"/>
  </w:num>
  <w:num w:numId="5" w16cid:durableId="630747129">
    <w:abstractNumId w:val="20"/>
  </w:num>
  <w:num w:numId="6" w16cid:durableId="1818375266">
    <w:abstractNumId w:val="16"/>
  </w:num>
  <w:num w:numId="7" w16cid:durableId="1396464985">
    <w:abstractNumId w:val="11"/>
  </w:num>
  <w:num w:numId="8" w16cid:durableId="138958376">
    <w:abstractNumId w:val="15"/>
  </w:num>
  <w:num w:numId="9" w16cid:durableId="1572084034">
    <w:abstractNumId w:val="8"/>
  </w:num>
  <w:num w:numId="10" w16cid:durableId="1515606787">
    <w:abstractNumId w:val="6"/>
  </w:num>
  <w:num w:numId="11" w16cid:durableId="1083526387">
    <w:abstractNumId w:val="21"/>
  </w:num>
  <w:num w:numId="12" w16cid:durableId="495615710">
    <w:abstractNumId w:val="3"/>
  </w:num>
  <w:num w:numId="13" w16cid:durableId="1381369236">
    <w:abstractNumId w:val="14"/>
  </w:num>
  <w:num w:numId="14" w16cid:durableId="933366751">
    <w:abstractNumId w:val="0"/>
  </w:num>
  <w:num w:numId="15" w16cid:durableId="1241133154">
    <w:abstractNumId w:val="9"/>
  </w:num>
  <w:num w:numId="16" w16cid:durableId="1141847999">
    <w:abstractNumId w:val="10"/>
  </w:num>
  <w:num w:numId="17" w16cid:durableId="1385836768">
    <w:abstractNumId w:val="13"/>
  </w:num>
  <w:num w:numId="18" w16cid:durableId="2000839147">
    <w:abstractNumId w:val="17"/>
  </w:num>
  <w:num w:numId="19" w16cid:durableId="1980113072">
    <w:abstractNumId w:val="5"/>
  </w:num>
  <w:num w:numId="20" w16cid:durableId="30345437">
    <w:abstractNumId w:val="4"/>
  </w:num>
  <w:num w:numId="21" w16cid:durableId="150564848">
    <w:abstractNumId w:val="18"/>
  </w:num>
  <w:num w:numId="22" w16cid:durableId="734034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13344"/>
    <w:rsid w:val="00014EA2"/>
    <w:rsid w:val="00050FC2"/>
    <w:rsid w:val="00061BB8"/>
    <w:rsid w:val="00061C53"/>
    <w:rsid w:val="000646D5"/>
    <w:rsid w:val="00080B73"/>
    <w:rsid w:val="00095696"/>
    <w:rsid w:val="000C2FD8"/>
    <w:rsid w:val="000E6206"/>
    <w:rsid w:val="00120C7A"/>
    <w:rsid w:val="001531F1"/>
    <w:rsid w:val="00156121"/>
    <w:rsid w:val="001843FB"/>
    <w:rsid w:val="001C2D1A"/>
    <w:rsid w:val="001E424A"/>
    <w:rsid w:val="001E4798"/>
    <w:rsid w:val="001F0E88"/>
    <w:rsid w:val="00216ADF"/>
    <w:rsid w:val="002252A9"/>
    <w:rsid w:val="002E3EE7"/>
    <w:rsid w:val="003233B4"/>
    <w:rsid w:val="00343A6F"/>
    <w:rsid w:val="003A0863"/>
    <w:rsid w:val="003D1DA3"/>
    <w:rsid w:val="003E5E2B"/>
    <w:rsid w:val="004D7065"/>
    <w:rsid w:val="0050630E"/>
    <w:rsid w:val="00544B72"/>
    <w:rsid w:val="00560D3B"/>
    <w:rsid w:val="005862CA"/>
    <w:rsid w:val="005F1CAD"/>
    <w:rsid w:val="00636343"/>
    <w:rsid w:val="00670459"/>
    <w:rsid w:val="00693951"/>
    <w:rsid w:val="006A6A42"/>
    <w:rsid w:val="006D36F2"/>
    <w:rsid w:val="006E7390"/>
    <w:rsid w:val="006F76AC"/>
    <w:rsid w:val="00716989"/>
    <w:rsid w:val="00735AA7"/>
    <w:rsid w:val="00754C7B"/>
    <w:rsid w:val="007A495E"/>
    <w:rsid w:val="00806345"/>
    <w:rsid w:val="00870EDE"/>
    <w:rsid w:val="008D113F"/>
    <w:rsid w:val="00901C83"/>
    <w:rsid w:val="0097256E"/>
    <w:rsid w:val="009C378A"/>
    <w:rsid w:val="009E034D"/>
    <w:rsid w:val="009F7B33"/>
    <w:rsid w:val="00A01276"/>
    <w:rsid w:val="00A107FC"/>
    <w:rsid w:val="00A4414B"/>
    <w:rsid w:val="00A55BB8"/>
    <w:rsid w:val="00A76008"/>
    <w:rsid w:val="00A95F1F"/>
    <w:rsid w:val="00AC3FFA"/>
    <w:rsid w:val="00AD176F"/>
    <w:rsid w:val="00AD2B9A"/>
    <w:rsid w:val="00B03010"/>
    <w:rsid w:val="00B61A6C"/>
    <w:rsid w:val="00B72C3F"/>
    <w:rsid w:val="00BA02F8"/>
    <w:rsid w:val="00BB5648"/>
    <w:rsid w:val="00C16322"/>
    <w:rsid w:val="00C31C17"/>
    <w:rsid w:val="00C35A05"/>
    <w:rsid w:val="00C6593B"/>
    <w:rsid w:val="00C77C25"/>
    <w:rsid w:val="00C85841"/>
    <w:rsid w:val="00C87AA4"/>
    <w:rsid w:val="00D055F6"/>
    <w:rsid w:val="00D46C92"/>
    <w:rsid w:val="00D52B9B"/>
    <w:rsid w:val="00D91EE9"/>
    <w:rsid w:val="00DB1F45"/>
    <w:rsid w:val="00DD1534"/>
    <w:rsid w:val="00E022BE"/>
    <w:rsid w:val="00E321F0"/>
    <w:rsid w:val="00ED4704"/>
    <w:rsid w:val="00EE607D"/>
    <w:rsid w:val="00F01226"/>
    <w:rsid w:val="00F053C7"/>
    <w:rsid w:val="00F1044D"/>
    <w:rsid w:val="00F6570B"/>
    <w:rsid w:val="00F770F1"/>
    <w:rsid w:val="00FA6F83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6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13344"/>
  </w:style>
  <w:style w:type="character" w:customStyle="1" w:styleId="Nagwek1Znak">
    <w:name w:val="Nagłówek 1 Znak"/>
    <w:basedOn w:val="Domylnaczcionkaakapitu"/>
    <w:link w:val="Nagwek1"/>
    <w:uiPriority w:val="9"/>
    <w:rsid w:val="00FB6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omylnaczcionkaakapitu"/>
    <w:rsid w:val="00FB6308"/>
  </w:style>
  <w:style w:type="character" w:styleId="Nierozpoznanawzmianka">
    <w:name w:val="Unresolved Mention"/>
    <w:basedOn w:val="Domylnaczcionkaakapitu"/>
    <w:uiPriority w:val="99"/>
    <w:semiHidden/>
    <w:unhideWhenUsed/>
    <w:rsid w:val="00014E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4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3-2024,26277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6CD30-B3CE-448A-BA43-A66B5D0BD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ABF2B-03E6-4592-B7D7-5E34201B6674}"/>
</file>

<file path=customXml/itemProps3.xml><?xml version="1.0" encoding="utf-8"?>
<ds:datastoreItem xmlns:ds="http://schemas.openxmlformats.org/officeDocument/2006/customXml" ds:itemID="{7B254F8A-7D3C-4E3A-8497-13A980537C9F}"/>
</file>

<file path=customXml/itemProps4.xml><?xml version="1.0" encoding="utf-8"?>
<ds:datastoreItem xmlns:ds="http://schemas.openxmlformats.org/officeDocument/2006/customXml" ds:itemID="{E4282D8B-2F75-41C7-8F8F-DFB10255B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Anna Matras-Bolibok</cp:lastModifiedBy>
  <cp:revision>2</cp:revision>
  <dcterms:created xsi:type="dcterms:W3CDTF">2024-02-02T16:17:00Z</dcterms:created>
  <dcterms:modified xsi:type="dcterms:W3CDTF">2024-02-02T16:17:00Z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