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6AED1" w14:textId="146D593A" w:rsidR="000D47C9" w:rsidRPr="000C5591" w:rsidRDefault="000D47C9" w:rsidP="000C5591">
      <w:pPr>
        <w:jc w:val="right"/>
        <w:rPr>
          <w:rFonts w:ascii="Roboto Light" w:hAnsi="Roboto Light"/>
        </w:rPr>
      </w:pPr>
    </w:p>
    <w:p w14:paraId="5AE345FE" w14:textId="46566B3C" w:rsidR="000C5591" w:rsidRPr="00D03323" w:rsidRDefault="00AE7E4F" w:rsidP="00D03323">
      <w:pPr>
        <w:jc w:val="right"/>
        <w:rPr>
          <w:rFonts w:ascii="Roboto Light" w:hAnsi="Roboto Light"/>
          <w:sz w:val="20"/>
          <w:szCs w:val="20"/>
        </w:rPr>
      </w:pPr>
      <w:r>
        <w:rPr>
          <w:rFonts w:ascii="Roboto Light" w:hAnsi="Roboto Light"/>
          <w:sz w:val="20"/>
          <w:szCs w:val="20"/>
        </w:rPr>
        <w:t>Sche</w:t>
      </w:r>
      <w:r w:rsidR="00604611">
        <w:rPr>
          <w:rFonts w:ascii="Roboto Light" w:hAnsi="Roboto Light"/>
          <w:sz w:val="20"/>
          <w:szCs w:val="20"/>
        </w:rPr>
        <w:t>d</w:t>
      </w:r>
      <w:r>
        <w:rPr>
          <w:rFonts w:ascii="Roboto Light" w:hAnsi="Roboto Light"/>
          <w:sz w:val="20"/>
          <w:szCs w:val="20"/>
        </w:rPr>
        <w:t>ule</w:t>
      </w:r>
      <w:r w:rsidR="000C5591" w:rsidRPr="000C5591">
        <w:rPr>
          <w:rFonts w:ascii="Roboto Light" w:hAnsi="Roboto Light"/>
          <w:sz w:val="20"/>
          <w:szCs w:val="20"/>
        </w:rPr>
        <w:t xml:space="preserve"> </w:t>
      </w:r>
      <w:r w:rsidR="00FE68EF">
        <w:rPr>
          <w:rFonts w:ascii="Roboto Light" w:hAnsi="Roboto Light"/>
          <w:sz w:val="20"/>
          <w:szCs w:val="20"/>
        </w:rPr>
        <w:t>2</w:t>
      </w:r>
    </w:p>
    <w:p w14:paraId="304BE719" w14:textId="69F04D22" w:rsidR="00DB1850" w:rsidRDefault="00DB1850" w:rsidP="00D03323">
      <w:pPr>
        <w:jc w:val="center"/>
        <w:rPr>
          <w:rFonts w:ascii="Roboto Light" w:hAnsi="Roboto Light"/>
          <w:b/>
          <w:bCs/>
        </w:rPr>
      </w:pPr>
      <w:r w:rsidRPr="00DB1850">
        <w:rPr>
          <w:rFonts w:ascii="Roboto Light" w:hAnsi="Roboto Light"/>
          <w:b/>
          <w:bCs/>
        </w:rPr>
        <w:t>C</w:t>
      </w:r>
      <w:r w:rsidR="00B300B2">
        <w:rPr>
          <w:rFonts w:ascii="Roboto Light" w:hAnsi="Roboto Light"/>
          <w:b/>
          <w:bCs/>
        </w:rPr>
        <w:t xml:space="preserve">GMA </w:t>
      </w:r>
      <w:r w:rsidRPr="00DB1850">
        <w:rPr>
          <w:rFonts w:ascii="Roboto Light" w:hAnsi="Roboto Light"/>
          <w:b/>
          <w:bCs/>
        </w:rPr>
        <w:t>University Program fees 202</w:t>
      </w:r>
      <w:r w:rsidR="008F46B8">
        <w:rPr>
          <w:rFonts w:ascii="Roboto Light" w:hAnsi="Roboto Light"/>
          <w:b/>
          <w:bCs/>
        </w:rPr>
        <w:t>3</w:t>
      </w:r>
    </w:p>
    <w:p w14:paraId="3B9F292B" w14:textId="77777777" w:rsidR="00D03323" w:rsidRPr="00844EA8" w:rsidRDefault="00D03323" w:rsidP="00913E68">
      <w:pPr>
        <w:jc w:val="both"/>
        <w:rPr>
          <w:rFonts w:ascii="Roboto Light" w:hAnsi="Roboto Light"/>
          <w:b/>
          <w:bCs/>
        </w:rPr>
      </w:pPr>
    </w:p>
    <w:p w14:paraId="73F1DDC6" w14:textId="1EE46190" w:rsidR="00847581" w:rsidRPr="00847581" w:rsidRDefault="00847581" w:rsidP="00913E68">
      <w:pPr>
        <w:pStyle w:val="Akapitzlist"/>
        <w:numPr>
          <w:ilvl w:val="0"/>
          <w:numId w:val="1"/>
        </w:numPr>
        <w:spacing w:after="120"/>
        <w:contextualSpacing w:val="0"/>
        <w:jc w:val="both"/>
        <w:rPr>
          <w:rFonts w:ascii="Roboto Light" w:hAnsi="Roboto Light"/>
          <w:sz w:val="18"/>
          <w:szCs w:val="18"/>
        </w:rPr>
      </w:pPr>
      <w:r w:rsidRPr="00847581">
        <w:rPr>
          <w:rFonts w:ascii="Roboto Light" w:hAnsi="Roboto Light"/>
          <w:sz w:val="18"/>
          <w:szCs w:val="18"/>
        </w:rPr>
        <w:t>Students participating in the C</w:t>
      </w:r>
      <w:r w:rsidR="008F46B8">
        <w:rPr>
          <w:rFonts w:ascii="Roboto Light" w:hAnsi="Roboto Light"/>
          <w:sz w:val="18"/>
          <w:szCs w:val="18"/>
        </w:rPr>
        <w:t>GMA</w:t>
      </w:r>
      <w:r>
        <w:rPr>
          <w:rFonts w:ascii="Roboto Light" w:hAnsi="Roboto Light"/>
          <w:sz w:val="18"/>
          <w:szCs w:val="18"/>
        </w:rPr>
        <w:t xml:space="preserve"> University </w:t>
      </w:r>
      <w:r w:rsidRPr="00847581">
        <w:rPr>
          <w:rFonts w:ascii="Roboto Light" w:hAnsi="Roboto Light"/>
          <w:sz w:val="18"/>
          <w:szCs w:val="18"/>
        </w:rPr>
        <w:t>Program are obliged to pay the following fees</w:t>
      </w:r>
      <w:r w:rsidR="00517B58">
        <w:rPr>
          <w:rFonts w:ascii="Roboto Light" w:hAnsi="Roboto Light"/>
          <w:sz w:val="18"/>
          <w:szCs w:val="18"/>
        </w:rPr>
        <w:t xml:space="preserve"> to AICPA &amp; CIMA</w:t>
      </w:r>
      <w:r w:rsidRPr="00847581">
        <w:rPr>
          <w:rFonts w:ascii="Roboto Light" w:hAnsi="Roboto Light"/>
          <w:sz w:val="18"/>
          <w:szCs w:val="18"/>
        </w:rPr>
        <w:t>:</w:t>
      </w:r>
    </w:p>
    <w:p w14:paraId="20D5DE5B" w14:textId="77777777" w:rsidR="00847581" w:rsidRPr="00847581" w:rsidRDefault="00847581" w:rsidP="00913E68">
      <w:pPr>
        <w:pStyle w:val="Akapitzlist"/>
        <w:numPr>
          <w:ilvl w:val="1"/>
          <w:numId w:val="1"/>
        </w:numPr>
        <w:spacing w:after="120"/>
        <w:contextualSpacing w:val="0"/>
        <w:jc w:val="both"/>
        <w:rPr>
          <w:rFonts w:ascii="Roboto Light" w:hAnsi="Roboto Light"/>
          <w:sz w:val="18"/>
          <w:szCs w:val="18"/>
        </w:rPr>
      </w:pPr>
      <w:r w:rsidRPr="00847581">
        <w:rPr>
          <w:rFonts w:ascii="Roboto Light" w:hAnsi="Roboto Light"/>
          <w:sz w:val="18"/>
          <w:szCs w:val="18"/>
        </w:rPr>
        <w:t xml:space="preserve">a one-off, non-refundable registration fee; </w:t>
      </w:r>
    </w:p>
    <w:p w14:paraId="47C0126A" w14:textId="77777777" w:rsidR="00847581" w:rsidRPr="00847581" w:rsidRDefault="00847581" w:rsidP="00913E68">
      <w:pPr>
        <w:pStyle w:val="Akapitzlist"/>
        <w:numPr>
          <w:ilvl w:val="1"/>
          <w:numId w:val="1"/>
        </w:numPr>
        <w:spacing w:after="120"/>
        <w:contextualSpacing w:val="0"/>
        <w:jc w:val="both"/>
        <w:rPr>
          <w:rFonts w:ascii="Roboto Light" w:hAnsi="Roboto Light"/>
          <w:sz w:val="18"/>
          <w:szCs w:val="18"/>
        </w:rPr>
      </w:pPr>
      <w:r w:rsidRPr="00847581">
        <w:rPr>
          <w:rFonts w:ascii="Roboto Light" w:hAnsi="Roboto Light"/>
          <w:sz w:val="18"/>
          <w:szCs w:val="18"/>
        </w:rPr>
        <w:t>external exam fees;</w:t>
      </w:r>
    </w:p>
    <w:p w14:paraId="2E8F3FAE" w14:textId="14F44D4B" w:rsidR="00847581" w:rsidRPr="00847581" w:rsidRDefault="00847581" w:rsidP="00913E68">
      <w:pPr>
        <w:pStyle w:val="Akapitzlist"/>
        <w:numPr>
          <w:ilvl w:val="1"/>
          <w:numId w:val="1"/>
        </w:numPr>
        <w:spacing w:after="120"/>
        <w:contextualSpacing w:val="0"/>
        <w:jc w:val="both"/>
        <w:rPr>
          <w:rFonts w:ascii="Roboto Light" w:hAnsi="Roboto Light"/>
          <w:sz w:val="18"/>
          <w:szCs w:val="18"/>
        </w:rPr>
      </w:pPr>
      <w:r w:rsidRPr="00847581">
        <w:rPr>
          <w:rFonts w:ascii="Roboto Light" w:hAnsi="Roboto Light"/>
          <w:sz w:val="18"/>
          <w:szCs w:val="18"/>
        </w:rPr>
        <w:t>annual subscription fee.</w:t>
      </w:r>
    </w:p>
    <w:p w14:paraId="488AC184" w14:textId="63306194" w:rsidR="00847581" w:rsidRPr="00847581" w:rsidRDefault="00847581" w:rsidP="00913E68">
      <w:pPr>
        <w:pStyle w:val="Akapitzlist"/>
        <w:numPr>
          <w:ilvl w:val="0"/>
          <w:numId w:val="1"/>
        </w:numPr>
        <w:spacing w:after="120"/>
        <w:contextualSpacing w:val="0"/>
        <w:jc w:val="both"/>
        <w:rPr>
          <w:rFonts w:ascii="Roboto Light" w:hAnsi="Roboto Light"/>
          <w:sz w:val="18"/>
          <w:szCs w:val="18"/>
        </w:rPr>
      </w:pPr>
      <w:r w:rsidRPr="00847581">
        <w:rPr>
          <w:rFonts w:ascii="Roboto Light" w:hAnsi="Roboto Light"/>
          <w:sz w:val="18"/>
          <w:szCs w:val="18"/>
        </w:rPr>
        <w:t>Timely payment of all fees</w:t>
      </w:r>
      <w:r w:rsidR="00951530">
        <w:rPr>
          <w:rFonts w:ascii="Roboto Light" w:hAnsi="Roboto Light"/>
          <w:sz w:val="18"/>
          <w:szCs w:val="18"/>
        </w:rPr>
        <w:t xml:space="preserve"> </w:t>
      </w:r>
      <w:r w:rsidRPr="00847581">
        <w:rPr>
          <w:rFonts w:ascii="Roboto Light" w:hAnsi="Roboto Light"/>
          <w:sz w:val="18"/>
          <w:szCs w:val="18"/>
        </w:rPr>
        <w:t>is the necessary condition of participation and completion of the C</w:t>
      </w:r>
      <w:r w:rsidR="00BA208B">
        <w:rPr>
          <w:rFonts w:ascii="Roboto Light" w:hAnsi="Roboto Light"/>
          <w:sz w:val="18"/>
          <w:szCs w:val="18"/>
        </w:rPr>
        <w:t>G</w:t>
      </w:r>
      <w:r w:rsidRPr="00847581">
        <w:rPr>
          <w:rFonts w:ascii="Roboto Light" w:hAnsi="Roboto Light"/>
          <w:sz w:val="18"/>
          <w:szCs w:val="18"/>
        </w:rPr>
        <w:t xml:space="preserve">MA Program.  </w:t>
      </w:r>
    </w:p>
    <w:p w14:paraId="6B7EC856" w14:textId="77777777" w:rsidR="009640A3" w:rsidRDefault="00847581" w:rsidP="00913E68">
      <w:pPr>
        <w:pStyle w:val="Akapitzlist"/>
        <w:numPr>
          <w:ilvl w:val="0"/>
          <w:numId w:val="1"/>
        </w:numPr>
        <w:spacing w:after="120"/>
        <w:contextualSpacing w:val="0"/>
        <w:jc w:val="both"/>
        <w:rPr>
          <w:rFonts w:ascii="Roboto Light" w:hAnsi="Roboto Light"/>
          <w:sz w:val="18"/>
          <w:szCs w:val="18"/>
        </w:rPr>
      </w:pPr>
      <w:r w:rsidRPr="00847581">
        <w:rPr>
          <w:rFonts w:ascii="Roboto Light" w:hAnsi="Roboto Light"/>
          <w:sz w:val="18"/>
          <w:szCs w:val="18"/>
        </w:rPr>
        <w:t xml:space="preserve">All fees paid to AICPA &amp; CIMA are non-refundable and non-transferable between students. </w:t>
      </w:r>
      <w:bookmarkStart w:id="0" w:name="_Hlk114234103"/>
    </w:p>
    <w:p w14:paraId="327D100A" w14:textId="5D359415" w:rsidR="006754AD" w:rsidRPr="009640A3" w:rsidRDefault="006754AD" w:rsidP="00913E68">
      <w:pPr>
        <w:pStyle w:val="Akapitzlist"/>
        <w:numPr>
          <w:ilvl w:val="0"/>
          <w:numId w:val="1"/>
        </w:numPr>
        <w:spacing w:after="120"/>
        <w:contextualSpacing w:val="0"/>
        <w:jc w:val="both"/>
        <w:rPr>
          <w:rFonts w:ascii="Roboto Light" w:hAnsi="Roboto Light"/>
          <w:sz w:val="18"/>
          <w:szCs w:val="18"/>
        </w:rPr>
      </w:pPr>
      <w:r w:rsidRPr="009640A3">
        <w:rPr>
          <w:rFonts w:ascii="Roboto Light" w:hAnsi="Roboto Light"/>
          <w:sz w:val="18"/>
          <w:szCs w:val="18"/>
        </w:rPr>
        <w:t xml:space="preserve">New candidates pay a one-time </w:t>
      </w:r>
      <w:r w:rsidRPr="009640A3">
        <w:rPr>
          <w:rFonts w:ascii="Roboto Light" w:hAnsi="Roboto Light"/>
          <w:b/>
          <w:bCs/>
          <w:sz w:val="18"/>
          <w:szCs w:val="18"/>
        </w:rPr>
        <w:t>registration fee</w:t>
      </w:r>
      <w:r w:rsidRPr="009640A3">
        <w:rPr>
          <w:rFonts w:ascii="Roboto Light" w:hAnsi="Roboto Light"/>
          <w:sz w:val="18"/>
          <w:szCs w:val="18"/>
        </w:rPr>
        <w:t>, which includes:</w:t>
      </w:r>
    </w:p>
    <w:p w14:paraId="01DB39A0" w14:textId="2CB43D3A" w:rsidR="004556D0" w:rsidRPr="00732A48" w:rsidRDefault="004556D0" w:rsidP="00913E68">
      <w:pPr>
        <w:spacing w:after="0"/>
        <w:ind w:left="357"/>
        <w:jc w:val="both"/>
        <w:rPr>
          <w:rFonts w:ascii="Roboto Light" w:hAnsi="Roboto Light"/>
          <w:sz w:val="18"/>
          <w:szCs w:val="18"/>
        </w:rPr>
      </w:pPr>
      <w:r>
        <w:rPr>
          <w:rFonts w:ascii="Roboto Light" w:hAnsi="Roboto Light"/>
          <w:sz w:val="18"/>
          <w:szCs w:val="18"/>
        </w:rPr>
        <w:t>Initial r</w:t>
      </w:r>
      <w:r w:rsidRPr="00951530">
        <w:rPr>
          <w:rFonts w:ascii="Roboto Light" w:hAnsi="Roboto Light"/>
          <w:sz w:val="18"/>
          <w:szCs w:val="18"/>
        </w:rPr>
        <w:t xml:space="preserve">egistration fee </w:t>
      </w:r>
      <w:r w:rsidRPr="00951530">
        <w:rPr>
          <w:rFonts w:ascii="Roboto Light" w:hAnsi="Roboto Light"/>
          <w:sz w:val="18"/>
          <w:szCs w:val="18"/>
        </w:rPr>
        <w:tab/>
      </w:r>
      <w:r w:rsidRPr="00951530">
        <w:rPr>
          <w:rFonts w:ascii="Roboto Light" w:hAnsi="Roboto Light"/>
          <w:sz w:val="18"/>
          <w:szCs w:val="18"/>
        </w:rPr>
        <w:tab/>
      </w:r>
      <w:r w:rsidRPr="00732A48">
        <w:rPr>
          <w:rFonts w:ascii="Roboto Light" w:hAnsi="Roboto Light"/>
          <w:b/>
          <w:bCs/>
          <w:sz w:val="20"/>
          <w:szCs w:val="20"/>
        </w:rPr>
        <w:t>£</w:t>
      </w:r>
      <w:r>
        <w:rPr>
          <w:rFonts w:ascii="Roboto Light" w:hAnsi="Roboto Light"/>
          <w:b/>
          <w:bCs/>
          <w:sz w:val="20"/>
          <w:szCs w:val="20"/>
        </w:rPr>
        <w:t>9</w:t>
      </w:r>
      <w:r w:rsidRPr="00732A48">
        <w:rPr>
          <w:rFonts w:ascii="Roboto Light" w:hAnsi="Roboto Light"/>
          <w:b/>
          <w:bCs/>
          <w:sz w:val="20"/>
          <w:szCs w:val="20"/>
        </w:rPr>
        <w:t>5</w:t>
      </w:r>
    </w:p>
    <w:p w14:paraId="63FDD6BC" w14:textId="77777777" w:rsidR="00A9287B" w:rsidRDefault="004556D0" w:rsidP="00913E68">
      <w:pPr>
        <w:spacing w:after="120"/>
        <w:ind w:left="357"/>
        <w:jc w:val="both"/>
        <w:rPr>
          <w:rFonts w:ascii="Roboto Light" w:hAnsi="Roboto Light"/>
          <w:i/>
          <w:iCs/>
          <w:sz w:val="18"/>
          <w:szCs w:val="18"/>
        </w:rPr>
      </w:pPr>
      <w:r w:rsidRPr="00F91A3F">
        <w:rPr>
          <w:rFonts w:ascii="Roboto Light" w:hAnsi="Roboto Light"/>
          <w:i/>
          <w:iCs/>
          <w:sz w:val="16"/>
          <w:szCs w:val="16"/>
        </w:rPr>
        <w:t>Candidate is required to register as a C</w:t>
      </w:r>
      <w:r>
        <w:rPr>
          <w:rFonts w:ascii="Roboto Light" w:hAnsi="Roboto Light"/>
          <w:i/>
          <w:iCs/>
          <w:sz w:val="16"/>
          <w:szCs w:val="16"/>
        </w:rPr>
        <w:t>G</w:t>
      </w:r>
      <w:r w:rsidRPr="00F91A3F">
        <w:rPr>
          <w:rFonts w:ascii="Roboto Light" w:hAnsi="Roboto Light"/>
          <w:i/>
          <w:iCs/>
          <w:sz w:val="16"/>
          <w:szCs w:val="16"/>
        </w:rPr>
        <w:t xml:space="preserve">MA </w:t>
      </w:r>
      <w:r>
        <w:rPr>
          <w:rFonts w:ascii="Roboto Light" w:hAnsi="Roboto Light"/>
          <w:i/>
          <w:iCs/>
          <w:sz w:val="16"/>
          <w:szCs w:val="16"/>
        </w:rPr>
        <w:t>candidate at aicpa-cima.com</w:t>
      </w:r>
      <w:r w:rsidRPr="00F91A3F">
        <w:rPr>
          <w:rFonts w:ascii="Roboto Light" w:hAnsi="Roboto Light"/>
          <w:i/>
          <w:iCs/>
          <w:sz w:val="16"/>
          <w:szCs w:val="16"/>
        </w:rPr>
        <w:t xml:space="preserve"> and pay the registration fee by </w:t>
      </w:r>
      <w:r w:rsidR="001519F6">
        <w:rPr>
          <w:rFonts w:ascii="Roboto Light" w:hAnsi="Roboto Light"/>
          <w:i/>
          <w:iCs/>
          <w:sz w:val="16"/>
          <w:szCs w:val="16"/>
        </w:rPr>
        <w:t>30</w:t>
      </w:r>
      <w:r w:rsidRPr="00F91A3F">
        <w:rPr>
          <w:rFonts w:ascii="Roboto Light" w:hAnsi="Roboto Light"/>
          <w:i/>
          <w:iCs/>
          <w:sz w:val="16"/>
          <w:szCs w:val="16"/>
        </w:rPr>
        <w:t xml:space="preserve"> </w:t>
      </w:r>
      <w:r w:rsidR="001519F6">
        <w:rPr>
          <w:rFonts w:ascii="Roboto Light" w:hAnsi="Roboto Light"/>
          <w:i/>
          <w:iCs/>
          <w:sz w:val="16"/>
          <w:szCs w:val="16"/>
        </w:rPr>
        <w:t>November</w:t>
      </w:r>
      <w:r w:rsidRPr="00F91A3F">
        <w:rPr>
          <w:rFonts w:ascii="Roboto Light" w:hAnsi="Roboto Light"/>
          <w:i/>
          <w:iCs/>
          <w:sz w:val="16"/>
          <w:szCs w:val="16"/>
        </w:rPr>
        <w:t xml:space="preserve"> 202</w:t>
      </w:r>
      <w:r w:rsidR="001519F6">
        <w:rPr>
          <w:rFonts w:ascii="Roboto Light" w:hAnsi="Roboto Light"/>
          <w:i/>
          <w:iCs/>
          <w:sz w:val="16"/>
          <w:szCs w:val="16"/>
        </w:rPr>
        <w:t>3</w:t>
      </w:r>
      <w:r>
        <w:rPr>
          <w:rFonts w:ascii="Roboto Light" w:hAnsi="Roboto Light"/>
          <w:i/>
          <w:iCs/>
          <w:sz w:val="16"/>
          <w:szCs w:val="16"/>
        </w:rPr>
        <w:t>.</w:t>
      </w:r>
    </w:p>
    <w:p w14:paraId="1CF936F7" w14:textId="703AFB63" w:rsidR="006754AD" w:rsidRDefault="00A9287B" w:rsidP="00913E68">
      <w:pPr>
        <w:spacing w:after="120"/>
        <w:ind w:left="357"/>
        <w:jc w:val="both"/>
        <w:rPr>
          <w:rFonts w:ascii="Roboto Light" w:hAnsi="Roboto Light"/>
          <w:sz w:val="18"/>
          <w:szCs w:val="18"/>
        </w:rPr>
      </w:pPr>
      <w:r w:rsidRPr="00A9287B">
        <w:rPr>
          <w:rFonts w:ascii="Roboto Light" w:hAnsi="Roboto Light"/>
          <w:sz w:val="18"/>
          <w:szCs w:val="18"/>
        </w:rPr>
        <w:t>F</w:t>
      </w:r>
      <w:r w:rsidR="006754AD" w:rsidRPr="00A9287B">
        <w:rPr>
          <w:rFonts w:ascii="Roboto Light" w:hAnsi="Roboto Light"/>
          <w:sz w:val="18"/>
          <w:szCs w:val="18"/>
        </w:rPr>
        <w:t>irst year’s subscription fee</w:t>
      </w:r>
      <w:r w:rsidR="00736CDE">
        <w:rPr>
          <w:rFonts w:ascii="Roboto Light" w:hAnsi="Roboto Light"/>
          <w:sz w:val="18"/>
          <w:szCs w:val="18"/>
        </w:rPr>
        <w:tab/>
      </w:r>
      <w:r w:rsidR="00DA2F79" w:rsidRPr="00DA2F79">
        <w:rPr>
          <w:rFonts w:ascii="Roboto Light" w:hAnsi="Roboto Light"/>
          <w:b/>
          <w:bCs/>
          <w:sz w:val="20"/>
          <w:szCs w:val="20"/>
        </w:rPr>
        <w:t>Free</w:t>
      </w:r>
      <w:r w:rsidRPr="00DA2F79">
        <w:rPr>
          <w:rFonts w:ascii="Roboto Light" w:hAnsi="Roboto Light"/>
          <w:sz w:val="20"/>
          <w:szCs w:val="20"/>
        </w:rPr>
        <w:t xml:space="preserve"> </w:t>
      </w:r>
    </w:p>
    <w:p w14:paraId="74E73759" w14:textId="4258B8BF" w:rsidR="00736CDE" w:rsidRDefault="00B74A4B" w:rsidP="00913E68">
      <w:pPr>
        <w:spacing w:after="120"/>
        <w:ind w:left="357"/>
        <w:jc w:val="both"/>
        <w:rPr>
          <w:rFonts w:ascii="Roboto Light" w:hAnsi="Roboto Light"/>
          <w:sz w:val="18"/>
          <w:szCs w:val="18"/>
        </w:rPr>
      </w:pPr>
      <w:r>
        <w:rPr>
          <w:rFonts w:ascii="Roboto Light" w:hAnsi="Roboto Light"/>
          <w:sz w:val="18"/>
          <w:szCs w:val="18"/>
        </w:rPr>
        <w:t>A credit to sit one CIMA’s CGMA exam</w:t>
      </w:r>
    </w:p>
    <w:tbl>
      <w:tblPr>
        <w:tblStyle w:val="Tabela-Siatka"/>
        <w:tblW w:w="8096" w:type="dxa"/>
        <w:tblInd w:w="279" w:type="dxa"/>
        <w:tblLook w:val="04A0" w:firstRow="1" w:lastRow="0" w:firstColumn="1" w:lastColumn="0" w:noHBand="0" w:noVBand="1"/>
      </w:tblPr>
      <w:tblGrid>
        <w:gridCol w:w="5386"/>
        <w:gridCol w:w="2710"/>
      </w:tblGrid>
      <w:tr w:rsidR="00FB6DC6" w:rsidRPr="00AB03C3" w14:paraId="4445E442" w14:textId="77777777" w:rsidTr="00F00516">
        <w:trPr>
          <w:trHeight w:val="300"/>
        </w:trPr>
        <w:tc>
          <w:tcPr>
            <w:tcW w:w="8096" w:type="dxa"/>
            <w:gridSpan w:val="2"/>
            <w:tcBorders>
              <w:top w:val="single" w:sz="4" w:space="0" w:color="72246C"/>
              <w:left w:val="single" w:sz="4" w:space="0" w:color="72246C"/>
              <w:bottom w:val="single" w:sz="4" w:space="0" w:color="72246C"/>
              <w:right w:val="single" w:sz="4" w:space="0" w:color="72246C"/>
            </w:tcBorders>
            <w:noWrap/>
            <w:hideMark/>
          </w:tcPr>
          <w:p w14:paraId="04BF91B8" w14:textId="6399B6AA" w:rsidR="00FB6DC6" w:rsidRPr="00AB03C3" w:rsidRDefault="008E25B3" w:rsidP="00913E68">
            <w:pPr>
              <w:jc w:val="both"/>
              <w:rPr>
                <w:rFonts w:ascii="Roboto Light" w:hAnsi="Roboto Light"/>
                <w:b/>
                <w:bCs/>
                <w:sz w:val="18"/>
                <w:szCs w:val="18"/>
              </w:rPr>
            </w:pPr>
            <w:r w:rsidRPr="00AB03C3">
              <w:rPr>
                <w:rFonts w:ascii="Roboto Light" w:hAnsi="Roboto Light"/>
                <w:b/>
                <w:bCs/>
                <w:sz w:val="18"/>
                <w:szCs w:val="18"/>
              </w:rPr>
              <w:t>Exam prices from 1 January 2023</w:t>
            </w:r>
          </w:p>
        </w:tc>
      </w:tr>
      <w:tr w:rsidR="00FB6DC6" w:rsidRPr="00AB03C3" w14:paraId="1F4E1373" w14:textId="77777777" w:rsidTr="0051585F">
        <w:trPr>
          <w:trHeight w:val="20"/>
        </w:trPr>
        <w:tc>
          <w:tcPr>
            <w:tcW w:w="5386" w:type="dxa"/>
            <w:tcBorders>
              <w:top w:val="single" w:sz="4" w:space="0" w:color="72246C"/>
              <w:left w:val="single" w:sz="4" w:space="0" w:color="72246C"/>
              <w:bottom w:val="single" w:sz="4" w:space="0" w:color="72246C"/>
              <w:right w:val="single" w:sz="4" w:space="0" w:color="72246C"/>
            </w:tcBorders>
            <w:noWrap/>
            <w:hideMark/>
          </w:tcPr>
          <w:p w14:paraId="48529C75" w14:textId="303C403A" w:rsidR="00FB6DC6" w:rsidRPr="00AB03C3" w:rsidRDefault="00FB6DC6" w:rsidP="00913E68">
            <w:pPr>
              <w:jc w:val="both"/>
              <w:rPr>
                <w:rFonts w:ascii="Roboto Light" w:hAnsi="Roboto Light"/>
                <w:sz w:val="18"/>
                <w:szCs w:val="18"/>
              </w:rPr>
            </w:pPr>
            <w:r w:rsidRPr="00AB03C3">
              <w:rPr>
                <w:rFonts w:ascii="Roboto Light" w:hAnsi="Roboto Light"/>
                <w:sz w:val="18"/>
                <w:szCs w:val="18"/>
              </w:rPr>
              <w:t xml:space="preserve">Objective test </w:t>
            </w:r>
            <w:r w:rsidR="002E40A2" w:rsidRPr="00AB03C3">
              <w:rPr>
                <w:rFonts w:ascii="Roboto Light" w:hAnsi="Roboto Light"/>
                <w:sz w:val="18"/>
                <w:szCs w:val="18"/>
              </w:rPr>
              <w:t xml:space="preserve">– </w:t>
            </w:r>
            <w:r w:rsidRPr="00AB03C3">
              <w:rPr>
                <w:rFonts w:ascii="Roboto Light" w:hAnsi="Roboto Light"/>
                <w:sz w:val="18"/>
                <w:szCs w:val="18"/>
              </w:rPr>
              <w:t>BA2</w:t>
            </w:r>
            <w:r w:rsidR="002E40A2" w:rsidRPr="00AB03C3">
              <w:rPr>
                <w:rFonts w:ascii="Roboto Light" w:hAnsi="Roboto Light"/>
                <w:sz w:val="18"/>
                <w:szCs w:val="18"/>
              </w:rPr>
              <w:t xml:space="preserve"> (per exam)</w:t>
            </w:r>
            <w:r w:rsidRPr="00AB03C3">
              <w:rPr>
                <w:rFonts w:ascii="Roboto Light" w:hAnsi="Roboto Light"/>
                <w:sz w:val="18"/>
                <w:szCs w:val="18"/>
              </w:rPr>
              <w:t xml:space="preserve"> </w:t>
            </w:r>
          </w:p>
        </w:tc>
        <w:tc>
          <w:tcPr>
            <w:tcW w:w="2710" w:type="dxa"/>
            <w:tcBorders>
              <w:top w:val="single" w:sz="4" w:space="0" w:color="72246C"/>
              <w:left w:val="single" w:sz="4" w:space="0" w:color="72246C"/>
              <w:bottom w:val="single" w:sz="4" w:space="0" w:color="72246C"/>
              <w:right w:val="single" w:sz="4" w:space="0" w:color="72246C"/>
            </w:tcBorders>
            <w:hideMark/>
          </w:tcPr>
          <w:p w14:paraId="2448FE3C" w14:textId="77777777" w:rsidR="00FB6DC6" w:rsidRPr="00AB03C3" w:rsidRDefault="00FB6DC6" w:rsidP="00913E68">
            <w:pPr>
              <w:jc w:val="both"/>
              <w:rPr>
                <w:rFonts w:ascii="Roboto Light" w:hAnsi="Roboto Light"/>
                <w:sz w:val="20"/>
                <w:szCs w:val="20"/>
              </w:rPr>
            </w:pPr>
            <w:r w:rsidRPr="00AB03C3">
              <w:rPr>
                <w:rFonts w:ascii="Roboto Light" w:hAnsi="Roboto Light"/>
                <w:b/>
                <w:bCs/>
                <w:sz w:val="20"/>
                <w:szCs w:val="20"/>
              </w:rPr>
              <w:t>£100</w:t>
            </w:r>
          </w:p>
        </w:tc>
      </w:tr>
      <w:tr w:rsidR="002E40A2" w:rsidRPr="00AB03C3" w14:paraId="2FBD4044" w14:textId="77777777" w:rsidTr="0051585F">
        <w:trPr>
          <w:trHeight w:val="20"/>
        </w:trPr>
        <w:tc>
          <w:tcPr>
            <w:tcW w:w="5386" w:type="dxa"/>
            <w:tcBorders>
              <w:top w:val="single" w:sz="4" w:space="0" w:color="72246C"/>
              <w:left w:val="single" w:sz="4" w:space="0" w:color="72246C"/>
              <w:bottom w:val="single" w:sz="4" w:space="0" w:color="72246C"/>
              <w:right w:val="single" w:sz="4" w:space="0" w:color="72246C"/>
            </w:tcBorders>
            <w:noWrap/>
          </w:tcPr>
          <w:p w14:paraId="343E53AD" w14:textId="5C61BDEC" w:rsidR="002E40A2" w:rsidRPr="00AB03C3" w:rsidRDefault="00A51DA5" w:rsidP="00913E68">
            <w:pPr>
              <w:jc w:val="both"/>
              <w:rPr>
                <w:rFonts w:ascii="Roboto Light" w:hAnsi="Roboto Light"/>
                <w:sz w:val="18"/>
                <w:szCs w:val="18"/>
              </w:rPr>
            </w:pPr>
            <w:proofErr w:type="spellStart"/>
            <w:r w:rsidRPr="00AB03C3">
              <w:rPr>
                <w:rFonts w:ascii="Roboto Light" w:hAnsi="Roboto Light"/>
                <w:sz w:val="18"/>
                <w:szCs w:val="18"/>
              </w:rPr>
              <w:t>Operarional</w:t>
            </w:r>
            <w:proofErr w:type="spellEnd"/>
            <w:r w:rsidRPr="00AB03C3">
              <w:rPr>
                <w:rFonts w:ascii="Roboto Light" w:hAnsi="Roboto Light"/>
                <w:sz w:val="18"/>
                <w:szCs w:val="18"/>
              </w:rPr>
              <w:t xml:space="preserve"> </w:t>
            </w:r>
            <w:r w:rsidR="0051585F" w:rsidRPr="00AB03C3">
              <w:rPr>
                <w:rFonts w:ascii="Roboto Light" w:hAnsi="Roboto Light"/>
                <w:sz w:val="18"/>
                <w:szCs w:val="18"/>
              </w:rPr>
              <w:t>L</w:t>
            </w:r>
            <w:r w:rsidRPr="00AB03C3">
              <w:rPr>
                <w:rFonts w:ascii="Roboto Light" w:hAnsi="Roboto Light"/>
                <w:sz w:val="18"/>
                <w:szCs w:val="18"/>
              </w:rPr>
              <w:t xml:space="preserve">evel Case Study </w:t>
            </w:r>
            <w:r w:rsidR="0051585F" w:rsidRPr="00AB03C3">
              <w:rPr>
                <w:rFonts w:ascii="Roboto Light" w:hAnsi="Roboto Light"/>
                <w:sz w:val="18"/>
                <w:szCs w:val="18"/>
              </w:rPr>
              <w:t>– OCS (per exam)</w:t>
            </w:r>
          </w:p>
        </w:tc>
        <w:tc>
          <w:tcPr>
            <w:tcW w:w="2710" w:type="dxa"/>
            <w:tcBorders>
              <w:top w:val="single" w:sz="4" w:space="0" w:color="72246C"/>
              <w:left w:val="single" w:sz="4" w:space="0" w:color="72246C"/>
              <w:bottom w:val="single" w:sz="4" w:space="0" w:color="72246C"/>
              <w:right w:val="single" w:sz="4" w:space="0" w:color="72246C"/>
            </w:tcBorders>
          </w:tcPr>
          <w:p w14:paraId="561CF3AE" w14:textId="27D44D33" w:rsidR="002E40A2" w:rsidRPr="00AB03C3" w:rsidRDefault="0051585F" w:rsidP="00913E68">
            <w:pPr>
              <w:jc w:val="both"/>
              <w:rPr>
                <w:rFonts w:ascii="Roboto Light" w:hAnsi="Roboto Light"/>
                <w:b/>
                <w:bCs/>
                <w:sz w:val="20"/>
                <w:szCs w:val="20"/>
              </w:rPr>
            </w:pPr>
            <w:r w:rsidRPr="00AB03C3">
              <w:rPr>
                <w:rFonts w:ascii="Roboto Light" w:hAnsi="Roboto Light"/>
                <w:b/>
                <w:bCs/>
                <w:sz w:val="20"/>
                <w:szCs w:val="20"/>
              </w:rPr>
              <w:t>£210</w:t>
            </w:r>
          </w:p>
        </w:tc>
      </w:tr>
    </w:tbl>
    <w:p w14:paraId="1FBE53DC" w14:textId="77777777" w:rsidR="006754AD" w:rsidRPr="006754AD" w:rsidRDefault="006754AD" w:rsidP="00913E68">
      <w:pPr>
        <w:pStyle w:val="Akapitzlist"/>
        <w:numPr>
          <w:ilvl w:val="1"/>
          <w:numId w:val="1"/>
        </w:numPr>
        <w:spacing w:before="120" w:after="120"/>
        <w:ind w:left="788" w:hanging="431"/>
        <w:contextualSpacing w:val="0"/>
        <w:jc w:val="both"/>
        <w:rPr>
          <w:rFonts w:ascii="Roboto Light" w:hAnsi="Roboto Light"/>
          <w:sz w:val="18"/>
          <w:szCs w:val="18"/>
        </w:rPr>
      </w:pPr>
      <w:r w:rsidRPr="006754AD">
        <w:rPr>
          <w:rFonts w:ascii="Roboto Light" w:hAnsi="Roboto Light"/>
          <w:sz w:val="18"/>
          <w:szCs w:val="18"/>
        </w:rPr>
        <w:t xml:space="preserve">AICPA &amp; CIMA shall not register a student until fees have been paid in full. </w:t>
      </w:r>
      <w:bookmarkStart w:id="1" w:name="_Hlk114219394"/>
    </w:p>
    <w:p w14:paraId="63A3E640" w14:textId="77777777" w:rsidR="006754AD" w:rsidRPr="006754AD" w:rsidRDefault="006754AD" w:rsidP="00913E68">
      <w:pPr>
        <w:pStyle w:val="Akapitzlist"/>
        <w:numPr>
          <w:ilvl w:val="1"/>
          <w:numId w:val="1"/>
        </w:numPr>
        <w:spacing w:after="120"/>
        <w:ind w:left="788" w:hanging="431"/>
        <w:contextualSpacing w:val="0"/>
        <w:jc w:val="both"/>
        <w:rPr>
          <w:rFonts w:ascii="Roboto Light" w:hAnsi="Roboto Light"/>
          <w:sz w:val="18"/>
          <w:szCs w:val="18"/>
        </w:rPr>
      </w:pPr>
      <w:r w:rsidRPr="006754AD">
        <w:rPr>
          <w:rFonts w:ascii="Roboto Light" w:hAnsi="Roboto Light"/>
          <w:sz w:val="18"/>
          <w:szCs w:val="18"/>
        </w:rPr>
        <w:t>Registration fee is subject to change on 1st January of each year.</w:t>
      </w:r>
      <w:bookmarkEnd w:id="1"/>
    </w:p>
    <w:p w14:paraId="21C52275" w14:textId="7AECD73B" w:rsidR="006754AD" w:rsidRDefault="006754AD" w:rsidP="00913E68">
      <w:pPr>
        <w:pStyle w:val="Akapitzlist"/>
        <w:numPr>
          <w:ilvl w:val="1"/>
          <w:numId w:val="1"/>
        </w:numPr>
        <w:spacing w:after="120"/>
        <w:ind w:left="788" w:hanging="431"/>
        <w:contextualSpacing w:val="0"/>
        <w:jc w:val="both"/>
        <w:rPr>
          <w:rFonts w:ascii="Roboto Light" w:hAnsi="Roboto Light"/>
          <w:sz w:val="18"/>
          <w:szCs w:val="18"/>
        </w:rPr>
      </w:pPr>
      <w:r w:rsidRPr="006754AD">
        <w:rPr>
          <w:rFonts w:ascii="Roboto Light" w:hAnsi="Roboto Light"/>
          <w:sz w:val="18"/>
          <w:szCs w:val="18"/>
        </w:rPr>
        <w:t xml:space="preserve">Existing CGMA candidates continuing their studies in the CGMA Program are not required to re-register </w:t>
      </w:r>
      <w:bookmarkStart w:id="2" w:name="_GoBack"/>
      <w:bookmarkEnd w:id="2"/>
      <w:r w:rsidRPr="006754AD">
        <w:rPr>
          <w:rFonts w:ascii="Roboto Light" w:hAnsi="Roboto Light"/>
          <w:sz w:val="18"/>
          <w:szCs w:val="18"/>
        </w:rPr>
        <w:t>or pay the registration fee again if their subscription remains active.</w:t>
      </w:r>
    </w:p>
    <w:p w14:paraId="00F26CDA" w14:textId="2706934B" w:rsidR="00B06952" w:rsidRDefault="00B06952" w:rsidP="00913E68">
      <w:pPr>
        <w:pStyle w:val="Akapitzlist"/>
        <w:numPr>
          <w:ilvl w:val="0"/>
          <w:numId w:val="1"/>
        </w:numPr>
        <w:spacing w:after="120"/>
        <w:ind w:left="357" w:hanging="357"/>
        <w:contextualSpacing w:val="0"/>
        <w:jc w:val="both"/>
        <w:rPr>
          <w:rFonts w:ascii="Roboto Light" w:hAnsi="Roboto Light"/>
          <w:sz w:val="18"/>
          <w:szCs w:val="18"/>
        </w:rPr>
      </w:pPr>
      <w:r w:rsidRPr="00B06952">
        <w:rPr>
          <w:rFonts w:ascii="Roboto Light" w:hAnsi="Roboto Light"/>
          <w:sz w:val="18"/>
          <w:szCs w:val="18"/>
        </w:rPr>
        <w:t xml:space="preserve">The </w:t>
      </w:r>
      <w:r w:rsidRPr="00B06952">
        <w:rPr>
          <w:rFonts w:ascii="Roboto Light" w:hAnsi="Roboto Light"/>
          <w:b/>
          <w:bCs/>
          <w:sz w:val="18"/>
          <w:szCs w:val="18"/>
        </w:rPr>
        <w:t>annual subscription fee</w:t>
      </w:r>
      <w:r w:rsidRPr="00B06952">
        <w:rPr>
          <w:rFonts w:ascii="Roboto Light" w:hAnsi="Roboto Light"/>
          <w:sz w:val="18"/>
          <w:szCs w:val="18"/>
        </w:rPr>
        <w:t xml:space="preserve"> is an obligatory fee for all</w:t>
      </w:r>
      <w:r w:rsidR="00CD0D1E">
        <w:rPr>
          <w:rFonts w:ascii="Roboto Light" w:hAnsi="Roboto Light"/>
          <w:sz w:val="18"/>
          <w:szCs w:val="18"/>
        </w:rPr>
        <w:t xml:space="preserve"> candidate</w:t>
      </w:r>
      <w:r w:rsidR="003D5AFF">
        <w:rPr>
          <w:rFonts w:ascii="Roboto Light" w:hAnsi="Roboto Light"/>
          <w:sz w:val="18"/>
          <w:szCs w:val="18"/>
        </w:rPr>
        <w:t>s</w:t>
      </w:r>
      <w:r w:rsidR="00CD0D1E">
        <w:rPr>
          <w:rFonts w:ascii="Roboto Light" w:hAnsi="Roboto Light"/>
          <w:sz w:val="18"/>
          <w:szCs w:val="18"/>
        </w:rPr>
        <w:t xml:space="preserve"> continuing their studies in the</w:t>
      </w:r>
      <w:r w:rsidR="007D5BCF">
        <w:rPr>
          <w:rFonts w:ascii="Roboto Light" w:hAnsi="Roboto Light"/>
          <w:sz w:val="18"/>
          <w:szCs w:val="18"/>
        </w:rPr>
        <w:t xml:space="preserve"> </w:t>
      </w:r>
      <w:r w:rsidRPr="00B06952">
        <w:rPr>
          <w:rFonts w:ascii="Roboto Light" w:hAnsi="Roboto Light"/>
          <w:sz w:val="18"/>
          <w:szCs w:val="18"/>
        </w:rPr>
        <w:t xml:space="preserve">CGMA </w:t>
      </w:r>
      <w:r w:rsidR="00CD0D1E">
        <w:rPr>
          <w:rFonts w:ascii="Roboto Light" w:hAnsi="Roboto Light"/>
          <w:sz w:val="18"/>
          <w:szCs w:val="18"/>
        </w:rPr>
        <w:t>University Program</w:t>
      </w:r>
      <w:r w:rsidR="008709A7">
        <w:rPr>
          <w:rFonts w:ascii="Roboto Light" w:hAnsi="Roboto Light"/>
          <w:sz w:val="18"/>
          <w:szCs w:val="18"/>
        </w:rPr>
        <w:t>:</w:t>
      </w:r>
    </w:p>
    <w:p w14:paraId="1CEB06EA" w14:textId="1A5DE171" w:rsidR="00602D41" w:rsidRDefault="00B7020C" w:rsidP="00913E68">
      <w:pPr>
        <w:pStyle w:val="Akapitzlist"/>
        <w:spacing w:before="120" w:after="0"/>
        <w:ind w:left="357"/>
        <w:contextualSpacing w:val="0"/>
        <w:jc w:val="both"/>
        <w:rPr>
          <w:rFonts w:ascii="Roboto Light" w:hAnsi="Roboto Light"/>
          <w:b/>
          <w:bCs/>
          <w:sz w:val="20"/>
          <w:szCs w:val="20"/>
        </w:rPr>
      </w:pPr>
      <w:r>
        <w:rPr>
          <w:rFonts w:ascii="Roboto Light" w:hAnsi="Roboto Light"/>
          <w:sz w:val="18"/>
          <w:szCs w:val="18"/>
        </w:rPr>
        <w:t>Subscription</w:t>
      </w:r>
      <w:r w:rsidR="008709A7" w:rsidRPr="008709A7">
        <w:rPr>
          <w:rFonts w:ascii="Roboto Light" w:hAnsi="Roboto Light"/>
          <w:sz w:val="18"/>
          <w:szCs w:val="18"/>
        </w:rPr>
        <w:t xml:space="preserve"> fee </w:t>
      </w:r>
      <w:r w:rsidR="008709A7" w:rsidRPr="008709A7">
        <w:rPr>
          <w:rFonts w:ascii="Roboto Light" w:hAnsi="Roboto Light"/>
          <w:sz w:val="18"/>
          <w:szCs w:val="18"/>
        </w:rPr>
        <w:tab/>
      </w:r>
      <w:r w:rsidR="008709A7" w:rsidRPr="008709A7">
        <w:rPr>
          <w:rFonts w:ascii="Roboto Light" w:hAnsi="Roboto Light"/>
          <w:sz w:val="18"/>
          <w:szCs w:val="18"/>
        </w:rPr>
        <w:tab/>
      </w:r>
      <w:r w:rsidR="008709A7" w:rsidRPr="008709A7">
        <w:rPr>
          <w:rFonts w:ascii="Roboto Light" w:hAnsi="Roboto Light"/>
          <w:b/>
          <w:bCs/>
          <w:sz w:val="20"/>
          <w:szCs w:val="20"/>
        </w:rPr>
        <w:t>£</w:t>
      </w:r>
      <w:r w:rsidR="00707ACD">
        <w:rPr>
          <w:rFonts w:ascii="Roboto Light" w:hAnsi="Roboto Light"/>
          <w:b/>
          <w:bCs/>
          <w:sz w:val="20"/>
          <w:szCs w:val="20"/>
        </w:rPr>
        <w:t>130</w:t>
      </w:r>
    </w:p>
    <w:p w14:paraId="0AEB433D" w14:textId="04D27A73" w:rsidR="001452AC" w:rsidRPr="001452AC" w:rsidRDefault="001452AC" w:rsidP="00913E68">
      <w:pPr>
        <w:spacing w:after="120"/>
        <w:ind w:left="357"/>
        <w:jc w:val="both"/>
        <w:rPr>
          <w:rFonts w:ascii="Roboto Light" w:hAnsi="Roboto Light"/>
          <w:i/>
          <w:iCs/>
          <w:sz w:val="16"/>
          <w:szCs w:val="16"/>
        </w:rPr>
      </w:pPr>
      <w:r w:rsidRPr="00164C1A">
        <w:rPr>
          <w:rFonts w:ascii="Roboto Light" w:hAnsi="Roboto Light"/>
          <w:i/>
          <w:iCs/>
          <w:sz w:val="16"/>
          <w:szCs w:val="16"/>
        </w:rPr>
        <w:t xml:space="preserve">Existing </w:t>
      </w:r>
      <w:r>
        <w:rPr>
          <w:rFonts w:ascii="Roboto Light" w:hAnsi="Roboto Light"/>
          <w:i/>
          <w:iCs/>
          <w:sz w:val="16"/>
          <w:szCs w:val="16"/>
        </w:rPr>
        <w:t xml:space="preserve">CGMA candidates </w:t>
      </w:r>
      <w:r w:rsidRPr="00164C1A">
        <w:rPr>
          <w:rFonts w:ascii="Roboto Light" w:hAnsi="Roboto Light"/>
          <w:i/>
          <w:iCs/>
          <w:sz w:val="16"/>
          <w:szCs w:val="16"/>
        </w:rPr>
        <w:t>must ensure their subscription is paid before 31 March each year to prevent expiration.</w:t>
      </w:r>
    </w:p>
    <w:p w14:paraId="2D7F800B" w14:textId="24DDE7B3" w:rsidR="00CA6978" w:rsidRDefault="00CA6978" w:rsidP="00913E68">
      <w:pPr>
        <w:pStyle w:val="Akapitzlist"/>
        <w:numPr>
          <w:ilvl w:val="1"/>
          <w:numId w:val="1"/>
        </w:numPr>
        <w:spacing w:after="120"/>
        <w:ind w:left="788" w:hanging="431"/>
        <w:contextualSpacing w:val="0"/>
        <w:jc w:val="both"/>
        <w:rPr>
          <w:rFonts w:ascii="Roboto Light" w:hAnsi="Roboto Light"/>
          <w:sz w:val="18"/>
          <w:szCs w:val="18"/>
        </w:rPr>
      </w:pPr>
      <w:r w:rsidRPr="00CA6978">
        <w:rPr>
          <w:rFonts w:ascii="Roboto Light" w:hAnsi="Roboto Light"/>
          <w:sz w:val="18"/>
          <w:szCs w:val="18"/>
        </w:rPr>
        <w:t>The subscription year runs from 1 January until 31 December.</w:t>
      </w:r>
    </w:p>
    <w:p w14:paraId="6F46A828" w14:textId="5FE9F597" w:rsidR="00B06952" w:rsidRPr="00B06952" w:rsidRDefault="00B06952" w:rsidP="00913E68">
      <w:pPr>
        <w:pStyle w:val="Akapitzlist"/>
        <w:numPr>
          <w:ilvl w:val="1"/>
          <w:numId w:val="1"/>
        </w:numPr>
        <w:spacing w:after="120"/>
        <w:ind w:left="788" w:hanging="431"/>
        <w:contextualSpacing w:val="0"/>
        <w:jc w:val="both"/>
        <w:rPr>
          <w:rFonts w:ascii="Roboto Light" w:hAnsi="Roboto Light"/>
          <w:sz w:val="18"/>
          <w:szCs w:val="18"/>
        </w:rPr>
      </w:pPr>
      <w:r w:rsidRPr="00B06952">
        <w:rPr>
          <w:rFonts w:ascii="Roboto Light" w:hAnsi="Roboto Light"/>
          <w:sz w:val="18"/>
          <w:szCs w:val="18"/>
        </w:rPr>
        <w:t>Existing candidates must ensure their subscription is paid before 31 March each year to prevent expiration.</w:t>
      </w:r>
    </w:p>
    <w:p w14:paraId="04ADF2E2" w14:textId="77777777" w:rsidR="00B06952" w:rsidRPr="00B06952" w:rsidRDefault="00B06952" w:rsidP="00913E68">
      <w:pPr>
        <w:pStyle w:val="Akapitzlist"/>
        <w:numPr>
          <w:ilvl w:val="1"/>
          <w:numId w:val="1"/>
        </w:numPr>
        <w:spacing w:after="120"/>
        <w:ind w:left="788" w:hanging="431"/>
        <w:contextualSpacing w:val="0"/>
        <w:jc w:val="both"/>
        <w:rPr>
          <w:rFonts w:ascii="Roboto Light" w:hAnsi="Roboto Light"/>
          <w:sz w:val="18"/>
          <w:szCs w:val="18"/>
        </w:rPr>
      </w:pPr>
      <w:r w:rsidRPr="00B06952">
        <w:rPr>
          <w:rFonts w:ascii="Roboto Light" w:hAnsi="Roboto Light"/>
          <w:sz w:val="18"/>
          <w:szCs w:val="18"/>
        </w:rPr>
        <w:t>Annual subscription fee is subject to change on 1st January of each year.</w:t>
      </w:r>
    </w:p>
    <w:p w14:paraId="77ED6C43" w14:textId="77777777" w:rsidR="00B7020C" w:rsidRDefault="00B06952" w:rsidP="00913E68">
      <w:pPr>
        <w:pStyle w:val="Akapitzlist"/>
        <w:numPr>
          <w:ilvl w:val="1"/>
          <w:numId w:val="1"/>
        </w:numPr>
        <w:spacing w:after="120"/>
        <w:ind w:left="788" w:hanging="431"/>
        <w:contextualSpacing w:val="0"/>
        <w:jc w:val="both"/>
        <w:rPr>
          <w:rFonts w:ascii="Roboto Light" w:hAnsi="Roboto Light"/>
          <w:sz w:val="18"/>
          <w:szCs w:val="18"/>
        </w:rPr>
      </w:pPr>
      <w:r w:rsidRPr="00B06952">
        <w:rPr>
          <w:rFonts w:ascii="Roboto Light" w:hAnsi="Roboto Light"/>
          <w:sz w:val="18"/>
          <w:szCs w:val="18"/>
        </w:rPr>
        <w:t xml:space="preserve">Undergraduate students of the CGMA Program are exempt from the annual subscription fee for the duration of their first cycle (Bachelor) studies. </w:t>
      </w:r>
    </w:p>
    <w:p w14:paraId="46259EFB" w14:textId="282C3444" w:rsidR="00CC20B1" w:rsidRDefault="00B06952" w:rsidP="00913E68">
      <w:pPr>
        <w:pStyle w:val="Akapitzlist"/>
        <w:numPr>
          <w:ilvl w:val="1"/>
          <w:numId w:val="1"/>
        </w:numPr>
        <w:spacing w:after="120"/>
        <w:ind w:left="788" w:hanging="431"/>
        <w:contextualSpacing w:val="0"/>
        <w:jc w:val="both"/>
        <w:rPr>
          <w:rFonts w:ascii="Roboto Light" w:hAnsi="Roboto Light"/>
          <w:sz w:val="18"/>
          <w:szCs w:val="18"/>
        </w:rPr>
      </w:pPr>
      <w:r w:rsidRPr="00B7020C">
        <w:rPr>
          <w:rFonts w:ascii="Roboto Light" w:hAnsi="Roboto Light"/>
          <w:sz w:val="18"/>
          <w:szCs w:val="18"/>
        </w:rPr>
        <w:t>Any student who fails to pay the annual subscription fee will be deleted from the roster of the CGMA Program students, will be unable to proceed to the next level of the CGMA Professional Qualification and will lose access to all online resources and AICPA &amp; CIMA community events.</w:t>
      </w:r>
    </w:p>
    <w:p w14:paraId="2690874E" w14:textId="4DE4154B" w:rsidR="00B352AA" w:rsidRPr="00B352AA" w:rsidRDefault="00B352AA" w:rsidP="00913E68">
      <w:pPr>
        <w:pStyle w:val="Akapitzlist"/>
        <w:numPr>
          <w:ilvl w:val="0"/>
          <w:numId w:val="1"/>
        </w:numPr>
        <w:spacing w:after="120"/>
        <w:ind w:left="357" w:hanging="357"/>
        <w:contextualSpacing w:val="0"/>
        <w:jc w:val="both"/>
        <w:rPr>
          <w:rFonts w:ascii="Roboto Light" w:hAnsi="Roboto Light"/>
          <w:sz w:val="18"/>
          <w:szCs w:val="18"/>
        </w:rPr>
      </w:pPr>
      <w:r w:rsidRPr="00B352AA">
        <w:rPr>
          <w:rFonts w:ascii="Roboto Light" w:hAnsi="Roboto Light"/>
          <w:sz w:val="18"/>
          <w:szCs w:val="18"/>
        </w:rPr>
        <w:t xml:space="preserve">CIMA’s CGMA exams are priced based on a tiered structure as part of Association’s continued commitment to improving access to qualifications and assessments worldwide. </w:t>
      </w:r>
      <w:r w:rsidRPr="00B352AA">
        <w:rPr>
          <w:rFonts w:ascii="Roboto Light" w:hAnsi="Roboto Light"/>
          <w:b/>
          <w:bCs/>
          <w:sz w:val="18"/>
          <w:szCs w:val="18"/>
        </w:rPr>
        <w:t>Exam fees</w:t>
      </w:r>
      <w:r w:rsidRPr="00B352AA">
        <w:rPr>
          <w:rFonts w:ascii="Roboto Light" w:hAnsi="Roboto Light"/>
          <w:sz w:val="18"/>
          <w:szCs w:val="18"/>
        </w:rPr>
        <w:t xml:space="preserve"> with a breakdown of eligible countries can be found at: </w:t>
      </w:r>
      <w:hyperlink r:id="rId7" w:history="1">
        <w:r w:rsidR="001C1943" w:rsidRPr="001D0AA2">
          <w:rPr>
            <w:rStyle w:val="Hipercze"/>
            <w:rFonts w:ascii="Roboto Light" w:hAnsi="Roboto Light"/>
            <w:sz w:val="18"/>
            <w:szCs w:val="18"/>
          </w:rPr>
          <w:t>https://www.aicpa-cima.com/resources/landing/fees</w:t>
        </w:r>
      </w:hyperlink>
      <w:r w:rsidR="001C1943">
        <w:rPr>
          <w:rFonts w:ascii="Roboto Light" w:hAnsi="Roboto Light"/>
          <w:sz w:val="18"/>
          <w:szCs w:val="18"/>
        </w:rPr>
        <w:t xml:space="preserve">. </w:t>
      </w:r>
    </w:p>
    <w:p w14:paraId="11A3842B" w14:textId="77777777" w:rsidR="00B352AA" w:rsidRPr="00B352AA" w:rsidRDefault="00B352AA" w:rsidP="00913E68">
      <w:pPr>
        <w:pStyle w:val="Akapitzlist"/>
        <w:numPr>
          <w:ilvl w:val="1"/>
          <w:numId w:val="1"/>
        </w:numPr>
        <w:spacing w:after="120"/>
        <w:ind w:left="788" w:hanging="431"/>
        <w:contextualSpacing w:val="0"/>
        <w:jc w:val="both"/>
        <w:rPr>
          <w:rFonts w:ascii="Roboto Light" w:hAnsi="Roboto Light"/>
          <w:sz w:val="18"/>
          <w:szCs w:val="18"/>
        </w:rPr>
      </w:pPr>
      <w:r w:rsidRPr="00B352AA">
        <w:rPr>
          <w:rFonts w:ascii="Roboto Light" w:hAnsi="Roboto Light"/>
          <w:sz w:val="18"/>
          <w:szCs w:val="18"/>
        </w:rPr>
        <w:t>Exam fees are subject to change on 1st January of each year.</w:t>
      </w:r>
    </w:p>
    <w:p w14:paraId="49122E60" w14:textId="77777777" w:rsidR="00B352AA" w:rsidRPr="00B352AA" w:rsidRDefault="00B352AA" w:rsidP="00913E68">
      <w:pPr>
        <w:pStyle w:val="Akapitzlist"/>
        <w:numPr>
          <w:ilvl w:val="1"/>
          <w:numId w:val="1"/>
        </w:numPr>
        <w:spacing w:after="120"/>
        <w:ind w:left="788" w:hanging="431"/>
        <w:contextualSpacing w:val="0"/>
        <w:jc w:val="both"/>
        <w:rPr>
          <w:rFonts w:ascii="Roboto Light" w:hAnsi="Roboto Light"/>
          <w:sz w:val="18"/>
          <w:szCs w:val="18"/>
        </w:rPr>
      </w:pPr>
      <w:r w:rsidRPr="00B352AA">
        <w:rPr>
          <w:rFonts w:ascii="Roboto Light" w:hAnsi="Roboto Light"/>
          <w:sz w:val="18"/>
          <w:szCs w:val="18"/>
        </w:rPr>
        <w:t>CGMA University Program students are eligible for exam fees applicable for Poland (Tier 2).</w:t>
      </w:r>
    </w:p>
    <w:p w14:paraId="3C66EA57" w14:textId="380602B5" w:rsidR="00B352AA" w:rsidRDefault="00236518" w:rsidP="00913E68">
      <w:pPr>
        <w:pStyle w:val="Akapitzlist"/>
        <w:numPr>
          <w:ilvl w:val="0"/>
          <w:numId w:val="1"/>
        </w:numPr>
        <w:spacing w:after="120"/>
        <w:contextualSpacing w:val="0"/>
        <w:jc w:val="both"/>
        <w:rPr>
          <w:rFonts w:ascii="Roboto Light" w:hAnsi="Roboto Light"/>
          <w:sz w:val="18"/>
          <w:szCs w:val="18"/>
        </w:rPr>
      </w:pPr>
      <w:r w:rsidRPr="00236518">
        <w:rPr>
          <w:rFonts w:ascii="Roboto Light" w:hAnsi="Roboto Light"/>
          <w:sz w:val="18"/>
          <w:szCs w:val="18"/>
        </w:rPr>
        <w:t xml:space="preserve">There is no charge for </w:t>
      </w:r>
      <w:r w:rsidRPr="00236518">
        <w:rPr>
          <w:rFonts w:ascii="Roboto Light" w:hAnsi="Roboto Light"/>
          <w:b/>
          <w:bCs/>
          <w:sz w:val="18"/>
          <w:szCs w:val="18"/>
        </w:rPr>
        <w:t>exemption fees</w:t>
      </w:r>
      <w:r w:rsidRPr="00236518">
        <w:rPr>
          <w:rFonts w:ascii="Roboto Light" w:hAnsi="Roboto Light"/>
          <w:sz w:val="18"/>
          <w:szCs w:val="18"/>
        </w:rPr>
        <w:t>.</w:t>
      </w:r>
    </w:p>
    <w:p w14:paraId="05990015" w14:textId="0D4A5FDA" w:rsidR="004F2B7F" w:rsidRDefault="00C55ABE" w:rsidP="00913E68">
      <w:pPr>
        <w:pStyle w:val="Akapitzlist"/>
        <w:numPr>
          <w:ilvl w:val="0"/>
          <w:numId w:val="1"/>
        </w:numPr>
        <w:spacing w:after="120"/>
        <w:contextualSpacing w:val="0"/>
        <w:jc w:val="both"/>
        <w:rPr>
          <w:rFonts w:ascii="Roboto Light" w:hAnsi="Roboto Light"/>
          <w:sz w:val="18"/>
          <w:szCs w:val="18"/>
        </w:rPr>
      </w:pPr>
      <w:r w:rsidRPr="00C55ABE">
        <w:rPr>
          <w:rFonts w:ascii="Roboto Light" w:hAnsi="Roboto Light"/>
          <w:sz w:val="18"/>
          <w:szCs w:val="18"/>
        </w:rPr>
        <w:t xml:space="preserve">Information on current fees can be found </w:t>
      </w:r>
      <w:r>
        <w:rPr>
          <w:rFonts w:ascii="Roboto Light" w:hAnsi="Roboto Light"/>
          <w:sz w:val="18"/>
          <w:szCs w:val="18"/>
        </w:rPr>
        <w:t>at:</w:t>
      </w:r>
      <w:r w:rsidRPr="00C55ABE">
        <w:rPr>
          <w:rFonts w:ascii="Roboto Light" w:hAnsi="Roboto Light"/>
          <w:sz w:val="18"/>
          <w:szCs w:val="18"/>
        </w:rPr>
        <w:t xml:space="preserve"> </w:t>
      </w:r>
      <w:hyperlink r:id="rId8" w:history="1">
        <w:r w:rsidRPr="001D0AA2">
          <w:rPr>
            <w:rStyle w:val="Hipercze"/>
            <w:rFonts w:ascii="Roboto Light" w:hAnsi="Roboto Light"/>
            <w:sz w:val="18"/>
            <w:szCs w:val="18"/>
          </w:rPr>
          <w:t>https://www.aicpa-cima.com/resources/landing/fees</w:t>
        </w:r>
      </w:hyperlink>
      <w:r>
        <w:rPr>
          <w:rFonts w:ascii="Roboto Light" w:hAnsi="Roboto Light"/>
          <w:sz w:val="18"/>
          <w:szCs w:val="18"/>
        </w:rPr>
        <w:t>.</w:t>
      </w:r>
    </w:p>
    <w:bookmarkEnd w:id="0"/>
    <w:p w14:paraId="2955C695" w14:textId="77777777" w:rsidR="0082649F" w:rsidRPr="00FA313D" w:rsidRDefault="0082649F" w:rsidP="00FA313D">
      <w:pPr>
        <w:rPr>
          <w:rFonts w:ascii="Roboto Light" w:hAnsi="Roboto Light"/>
          <w:sz w:val="18"/>
          <w:szCs w:val="18"/>
        </w:rPr>
      </w:pPr>
    </w:p>
    <w:sectPr w:rsidR="0082649F" w:rsidRPr="00FA313D" w:rsidSect="006D78D0">
      <w:headerReference w:type="first" r:id="rId9"/>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52A15" w14:textId="77777777" w:rsidR="00A53E4C" w:rsidRDefault="00A53E4C" w:rsidP="000D47C9">
      <w:pPr>
        <w:spacing w:after="0" w:line="240" w:lineRule="auto"/>
      </w:pPr>
      <w:r>
        <w:separator/>
      </w:r>
    </w:p>
  </w:endnote>
  <w:endnote w:type="continuationSeparator" w:id="0">
    <w:p w14:paraId="6D2E8106" w14:textId="77777777" w:rsidR="00A53E4C" w:rsidRDefault="00A53E4C" w:rsidP="000D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Light">
    <w:altName w:val="Times New Roman"/>
    <w:charset w:val="00"/>
    <w:family w:val="auto"/>
    <w:pitch w:val="variable"/>
    <w:sig w:usb0="00000001"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FEC25" w14:textId="77777777" w:rsidR="00A53E4C" w:rsidRDefault="00A53E4C" w:rsidP="000D47C9">
      <w:pPr>
        <w:spacing w:after="0" w:line="240" w:lineRule="auto"/>
      </w:pPr>
      <w:r>
        <w:separator/>
      </w:r>
    </w:p>
  </w:footnote>
  <w:footnote w:type="continuationSeparator" w:id="0">
    <w:p w14:paraId="74E110F4" w14:textId="77777777" w:rsidR="00A53E4C" w:rsidRDefault="00A53E4C" w:rsidP="000D4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2E22C" w14:textId="37ED5071" w:rsidR="000D47C9" w:rsidRDefault="000D47C9">
    <w:pPr>
      <w:pStyle w:val="Nagwek"/>
    </w:pPr>
    <w:r>
      <w:rPr>
        <w:noProof/>
        <w:lang w:val="pl-PL" w:eastAsia="pl-PL"/>
      </w:rPr>
      <w:drawing>
        <wp:inline distT="0" distB="0" distL="0" distR="0" wp14:anchorId="2633C75C" wp14:editId="2B73D2C4">
          <wp:extent cx="3556685" cy="312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712" cy="3307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2C3"/>
    <w:multiLevelType w:val="multilevel"/>
    <w:tmpl w:val="BAA4C8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877A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AD5A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6859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675F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8970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A935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6850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E167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6031B2"/>
    <w:multiLevelType w:val="multilevel"/>
    <w:tmpl w:val="627EE79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CD4509"/>
    <w:multiLevelType w:val="hybridMultilevel"/>
    <w:tmpl w:val="47B43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4"/>
  </w:num>
  <w:num w:numId="5">
    <w:abstractNumId w:val="7"/>
  </w:num>
  <w:num w:numId="6">
    <w:abstractNumId w:val="9"/>
  </w:num>
  <w:num w:numId="7">
    <w:abstractNumId w:val="3"/>
  </w:num>
  <w:num w:numId="8">
    <w:abstractNumId w:val="8"/>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16"/>
    <w:rsid w:val="0000572E"/>
    <w:rsid w:val="00045102"/>
    <w:rsid w:val="00083E99"/>
    <w:rsid w:val="000B07B1"/>
    <w:rsid w:val="000C5591"/>
    <w:rsid w:val="000D47C9"/>
    <w:rsid w:val="001050F9"/>
    <w:rsid w:val="00122B49"/>
    <w:rsid w:val="001452AC"/>
    <w:rsid w:val="001519F6"/>
    <w:rsid w:val="00164C1A"/>
    <w:rsid w:val="001C1943"/>
    <w:rsid w:val="00236518"/>
    <w:rsid w:val="002476D3"/>
    <w:rsid w:val="002A139F"/>
    <w:rsid w:val="002B1251"/>
    <w:rsid w:val="002D16F9"/>
    <w:rsid w:val="002E40A2"/>
    <w:rsid w:val="0030475B"/>
    <w:rsid w:val="00314B3D"/>
    <w:rsid w:val="00320978"/>
    <w:rsid w:val="00322527"/>
    <w:rsid w:val="00327450"/>
    <w:rsid w:val="003458E1"/>
    <w:rsid w:val="00351E7A"/>
    <w:rsid w:val="003628CB"/>
    <w:rsid w:val="003D24CF"/>
    <w:rsid w:val="003D5AFF"/>
    <w:rsid w:val="00430412"/>
    <w:rsid w:val="004556D0"/>
    <w:rsid w:val="004844F6"/>
    <w:rsid w:val="004A4921"/>
    <w:rsid w:val="004F2B7F"/>
    <w:rsid w:val="00515460"/>
    <w:rsid w:val="0051585F"/>
    <w:rsid w:val="00517B58"/>
    <w:rsid w:val="00572FD0"/>
    <w:rsid w:val="005D7EE4"/>
    <w:rsid w:val="00602D41"/>
    <w:rsid w:val="00604611"/>
    <w:rsid w:val="00644977"/>
    <w:rsid w:val="006754AD"/>
    <w:rsid w:val="006A70FE"/>
    <w:rsid w:val="006B0326"/>
    <w:rsid w:val="006B0764"/>
    <w:rsid w:val="006B0FBB"/>
    <w:rsid w:val="006D78D0"/>
    <w:rsid w:val="00707ACD"/>
    <w:rsid w:val="00713060"/>
    <w:rsid w:val="00732A48"/>
    <w:rsid w:val="00736CDE"/>
    <w:rsid w:val="00776FD0"/>
    <w:rsid w:val="007B3782"/>
    <w:rsid w:val="007D5BCF"/>
    <w:rsid w:val="007E2FDE"/>
    <w:rsid w:val="007F2DD1"/>
    <w:rsid w:val="00815316"/>
    <w:rsid w:val="0082649F"/>
    <w:rsid w:val="00844EA8"/>
    <w:rsid w:val="00847581"/>
    <w:rsid w:val="008621AE"/>
    <w:rsid w:val="008709A7"/>
    <w:rsid w:val="008A0DE8"/>
    <w:rsid w:val="008C28CA"/>
    <w:rsid w:val="008D384C"/>
    <w:rsid w:val="008E25B3"/>
    <w:rsid w:val="008F46B8"/>
    <w:rsid w:val="00913E68"/>
    <w:rsid w:val="00951530"/>
    <w:rsid w:val="009640A3"/>
    <w:rsid w:val="009E0F88"/>
    <w:rsid w:val="00A1010D"/>
    <w:rsid w:val="00A260C6"/>
    <w:rsid w:val="00A40331"/>
    <w:rsid w:val="00A51DA5"/>
    <w:rsid w:val="00A53E4C"/>
    <w:rsid w:val="00A9287B"/>
    <w:rsid w:val="00AB03C3"/>
    <w:rsid w:val="00AB1D96"/>
    <w:rsid w:val="00AC69AE"/>
    <w:rsid w:val="00AE7E4F"/>
    <w:rsid w:val="00B044BA"/>
    <w:rsid w:val="00B06952"/>
    <w:rsid w:val="00B300B2"/>
    <w:rsid w:val="00B352AA"/>
    <w:rsid w:val="00B65BAE"/>
    <w:rsid w:val="00B7020C"/>
    <w:rsid w:val="00B74A4B"/>
    <w:rsid w:val="00BA208B"/>
    <w:rsid w:val="00BF5AAC"/>
    <w:rsid w:val="00C55ABE"/>
    <w:rsid w:val="00C833C3"/>
    <w:rsid w:val="00C83460"/>
    <w:rsid w:val="00CA6978"/>
    <w:rsid w:val="00CC20B1"/>
    <w:rsid w:val="00CC299F"/>
    <w:rsid w:val="00CD0D1E"/>
    <w:rsid w:val="00CE47AB"/>
    <w:rsid w:val="00CF2CA5"/>
    <w:rsid w:val="00D03323"/>
    <w:rsid w:val="00D33F41"/>
    <w:rsid w:val="00D572B3"/>
    <w:rsid w:val="00D7044B"/>
    <w:rsid w:val="00D872BE"/>
    <w:rsid w:val="00DA2F79"/>
    <w:rsid w:val="00DB1850"/>
    <w:rsid w:val="00DD0FBA"/>
    <w:rsid w:val="00E218D3"/>
    <w:rsid w:val="00EB3C6A"/>
    <w:rsid w:val="00EC3B92"/>
    <w:rsid w:val="00EF4DE5"/>
    <w:rsid w:val="00EF5540"/>
    <w:rsid w:val="00F01157"/>
    <w:rsid w:val="00F77A4B"/>
    <w:rsid w:val="00F91A3F"/>
    <w:rsid w:val="00FA313D"/>
    <w:rsid w:val="00FB6DC6"/>
    <w:rsid w:val="00FC5E90"/>
    <w:rsid w:val="00FE68EF"/>
    <w:rsid w:val="00FF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271F6"/>
  <w15:chartTrackingRefBased/>
  <w15:docId w15:val="{124772A5-975D-4582-B177-8D35C2F6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64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1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D47C9"/>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0D47C9"/>
  </w:style>
  <w:style w:type="paragraph" w:styleId="Stopka">
    <w:name w:val="footer"/>
    <w:basedOn w:val="Normalny"/>
    <w:link w:val="StopkaZnak"/>
    <w:uiPriority w:val="99"/>
    <w:unhideWhenUsed/>
    <w:rsid w:val="000D47C9"/>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0D47C9"/>
  </w:style>
  <w:style w:type="paragraph" w:styleId="Akapitzlist">
    <w:name w:val="List Paragraph"/>
    <w:basedOn w:val="Normalny"/>
    <w:uiPriority w:val="34"/>
    <w:qFormat/>
    <w:rsid w:val="000C5591"/>
    <w:pPr>
      <w:ind w:left="720"/>
      <w:contextualSpacing/>
    </w:pPr>
  </w:style>
  <w:style w:type="character" w:styleId="Hipercze">
    <w:name w:val="Hyperlink"/>
    <w:basedOn w:val="Domylnaczcionkaakapitu"/>
    <w:uiPriority w:val="99"/>
    <w:unhideWhenUsed/>
    <w:rsid w:val="001C1943"/>
    <w:rPr>
      <w:color w:val="0563C1" w:themeColor="hyperlink"/>
      <w:u w:val="single"/>
    </w:rPr>
  </w:style>
  <w:style w:type="character" w:customStyle="1" w:styleId="UnresolvedMention">
    <w:name w:val="Unresolved Mention"/>
    <w:basedOn w:val="Domylnaczcionkaakapitu"/>
    <w:uiPriority w:val="99"/>
    <w:semiHidden/>
    <w:unhideWhenUsed/>
    <w:rsid w:val="001C1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68206">
      <w:bodyDiv w:val="1"/>
      <w:marLeft w:val="0"/>
      <w:marRight w:val="0"/>
      <w:marTop w:val="0"/>
      <w:marBottom w:val="0"/>
      <w:divBdr>
        <w:top w:val="none" w:sz="0" w:space="0" w:color="auto"/>
        <w:left w:val="none" w:sz="0" w:space="0" w:color="auto"/>
        <w:bottom w:val="none" w:sz="0" w:space="0" w:color="auto"/>
        <w:right w:val="none" w:sz="0" w:space="0" w:color="auto"/>
      </w:divBdr>
    </w:div>
    <w:div w:id="444662667">
      <w:bodyDiv w:val="1"/>
      <w:marLeft w:val="0"/>
      <w:marRight w:val="0"/>
      <w:marTop w:val="0"/>
      <w:marBottom w:val="0"/>
      <w:divBdr>
        <w:top w:val="none" w:sz="0" w:space="0" w:color="auto"/>
        <w:left w:val="none" w:sz="0" w:space="0" w:color="auto"/>
        <w:bottom w:val="none" w:sz="0" w:space="0" w:color="auto"/>
        <w:right w:val="none" w:sz="0" w:space="0" w:color="auto"/>
      </w:divBdr>
    </w:div>
    <w:div w:id="973603840">
      <w:bodyDiv w:val="1"/>
      <w:marLeft w:val="0"/>
      <w:marRight w:val="0"/>
      <w:marTop w:val="0"/>
      <w:marBottom w:val="0"/>
      <w:divBdr>
        <w:top w:val="none" w:sz="0" w:space="0" w:color="auto"/>
        <w:left w:val="none" w:sz="0" w:space="0" w:color="auto"/>
        <w:bottom w:val="none" w:sz="0" w:space="0" w:color="auto"/>
        <w:right w:val="none" w:sz="0" w:space="0" w:color="auto"/>
      </w:divBdr>
    </w:div>
    <w:div w:id="10168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a-cima.com/resources/landing/fees" TargetMode="External"/><Relationship Id="rId3" Type="http://schemas.openxmlformats.org/officeDocument/2006/relationships/settings" Target="settings.xml"/><Relationship Id="rId7" Type="http://schemas.openxmlformats.org/officeDocument/2006/relationships/hyperlink" Target="https://www.aicpa-cima.com/resources/landing/f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2415</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Rozen</dc:creator>
  <cp:keywords/>
  <dc:description/>
  <cp:lastModifiedBy>Skibińska-Fabrowska Ilona</cp:lastModifiedBy>
  <cp:revision>2</cp:revision>
  <dcterms:created xsi:type="dcterms:W3CDTF">2023-07-31T07:29:00Z</dcterms:created>
  <dcterms:modified xsi:type="dcterms:W3CDTF">2023-07-31T07:29:00Z</dcterms:modified>
</cp:coreProperties>
</file>