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997BF" w14:textId="77777777" w:rsidR="005B2179" w:rsidRPr="005B2179" w:rsidRDefault="005B2179" w:rsidP="005B2179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bookmarkStart w:id="0" w:name="_GoBack"/>
      <w:bookmarkEnd w:id="0"/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REGULAMIN PROJEKTU</w:t>
      </w:r>
    </w:p>
    <w:p w14:paraId="0EFF6E74" w14:textId="77777777" w:rsidR="005B2179" w:rsidRPr="005B2179" w:rsidRDefault="005B2179" w:rsidP="005B2179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nr EOG/21/K2/W/0024 w ramach Programu Edukacja,</w:t>
      </w:r>
    </w:p>
    <w:p w14:paraId="783D198D" w14:textId="77777777" w:rsidR="005B2179" w:rsidRPr="005B2179" w:rsidRDefault="005B2179" w:rsidP="005B2179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Komponent II – Mobilność w szkolnictwie wyższym,</w:t>
      </w:r>
    </w:p>
    <w:p w14:paraId="5B0A2604" w14:textId="77777777" w:rsidR="005B2179" w:rsidRPr="005B2179" w:rsidRDefault="005B2179" w:rsidP="005B2179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projekt finansowany ze środków Mechanizmu Finansowego EOG na lata 2014-2021</w:t>
      </w:r>
    </w:p>
    <w:p w14:paraId="47AE4346" w14:textId="2F614198" w:rsidR="00D75D21" w:rsidRPr="00D75D21" w:rsidRDefault="005B2179" w:rsidP="005B2179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oraz środków krajowych.</w:t>
      </w:r>
    </w:p>
    <w:p w14:paraId="0357C14E" w14:textId="77777777" w:rsidR="00D75D21" w:rsidRPr="00D75D21" w:rsidRDefault="00D75D21" w:rsidP="00A53ABF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i/>
          <w:sz w:val="22"/>
          <w:szCs w:val="22"/>
          <w:lang w:eastAsia="en-US"/>
        </w:rPr>
      </w:pPr>
    </w:p>
    <w:p w14:paraId="589F7DE3" w14:textId="77777777" w:rsidR="00D75D21" w:rsidRPr="00D75D21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14:paraId="79AD6246" w14:textId="77777777" w:rsidR="00D75D21" w:rsidRPr="00D75D21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0BA01E74" w14:textId="77777777" w:rsidR="00D75D21" w:rsidRPr="0059752D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§1</w:t>
      </w:r>
    </w:p>
    <w:p w14:paraId="18BD07E8" w14:textId="77777777" w:rsidR="007F0464" w:rsidRPr="00D75D21" w:rsidRDefault="007F0464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b/>
          <w:sz w:val="22"/>
          <w:szCs w:val="22"/>
          <w:lang w:eastAsia="en-US"/>
        </w:rPr>
        <w:t>[</w:t>
      </w: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Postanowienia ogólne</w:t>
      </w:r>
      <w:r w:rsidRPr="0059752D">
        <w:rPr>
          <w:rFonts w:asciiTheme="minorHAnsi" w:eastAsia="Calibri" w:hAnsiTheme="minorHAnsi" w:cs="Arial"/>
          <w:b/>
          <w:sz w:val="22"/>
          <w:szCs w:val="22"/>
          <w:lang w:eastAsia="en-US"/>
        </w:rPr>
        <w:t>]</w:t>
      </w:r>
    </w:p>
    <w:p w14:paraId="26E518DD" w14:textId="03BFFA28" w:rsidR="00D75D21" w:rsidRPr="008B0A01" w:rsidRDefault="008B0A01" w:rsidP="008B0A01">
      <w:pPr>
        <w:pStyle w:val="Akapitzlist"/>
        <w:numPr>
          <w:ilvl w:val="0"/>
          <w:numId w:val="3"/>
        </w:numPr>
        <w:spacing w:after="40" w:line="259" w:lineRule="auto"/>
        <w:ind w:left="567" w:hanging="436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8B0A01">
        <w:rPr>
          <w:rFonts w:asciiTheme="minorHAnsi" w:eastAsia="Calibri" w:hAnsiTheme="minorHAnsi" w:cs="Arial"/>
          <w:sz w:val="22"/>
          <w:szCs w:val="22"/>
          <w:lang w:eastAsia="en-US"/>
        </w:rPr>
        <w:t>Regulamin projektu jest integralną częścią nr EOG/21/K2/W/0024 w ramach Programu Edukacja, Komponent II – Mobilność w szkolnictwie wyższym</w:t>
      </w:r>
      <w:r w:rsidR="007F0464" w:rsidRPr="008B0A01">
        <w:rPr>
          <w:rFonts w:asciiTheme="minorHAnsi" w:eastAsia="Calibri" w:hAnsiTheme="minorHAnsi" w:cs="Arial"/>
          <w:sz w:val="22"/>
          <w:szCs w:val="22"/>
          <w:lang w:eastAsia="en-US"/>
        </w:rPr>
        <w:t>.</w:t>
      </w:r>
    </w:p>
    <w:p w14:paraId="3DF797FF" w14:textId="77777777" w:rsidR="007F0464" w:rsidRPr="0059752D" w:rsidRDefault="007F0464" w:rsidP="008B0A01">
      <w:pPr>
        <w:pStyle w:val="Akapitzlist"/>
        <w:numPr>
          <w:ilvl w:val="0"/>
          <w:numId w:val="3"/>
        </w:numPr>
        <w:spacing w:after="40" w:line="259" w:lineRule="auto"/>
        <w:ind w:left="567" w:hanging="436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sz w:val="22"/>
          <w:szCs w:val="22"/>
          <w:lang w:eastAsia="en-US"/>
        </w:rPr>
        <w:t>Projekt finansowany ze środków Mechanizmu Finansowego EOG na lata 2014-2021 oraz środków krajowych.</w:t>
      </w:r>
    </w:p>
    <w:p w14:paraId="5E8EF6F0" w14:textId="77777777" w:rsidR="00071791" w:rsidRPr="0059752D" w:rsidRDefault="00071791" w:rsidP="008B0A01">
      <w:pPr>
        <w:pStyle w:val="Akapitzlist"/>
        <w:numPr>
          <w:ilvl w:val="0"/>
          <w:numId w:val="3"/>
        </w:numPr>
        <w:spacing w:after="40" w:line="259" w:lineRule="auto"/>
        <w:ind w:left="567" w:hanging="436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sz w:val="22"/>
          <w:szCs w:val="22"/>
          <w:lang w:eastAsia="en-US"/>
        </w:rPr>
        <w:t>Projekt jest realizowany od dnia 1 kwietnia 2022 roku do dnia 30 września 2023 roku.</w:t>
      </w:r>
    </w:p>
    <w:p w14:paraId="2DA44535" w14:textId="77777777" w:rsidR="00071791" w:rsidRPr="0059752D" w:rsidRDefault="00071791" w:rsidP="008B0A01">
      <w:pPr>
        <w:pStyle w:val="Akapitzlist"/>
        <w:numPr>
          <w:ilvl w:val="0"/>
          <w:numId w:val="3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sz w:val="22"/>
          <w:szCs w:val="22"/>
          <w:lang w:eastAsia="en-US"/>
        </w:rPr>
        <w:t>Celem projektu jest podniesienie poziomu kształcenia oraz usprawnienie obsługi administracyjnej studentów.</w:t>
      </w:r>
    </w:p>
    <w:p w14:paraId="11FFCAF0" w14:textId="77777777" w:rsidR="007F0464" w:rsidRPr="0059752D" w:rsidRDefault="007F0464" w:rsidP="00A53ABF">
      <w:pPr>
        <w:spacing w:after="40" w:line="259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D191402" w14:textId="77777777" w:rsidR="007F0464" w:rsidRPr="0059752D" w:rsidRDefault="007F0464" w:rsidP="00A53ABF">
      <w:pPr>
        <w:spacing w:after="40" w:line="259" w:lineRule="auto"/>
        <w:contextualSpacing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 2</w:t>
      </w:r>
    </w:p>
    <w:p w14:paraId="66215AC1" w14:textId="77777777" w:rsidR="007F0464" w:rsidRPr="00D75D21" w:rsidRDefault="007F0464" w:rsidP="00A53ABF">
      <w:pPr>
        <w:spacing w:after="40" w:line="259" w:lineRule="auto"/>
        <w:contextualSpacing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b/>
          <w:sz w:val="22"/>
          <w:szCs w:val="22"/>
          <w:lang w:eastAsia="en-US"/>
        </w:rPr>
        <w:t>[Słownik pojęć]</w:t>
      </w:r>
    </w:p>
    <w:p w14:paraId="28A389A3" w14:textId="77777777" w:rsidR="00D75D21" w:rsidRPr="00312F19" w:rsidRDefault="00071791" w:rsidP="00A53ABF">
      <w:pPr>
        <w:pStyle w:val="Akapitzlist"/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>Wyjaśnienie pojęć użytych w niniejszym regulaminie</w:t>
      </w:r>
      <w:r w:rsidR="00D75D21" w:rsidRPr="00312F19">
        <w:rPr>
          <w:rFonts w:asciiTheme="minorHAnsi" w:eastAsia="Calibri" w:hAnsiTheme="minorHAnsi" w:cs="Arial"/>
          <w:sz w:val="22"/>
          <w:szCs w:val="22"/>
          <w:lang w:eastAsia="en-US"/>
        </w:rPr>
        <w:t>:</w:t>
      </w:r>
    </w:p>
    <w:p w14:paraId="24E3FECB" w14:textId="739F1F96" w:rsidR="00071791" w:rsidRPr="005B2179" w:rsidRDefault="00071791" w:rsidP="005B2179">
      <w:pPr>
        <w:numPr>
          <w:ilvl w:val="1"/>
          <w:numId w:val="4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projekt</w:t>
      </w:r>
      <w:r w:rsidRPr="005B2179">
        <w:rPr>
          <w:rFonts w:asciiTheme="minorHAnsi" w:eastAsia="Calibri" w:hAnsiTheme="minorHAnsi" w:cs="Arial"/>
          <w:sz w:val="22"/>
          <w:szCs w:val="22"/>
          <w:lang w:eastAsia="en-US"/>
        </w:rPr>
        <w:t xml:space="preserve"> - </w:t>
      </w:r>
      <w:r w:rsidR="008B0A01" w:rsidRPr="005B2179">
        <w:rPr>
          <w:rFonts w:asciiTheme="minorHAnsi" w:eastAsia="Calibri" w:hAnsiTheme="minorHAnsi" w:cs="Arial"/>
          <w:sz w:val="22"/>
          <w:szCs w:val="22"/>
          <w:lang w:eastAsia="en-US"/>
        </w:rPr>
        <w:t>projekt nr EOG/21/K2/W/0024 w ramach Programu Edukacja, Komponent II –</w:t>
      </w:r>
      <w:r w:rsidR="005B2179" w:rsidRPr="005B217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8B0A01" w:rsidRPr="005B2179">
        <w:rPr>
          <w:rFonts w:asciiTheme="minorHAnsi" w:eastAsia="Calibri" w:hAnsiTheme="minorHAnsi" w:cs="Arial"/>
          <w:sz w:val="22"/>
          <w:szCs w:val="22"/>
          <w:lang w:eastAsia="en-US"/>
        </w:rPr>
        <w:t>Mobilność w szkolnictwie wyższym. Projekt finansowany ze środków Mechanizmu Finansowego</w:t>
      </w:r>
      <w:r w:rsidR="005B2179" w:rsidRPr="005B217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8B0A01" w:rsidRPr="005B2179">
        <w:rPr>
          <w:rFonts w:asciiTheme="minorHAnsi" w:eastAsia="Calibri" w:hAnsiTheme="minorHAnsi" w:cs="Arial"/>
          <w:sz w:val="22"/>
          <w:szCs w:val="22"/>
          <w:lang w:eastAsia="en-US"/>
        </w:rPr>
        <w:t>EOG na lata 2014-2021 oraz środków krajowych</w:t>
      </w:r>
      <w:r w:rsidRPr="005B2179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59B27DA6" w14:textId="57246675" w:rsidR="00D75D21" w:rsidRPr="00312F19" w:rsidRDefault="00D75D21" w:rsidP="005B2179">
      <w:pPr>
        <w:numPr>
          <w:ilvl w:val="1"/>
          <w:numId w:val="4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b/>
          <w:sz w:val="22"/>
          <w:szCs w:val="22"/>
          <w:lang w:eastAsia="en-US"/>
        </w:rPr>
        <w:t>regulamin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- </w:t>
      </w:r>
      <w:r w:rsidR="005B2179" w:rsidRPr="005B2179">
        <w:rPr>
          <w:rFonts w:asciiTheme="minorHAnsi" w:eastAsia="Calibri" w:hAnsiTheme="minorHAnsi" w:cs="Arial"/>
          <w:sz w:val="22"/>
          <w:szCs w:val="22"/>
          <w:lang w:eastAsia="en-US"/>
        </w:rPr>
        <w:t>regulamin projektu nr EOG/21/K2/W/0024 w ramach Programu Edukacja</w:t>
      </w:r>
      <w:r w:rsidR="007F0464" w:rsidRPr="00312F19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2F8B2338" w14:textId="77777777" w:rsidR="00D75D21" w:rsidRPr="00312F19" w:rsidRDefault="00D75D21" w:rsidP="005B2179">
      <w:pPr>
        <w:numPr>
          <w:ilvl w:val="1"/>
          <w:numId w:val="4"/>
        </w:numPr>
        <w:tabs>
          <w:tab w:val="clear" w:pos="0"/>
        </w:tabs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b/>
          <w:sz w:val="22"/>
          <w:szCs w:val="22"/>
          <w:lang w:eastAsia="en-US"/>
        </w:rPr>
        <w:t>Uczelnia Beneficjenta</w:t>
      </w:r>
      <w:r w:rsidR="00071791"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- </w:t>
      </w:r>
      <w:r w:rsidR="001D09F4" w:rsidRPr="00312F19">
        <w:rPr>
          <w:rFonts w:asciiTheme="minorHAnsi" w:eastAsia="Calibri" w:hAnsiTheme="minorHAnsi" w:cs="Arial"/>
          <w:sz w:val="22"/>
          <w:szCs w:val="22"/>
          <w:lang w:eastAsia="en-US"/>
        </w:rPr>
        <w:t>Uniwersytet Marii Curie-Skłodowskiej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z siedzibą w Lublinie</w:t>
      </w:r>
      <w:r w:rsidR="00071791" w:rsidRPr="00312F1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1D09F4" w:rsidRPr="00312F19">
        <w:rPr>
          <w:rFonts w:asciiTheme="minorHAnsi" w:eastAsia="Calibri" w:hAnsiTheme="minorHAnsi" w:cs="Arial"/>
          <w:sz w:val="22"/>
          <w:szCs w:val="22"/>
          <w:lang w:eastAsia="en-US"/>
        </w:rPr>
        <w:t>Pl. M. Curie-Skłodowskiej 5, 20-031 Lublin</w:t>
      </w:r>
      <w:r w:rsidR="007F0464" w:rsidRPr="00312F19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07D2F3FD" w14:textId="77777777" w:rsidR="00D75D21" w:rsidRPr="00312F19" w:rsidRDefault="00D75D21" w:rsidP="005B2179">
      <w:pPr>
        <w:numPr>
          <w:ilvl w:val="1"/>
          <w:numId w:val="4"/>
        </w:numPr>
        <w:tabs>
          <w:tab w:val="clear" w:pos="0"/>
        </w:tabs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Uczelnia Partnerska </w:t>
      </w:r>
      <w:r w:rsidR="00071791" w:rsidRPr="00312F19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1D09F4" w:rsidRPr="00312F19">
        <w:rPr>
          <w:rFonts w:asciiTheme="minorHAnsi" w:eastAsia="Calibri" w:hAnsiTheme="minorHAnsi" w:cs="Arial"/>
          <w:sz w:val="22"/>
          <w:szCs w:val="22"/>
          <w:lang w:eastAsia="en-US"/>
        </w:rPr>
        <w:t>Bifröst University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, z siedzibą </w:t>
      </w:r>
      <w:r w:rsidR="001D09F4" w:rsidRPr="00312F19">
        <w:rPr>
          <w:rFonts w:asciiTheme="minorHAnsi" w:eastAsia="Calibri" w:hAnsiTheme="minorHAnsi" w:cs="Arial"/>
          <w:sz w:val="22"/>
          <w:szCs w:val="22"/>
          <w:lang w:eastAsia="en-US"/>
        </w:rPr>
        <w:t>Bifröst, 311, kod pocztowy: 43765, Islandia</w:t>
      </w:r>
      <w:r w:rsidR="007F0464" w:rsidRPr="00312F19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42E6DFD1" w14:textId="4343EC83" w:rsidR="00D75D21" w:rsidRPr="005B2179" w:rsidRDefault="00D75D21" w:rsidP="005B2179">
      <w:pPr>
        <w:numPr>
          <w:ilvl w:val="1"/>
          <w:numId w:val="4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zesp</w:t>
      </w:r>
      <w:r w:rsidR="00071791" w:rsidRPr="005B2179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ół</w:t>
      </w:r>
      <w:r w:rsidRPr="005B2179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 projektowy</w:t>
      </w:r>
      <w:r w:rsidRPr="005B2179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59752D" w:rsidRPr="005B2179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- </w:t>
      </w:r>
      <w:r w:rsidR="005B2179" w:rsidRPr="005B2179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zespół pracowników realizujących projekt nr EOG/21/K2/W/0024 w ramach Programu Edukacja, Komponent II</w:t>
      </w:r>
      <w:r w:rsidR="00071791" w:rsidRPr="005B2179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;</w:t>
      </w:r>
    </w:p>
    <w:p w14:paraId="2E252387" w14:textId="502B2AC2" w:rsidR="0059752D" w:rsidRPr="005B2179" w:rsidRDefault="0059752D" w:rsidP="005B2179">
      <w:pPr>
        <w:numPr>
          <w:ilvl w:val="1"/>
          <w:numId w:val="4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B2179">
        <w:rPr>
          <w:rFonts w:asciiTheme="minorHAnsi" w:eastAsia="Calibri" w:hAnsiTheme="minorHAnsi" w:cs="Arial"/>
          <w:b/>
          <w:sz w:val="22"/>
          <w:szCs w:val="22"/>
          <w:lang w:eastAsia="en-US"/>
        </w:rPr>
        <w:t>biuro zespołu projektowego</w:t>
      </w:r>
      <w:r w:rsidRPr="005B2179">
        <w:rPr>
          <w:rFonts w:asciiTheme="minorHAnsi" w:eastAsia="Calibri" w:hAnsiTheme="minorHAnsi" w:cs="Arial"/>
          <w:sz w:val="22"/>
          <w:szCs w:val="22"/>
          <w:lang w:eastAsia="en-US"/>
        </w:rPr>
        <w:t xml:space="preserve"> – </w:t>
      </w:r>
      <w:r w:rsidR="005B2179" w:rsidRPr="005B2179">
        <w:rPr>
          <w:rFonts w:asciiTheme="minorHAnsi" w:eastAsia="Calibri" w:hAnsiTheme="minorHAnsi" w:cs="Arial"/>
          <w:sz w:val="22"/>
          <w:szCs w:val="22"/>
          <w:lang w:eastAsia="en-US"/>
        </w:rPr>
        <w:t>wyodrębnione w strukturze Uniwersytetu Marii Curie-Skłodowskiej miejsce pracy zespołu pracowników realizujących projekt nr EOG/21/K2/W/0024 w ramach Programu Edukacja, Komponent II, adres: Dom Studencki „Ikar”, ul. Czwartaków 15, 20-045 Lublin, pok. 8.</w:t>
      </w:r>
    </w:p>
    <w:p w14:paraId="61D0BA46" w14:textId="77777777" w:rsidR="00D75D21" w:rsidRPr="00312F19" w:rsidRDefault="00D75D21" w:rsidP="005B2179">
      <w:pPr>
        <w:numPr>
          <w:ilvl w:val="1"/>
          <w:numId w:val="4"/>
        </w:numPr>
        <w:tabs>
          <w:tab w:val="clear" w:pos="0"/>
        </w:tabs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b/>
          <w:sz w:val="22"/>
          <w:szCs w:val="22"/>
          <w:lang w:eastAsia="en-US"/>
        </w:rPr>
        <w:lastRenderedPageBreak/>
        <w:t>uczestnik -</w:t>
      </w:r>
      <w:r w:rsidR="000617BC" w:rsidRPr="00312F19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>osob</w:t>
      </w:r>
      <w:r w:rsidR="00071791" w:rsidRPr="00312F19">
        <w:rPr>
          <w:rFonts w:asciiTheme="minorHAnsi" w:eastAsia="Calibri" w:hAnsiTheme="minorHAnsi" w:cs="Arial"/>
          <w:sz w:val="22"/>
          <w:szCs w:val="22"/>
          <w:lang w:eastAsia="en-US"/>
        </w:rPr>
        <w:t>a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zakwalifikowan</w:t>
      </w:r>
      <w:r w:rsidR="00071791" w:rsidRPr="00312F19">
        <w:rPr>
          <w:rFonts w:asciiTheme="minorHAnsi" w:eastAsia="Calibri" w:hAnsiTheme="minorHAnsi" w:cs="Arial"/>
          <w:sz w:val="22"/>
          <w:szCs w:val="22"/>
          <w:lang w:eastAsia="en-US"/>
        </w:rPr>
        <w:t>a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 xml:space="preserve"> do udziału w projekcie przez komisję rekrutacyjną, którą może być </w:t>
      </w:r>
      <w:r w:rsidR="007F0464" w:rsidRPr="00312F19">
        <w:rPr>
          <w:rFonts w:asciiTheme="minorHAnsi" w:eastAsia="Calibri" w:hAnsiTheme="minorHAnsi" w:cs="Arial"/>
          <w:sz w:val="22"/>
          <w:szCs w:val="22"/>
          <w:lang w:eastAsia="en-US"/>
        </w:rPr>
        <w:t>pracownik dydaktyczny lub administracyjny uczelni Beneficjenta lub uczelni partnerskiej;</w:t>
      </w:r>
    </w:p>
    <w:p w14:paraId="1F86ED2B" w14:textId="20228CE6" w:rsidR="00D75D21" w:rsidRPr="00E309D2" w:rsidRDefault="00E309D2" w:rsidP="008B0A01">
      <w:pPr>
        <w:numPr>
          <w:ilvl w:val="1"/>
          <w:numId w:val="4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komisja rekrutacyjna - </w:t>
      </w:r>
      <w:r w:rsidRPr="00370B33">
        <w:rPr>
          <w:rFonts w:asciiTheme="minorHAnsi" w:eastAsia="Calibri" w:hAnsiTheme="minorHAnsi" w:cs="Arial"/>
          <w:sz w:val="22"/>
          <w:szCs w:val="22"/>
          <w:lang w:eastAsia="en-US"/>
        </w:rPr>
        <w:t xml:space="preserve">komisja powołana przez Przewodniczącą Komisji – </w:t>
      </w:r>
      <w:r w:rsidRPr="00E309D2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prof. dr hab. Dorotę Kołodyńską, w skład której wchodzą: prof. dr hab. Dorota Kołodyńska – Prorektor ds. studentów i jakości kształcenia, mgr Anna Rycek – Kierownik Biura ds. Kształcenia Ustawicznego, mgr mgr Marcin Rączka – członek zespołu projektowego</w:t>
      </w:r>
      <w:r w:rsidR="00370B33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14:paraId="57F40E97" w14:textId="77777777" w:rsidR="005B2179" w:rsidRDefault="0059752D" w:rsidP="008B0A01">
      <w:pPr>
        <w:numPr>
          <w:ilvl w:val="1"/>
          <w:numId w:val="4"/>
        </w:numPr>
        <w:tabs>
          <w:tab w:val="clear" w:pos="0"/>
        </w:tabs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>strona internetowa projektu</w:t>
      </w:r>
      <w:r w:rsidR="005B2179">
        <w:rPr>
          <w:rFonts w:asciiTheme="minorHAnsi" w:eastAsia="Calibri" w:hAnsiTheme="minorHAnsi" w:cs="Arial"/>
          <w:sz w:val="22"/>
          <w:szCs w:val="22"/>
          <w:lang w:eastAsia="en-US"/>
        </w:rPr>
        <w:t>:</w:t>
      </w:r>
    </w:p>
    <w:p w14:paraId="16454704" w14:textId="48E08C6C" w:rsidR="0059752D" w:rsidRPr="00312F19" w:rsidRDefault="0059752D" w:rsidP="005B2179">
      <w:pPr>
        <w:suppressAutoHyphens/>
        <w:spacing w:after="40" w:line="259" w:lineRule="auto"/>
        <w:ind w:left="113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2F19">
        <w:rPr>
          <w:rFonts w:asciiTheme="minorHAnsi" w:hAnsiTheme="minorHAnsi"/>
          <w:sz w:val="22"/>
          <w:szCs w:val="22"/>
        </w:rPr>
        <w:t xml:space="preserve"> </w:t>
      </w:r>
      <w:r w:rsidRPr="00312F19">
        <w:rPr>
          <w:rFonts w:asciiTheme="minorHAnsi" w:eastAsia="Calibri" w:hAnsiTheme="minorHAnsi" w:cs="Arial"/>
          <w:sz w:val="22"/>
          <w:szCs w:val="22"/>
          <w:lang w:eastAsia="en-US"/>
        </w:rPr>
        <w:t>https://www.umcs.pl/pl/mobilnosc-w-szkolnictwie-wyzszym,25053.htm</w:t>
      </w:r>
    </w:p>
    <w:p w14:paraId="7AC2275C" w14:textId="77777777" w:rsidR="00D75D21" w:rsidRPr="00D75D21" w:rsidRDefault="00D75D21" w:rsidP="00A53ABF">
      <w:pPr>
        <w:suppressAutoHyphens/>
        <w:spacing w:after="40"/>
        <w:contextualSpacing/>
        <w:jc w:val="both"/>
        <w:rPr>
          <w:rFonts w:asciiTheme="minorHAnsi" w:eastAsia="Calibri" w:hAnsiTheme="minorHAnsi" w:cs="Arial"/>
          <w:i/>
          <w:color w:val="FF0000"/>
          <w:sz w:val="22"/>
          <w:szCs w:val="22"/>
          <w:lang w:eastAsia="en-US"/>
        </w:rPr>
      </w:pPr>
    </w:p>
    <w:p w14:paraId="056CFC7F" w14:textId="77777777" w:rsidR="00D75D21" w:rsidRPr="00D75D21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§ </w:t>
      </w:r>
      <w:r w:rsid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>3</w:t>
      </w:r>
    </w:p>
    <w:p w14:paraId="411F4238" w14:textId="77777777" w:rsidR="00D75D21" w:rsidRPr="00D75D21" w:rsidRDefault="004B07A3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9752D">
        <w:rPr>
          <w:rFonts w:asciiTheme="minorHAnsi" w:eastAsia="Calibri" w:hAnsiTheme="minorHAnsi" w:cs="Arial"/>
          <w:b/>
          <w:sz w:val="22"/>
          <w:szCs w:val="22"/>
          <w:lang w:eastAsia="en-US"/>
        </w:rPr>
        <w:t>[Zadania realizowane w ramach projektu]</w:t>
      </w:r>
    </w:p>
    <w:p w14:paraId="0A97E805" w14:textId="68842034" w:rsidR="00D75D21" w:rsidRDefault="00E309D2" w:rsidP="001006D8">
      <w:pPr>
        <w:suppressAutoHyphens/>
        <w:spacing w:after="160" w:line="259" w:lineRule="auto"/>
        <w:ind w:left="567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W projekcie przewidziano mobilność do uczelni partnerskiej pracowników dydaktycznych i administracyjnych obu uniwersytetów. Celem będzie m.in. obserwacja funkcjonowania goszczącej uczelni, sposobów prowadzenia zajęć dydaktycznych, a także prowadzenie zajęć dydaktycznych, wyjazdy typu „job shadowing”, udział w seminariach, szkoleniach, warsztatach i konferencjach doskonalących umiejętności i poszerzających wiedzę w danej dziedzinie. Łącznie projekt przewiduje 16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mobilności z UMCS do Bifröst University oraz 10 w przeciwnym kierunku. Szczegółowe założenia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dotyczące mobilności pracowników:</w:t>
      </w:r>
    </w:p>
    <w:p w14:paraId="2FD46420" w14:textId="77777777" w:rsidR="00370B33" w:rsidRDefault="00370B33" w:rsidP="001006D8">
      <w:pPr>
        <w:suppressAutoHyphens/>
        <w:spacing w:after="160" w:line="259" w:lineRule="auto"/>
        <w:ind w:left="567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19"/>
        <w:gridCol w:w="1492"/>
        <w:gridCol w:w="1984"/>
      </w:tblGrid>
      <w:tr w:rsidR="00C17E70" w:rsidRPr="0048690C" w14:paraId="6F79C204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D7B" w14:textId="77777777" w:rsidR="00C17E70" w:rsidRPr="00C17E70" w:rsidRDefault="00C17E70" w:rsidP="00C17E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7E70">
              <w:rPr>
                <w:rFonts w:ascii="Calibri" w:hAnsi="Calibri"/>
                <w:b/>
                <w:color w:val="000000"/>
                <w:sz w:val="22"/>
                <w:szCs w:val="22"/>
              </w:rPr>
              <w:t>Kierunek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6FE" w14:textId="77777777" w:rsidR="00C17E70" w:rsidRPr="00C17E70" w:rsidRDefault="00C17E70" w:rsidP="00C17E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7E70">
              <w:rPr>
                <w:rFonts w:ascii="Calibri" w:hAnsi="Calibri"/>
                <w:b/>
                <w:color w:val="000000"/>
                <w:sz w:val="22"/>
                <w:szCs w:val="22"/>
              </w:rPr>
              <w:t>Uczestnicy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9EA" w14:textId="77777777" w:rsidR="00C17E70" w:rsidRPr="00C17E70" w:rsidRDefault="00C17E70" w:rsidP="00C17E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7E70">
              <w:rPr>
                <w:rFonts w:ascii="Calibri" w:hAnsi="Calibri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F1A" w14:textId="77777777" w:rsidR="00C17E70" w:rsidRPr="00C17E70" w:rsidRDefault="00C17E70" w:rsidP="00C17E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7E70">
              <w:rPr>
                <w:rFonts w:ascii="Calibri" w:hAnsi="Calibri"/>
                <w:b/>
                <w:color w:val="000000"/>
                <w:sz w:val="22"/>
                <w:szCs w:val="22"/>
              </w:rPr>
              <w:t>Liczba dni mobilności</w:t>
            </w:r>
          </w:p>
        </w:tc>
      </w:tr>
      <w:tr w:rsidR="00C17E70" w:rsidRPr="0048690C" w14:paraId="1461A884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11C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UMCS - Bifröst University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A2D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dydaktyczni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35F" w14:textId="69184F06" w:rsidR="00C17E70" w:rsidRPr="00370B33" w:rsidRDefault="008A0F09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0E1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C17E70" w:rsidRPr="0048690C" w14:paraId="0A30378F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C17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UMCS - Bifröst University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14F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dydaktyczni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AF5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457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C17E70" w:rsidRPr="0048690C" w14:paraId="3846626E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1647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UMCS - Bifröst University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DE0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administracyjni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C6C" w14:textId="4DC1E07B" w:rsidR="00C17E70" w:rsidRPr="00370B33" w:rsidRDefault="008A0F09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11A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C17E70" w:rsidRPr="0048690C" w14:paraId="03EAD8F6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395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UMCS - Bifröst University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23A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administracyjni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1BA" w14:textId="6BB837FA" w:rsidR="00C17E70" w:rsidRPr="00370B33" w:rsidRDefault="008A0F09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16D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C17E70" w:rsidRPr="0048690C" w14:paraId="1FBF2505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7FB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Bifröst University - UMCS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53C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dydaktyczni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512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A32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17E70" w:rsidRPr="0048690C" w14:paraId="1C38A77A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707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Bifröst University - UMCS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297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dydaktyczni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36E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2C3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17E70" w:rsidRPr="0048690C" w14:paraId="0BAA7392" w14:textId="77777777" w:rsidTr="00C17E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57B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Bifröst University - UMCS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86F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pracownicy administracyjni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19E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553" w14:textId="77777777" w:rsidR="00C17E70" w:rsidRPr="00370B33" w:rsidRDefault="00C17E70" w:rsidP="00C17E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0B3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14:paraId="4D12886F" w14:textId="77777777" w:rsidR="00A53ABF" w:rsidRPr="00A53ABF" w:rsidRDefault="00A53ABF" w:rsidP="00A53ABF">
      <w:pPr>
        <w:spacing w:after="40" w:line="259" w:lineRule="auto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14:paraId="5B08E5F6" w14:textId="0211F56C" w:rsidR="00526A5C" w:rsidRPr="00A53ABF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</w:t>
      </w:r>
      <w:r w:rsidR="00A53ABF" w:rsidRP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</w:p>
    <w:p w14:paraId="7F6AEDD3" w14:textId="77777777" w:rsidR="00D75D21" w:rsidRPr="00A53ABF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Zasady </w:t>
      </w:r>
      <w:r w:rsidR="0059752D" w:rsidRP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>rekrutacji</w:t>
      </w:r>
    </w:p>
    <w:p w14:paraId="4432A13A" w14:textId="77777777" w:rsidR="00C056D3" w:rsidRPr="00A53ABF" w:rsidRDefault="00C056D3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Uczelnia Beneficjenta nie gwarantuje udziału w projekcie wszystkim zainteresowanym.</w:t>
      </w:r>
    </w:p>
    <w:p w14:paraId="2FBA8BB7" w14:textId="1A53BBB0" w:rsidR="00B30832" w:rsidRPr="00A53ABF" w:rsidRDefault="00B30832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Rekrutacja prowadzona będzie w sposób ciągły do wyczerpania wolnych miejsc.</w:t>
      </w:r>
    </w:p>
    <w:p w14:paraId="228EB789" w14:textId="7C64EDDC" w:rsidR="00C056D3" w:rsidRPr="00B30832" w:rsidRDefault="00C056D3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30832">
        <w:rPr>
          <w:rFonts w:asciiTheme="minorHAnsi" w:hAnsiTheme="minorHAnsi" w:cs="Arial"/>
          <w:sz w:val="22"/>
          <w:szCs w:val="22"/>
        </w:rPr>
        <w:lastRenderedPageBreak/>
        <w:t>Ogłoszenia o naborze</w:t>
      </w:r>
      <w:r w:rsidR="000617BC" w:rsidRPr="00B30832">
        <w:rPr>
          <w:rFonts w:asciiTheme="minorHAnsi" w:hAnsiTheme="minorHAnsi" w:cs="Arial"/>
          <w:sz w:val="22"/>
          <w:szCs w:val="22"/>
        </w:rPr>
        <w:t xml:space="preserve"> </w:t>
      </w:r>
      <w:r w:rsidRPr="00B30832">
        <w:rPr>
          <w:rFonts w:asciiTheme="minorHAnsi" w:hAnsiTheme="minorHAnsi" w:cs="Arial"/>
          <w:sz w:val="22"/>
          <w:szCs w:val="22"/>
        </w:rPr>
        <w:t>w zakresie wszystkich dostępnych form wsparcia w ramach projektu będą rozpowszechniane za pomocą: informacji na stronie internetowej projektu,</w:t>
      </w:r>
      <w:r w:rsidR="000617BC" w:rsidRPr="00B30832">
        <w:rPr>
          <w:rFonts w:asciiTheme="minorHAnsi" w:hAnsiTheme="minorHAnsi" w:cs="Arial"/>
          <w:sz w:val="22"/>
          <w:szCs w:val="22"/>
        </w:rPr>
        <w:t xml:space="preserve"> </w:t>
      </w:r>
      <w:r w:rsidRPr="00B30832">
        <w:rPr>
          <w:rFonts w:asciiTheme="minorHAnsi" w:hAnsiTheme="minorHAnsi" w:cs="Arial"/>
          <w:sz w:val="22"/>
          <w:szCs w:val="22"/>
        </w:rPr>
        <w:t>oraz tablicach ogłoszeń poszczególnych wydziałów.</w:t>
      </w:r>
    </w:p>
    <w:p w14:paraId="5823C441" w14:textId="77777777" w:rsidR="00C056D3" w:rsidRPr="00A53ABF" w:rsidRDefault="00C056D3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 xml:space="preserve">Procedura rekrutacji na </w:t>
      </w:r>
      <w:r w:rsidR="00A53ABF" w:rsidRPr="00A53ABF">
        <w:rPr>
          <w:rFonts w:asciiTheme="minorHAnsi" w:hAnsiTheme="minorHAnsi" w:cs="Arial"/>
          <w:sz w:val="22"/>
          <w:szCs w:val="22"/>
        </w:rPr>
        <w:t>projekcie</w:t>
      </w:r>
      <w:r w:rsidRPr="00D75D21">
        <w:rPr>
          <w:rFonts w:asciiTheme="minorHAnsi" w:hAnsiTheme="minorHAnsi" w:cs="Arial"/>
          <w:sz w:val="22"/>
          <w:szCs w:val="22"/>
        </w:rPr>
        <w:t xml:space="preserve"> obejmować będzie</w:t>
      </w:r>
      <w:r w:rsidRPr="00A53ABF">
        <w:rPr>
          <w:rFonts w:asciiTheme="minorHAnsi" w:hAnsiTheme="minorHAnsi" w:cs="Arial"/>
          <w:sz w:val="22"/>
          <w:szCs w:val="22"/>
        </w:rPr>
        <w:t xml:space="preserve"> </w:t>
      </w: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>złożenie przez kandydata ubiegającego się o wsparcie dokumentów rekrutacyjnych:</w:t>
      </w:r>
    </w:p>
    <w:p w14:paraId="6F2CE85F" w14:textId="77777777" w:rsidR="00C056D3" w:rsidRPr="00A53ABF" w:rsidRDefault="00347D59" w:rsidP="008B0A01">
      <w:pPr>
        <w:pStyle w:val="Akapitzlist"/>
        <w:numPr>
          <w:ilvl w:val="0"/>
          <w:numId w:val="7"/>
        </w:numPr>
        <w:spacing w:after="40" w:line="259" w:lineRule="auto"/>
        <w:ind w:left="1134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w przypadku nauczycieli akademickich:</w:t>
      </w:r>
    </w:p>
    <w:p w14:paraId="28DB80E5" w14:textId="77777777" w:rsidR="00C41ACA" w:rsidRDefault="00C056D3" w:rsidP="008B0A01">
      <w:pPr>
        <w:pStyle w:val="Akapitzlist"/>
        <w:numPr>
          <w:ilvl w:val="0"/>
          <w:numId w:val="8"/>
        </w:numPr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formularz zgłoszeniow</w:t>
      </w:r>
      <w:r w:rsidR="00EB0899">
        <w:rPr>
          <w:rFonts w:asciiTheme="minorHAnsi" w:eastAsia="Calibri" w:hAnsiTheme="minorHAnsi" w:cs="Arial"/>
          <w:sz w:val="22"/>
          <w:szCs w:val="22"/>
          <w:lang w:eastAsia="en-US"/>
        </w:rPr>
        <w:t>y</w:t>
      </w:r>
      <w:r w:rsidR="00A53ABF" w:rsidRPr="00A53ABF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6B0CF036" w14:textId="77777777" w:rsidR="00370B33" w:rsidRDefault="00347D59" w:rsidP="008B0A01">
      <w:pPr>
        <w:pStyle w:val="Akapitzlist"/>
        <w:numPr>
          <w:ilvl w:val="0"/>
          <w:numId w:val="7"/>
        </w:numPr>
        <w:spacing w:after="40" w:line="259" w:lineRule="auto"/>
        <w:ind w:left="1134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w przypadku p</w:t>
      </w:r>
      <w:r w:rsidR="00C75E5C" w:rsidRPr="00A53ABF">
        <w:rPr>
          <w:rFonts w:asciiTheme="minorHAnsi" w:eastAsia="Calibri" w:hAnsiTheme="minorHAnsi" w:cs="Arial"/>
          <w:sz w:val="22"/>
          <w:szCs w:val="22"/>
          <w:lang w:eastAsia="en-US"/>
        </w:rPr>
        <w:t xml:space="preserve">racowników </w:t>
      </w: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administracyjnych</w:t>
      </w:r>
      <w:r w:rsidR="00C75E5C" w:rsidRPr="00A53ABF">
        <w:rPr>
          <w:rFonts w:asciiTheme="minorHAnsi" w:eastAsia="Calibri" w:hAnsiTheme="minorHAnsi" w:cs="Arial"/>
          <w:sz w:val="22"/>
          <w:szCs w:val="22"/>
          <w:lang w:eastAsia="en-US"/>
        </w:rPr>
        <w:t>:</w:t>
      </w:r>
      <w:r w:rsidR="00EB089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</w:p>
    <w:p w14:paraId="1AACC323" w14:textId="0D2324B8" w:rsidR="00C056D3" w:rsidRPr="00A53ABF" w:rsidRDefault="00EB0899" w:rsidP="00370B33">
      <w:pPr>
        <w:pStyle w:val="Akapitzlist"/>
        <w:numPr>
          <w:ilvl w:val="0"/>
          <w:numId w:val="17"/>
        </w:numPr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A53ABF">
        <w:rPr>
          <w:rFonts w:asciiTheme="minorHAnsi" w:eastAsia="Calibri" w:hAnsiTheme="minorHAnsi" w:cs="Arial"/>
          <w:sz w:val="22"/>
          <w:szCs w:val="22"/>
          <w:lang w:eastAsia="en-US"/>
        </w:rPr>
        <w:t>formularz zgłoszeniow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y.</w:t>
      </w:r>
    </w:p>
    <w:p w14:paraId="70C6D0D5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 xml:space="preserve">Dokumenty, o których mowa w pkt. </w:t>
      </w:r>
      <w:r w:rsidR="00A53ABF" w:rsidRPr="00A53ABF">
        <w:rPr>
          <w:rFonts w:asciiTheme="minorHAnsi" w:hAnsiTheme="minorHAnsi" w:cs="Arial"/>
          <w:sz w:val="22"/>
          <w:szCs w:val="22"/>
        </w:rPr>
        <w:t>4</w:t>
      </w:r>
      <w:r w:rsidRPr="00D75D21">
        <w:rPr>
          <w:rFonts w:asciiTheme="minorHAnsi" w:hAnsiTheme="minorHAnsi" w:cs="Arial"/>
          <w:sz w:val="22"/>
          <w:szCs w:val="22"/>
        </w:rPr>
        <w:t xml:space="preserve"> należy składać do Biura Zespołu Projektowego z zachowaniem wyznaczonego terminu ogłoszonego z</w:t>
      </w:r>
      <w:r w:rsidR="000617BC" w:rsidRPr="00A53ABF">
        <w:rPr>
          <w:rFonts w:asciiTheme="minorHAnsi" w:hAnsiTheme="minorHAnsi" w:cs="Arial"/>
          <w:sz w:val="22"/>
          <w:szCs w:val="22"/>
        </w:rPr>
        <w:t xml:space="preserve"> </w:t>
      </w:r>
      <w:r w:rsidRPr="00D75D21">
        <w:rPr>
          <w:rFonts w:asciiTheme="minorHAnsi" w:hAnsiTheme="minorHAnsi" w:cs="Arial"/>
          <w:sz w:val="22"/>
          <w:szCs w:val="22"/>
        </w:rPr>
        <w:t>otwarciem rekrutacji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195408C9" w14:textId="0468B8E9" w:rsidR="00E309D2" w:rsidRDefault="00E309D2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Kryteria rekrutacji:</w:t>
      </w:r>
    </w:p>
    <w:p w14:paraId="408A6F9A" w14:textId="358F7FFB" w:rsidR="00E309D2" w:rsidRDefault="00E309D2" w:rsidP="008B0A01">
      <w:pPr>
        <w:pStyle w:val="Akapitzlist"/>
        <w:numPr>
          <w:ilvl w:val="1"/>
          <w:numId w:val="13"/>
        </w:numPr>
        <w:spacing w:after="40" w:line="259" w:lineRule="auto"/>
        <w:ind w:left="144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w przypadku nauczycieli akademickich:</w:t>
      </w:r>
    </w:p>
    <w:p w14:paraId="1AA1C857" w14:textId="45590743" w:rsidR="00E309D2" w:rsidRPr="00E309D2" w:rsidRDefault="00E309D2" w:rsidP="008B0A01">
      <w:pPr>
        <w:pStyle w:val="Akapitzlist"/>
        <w:numPr>
          <w:ilvl w:val="0"/>
          <w:numId w:val="14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program zajęć dydaktycznych</w:t>
      </w:r>
      <w:r w:rsidR="00370B33">
        <w:rPr>
          <w:rFonts w:asciiTheme="minorHAnsi" w:eastAsia="Calibri" w:hAnsiTheme="minorHAnsi" w:cs="Arial"/>
          <w:sz w:val="22"/>
          <w:szCs w:val="22"/>
          <w:lang w:eastAsia="en-US"/>
        </w:rPr>
        <w:t xml:space="preserve"> ( w przypadku mobilności w celu prowadzenia zajęć)</w:t>
      </w: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4B8F6FDF" w14:textId="3286F5E2" w:rsidR="00E309D2" w:rsidRPr="00E309D2" w:rsidRDefault="00E309D2" w:rsidP="008B0A01">
      <w:pPr>
        <w:pStyle w:val="Akapitzlist"/>
        <w:numPr>
          <w:ilvl w:val="0"/>
          <w:numId w:val="14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osiągnięcia dydaktyczne;</w:t>
      </w:r>
    </w:p>
    <w:p w14:paraId="58C395AD" w14:textId="09C43397" w:rsidR="00E309D2" w:rsidRPr="00E309D2" w:rsidRDefault="00E309D2" w:rsidP="008B0A01">
      <w:pPr>
        <w:pStyle w:val="Akapitzlist"/>
        <w:numPr>
          <w:ilvl w:val="0"/>
          <w:numId w:val="14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znajomość języka obcego, w jakim będ</w:t>
      </w:r>
      <w:r w:rsidR="00370B33">
        <w:rPr>
          <w:rFonts w:asciiTheme="minorHAnsi" w:eastAsia="Calibri" w:hAnsiTheme="minorHAnsi" w:cs="Arial"/>
          <w:sz w:val="22"/>
          <w:szCs w:val="22"/>
          <w:lang w:eastAsia="en-US"/>
        </w:rPr>
        <w:t>ą prowadzone zajęcia/szkolenie</w:t>
      </w: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4E94ABFE" w14:textId="0187459E" w:rsidR="00E309D2" w:rsidRDefault="00E309D2" w:rsidP="008B0A01">
      <w:pPr>
        <w:pStyle w:val="Akapitzlist"/>
        <w:numPr>
          <w:ilvl w:val="0"/>
          <w:numId w:val="14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kompetencje w nauczaniu międzynarodowych grup studentów.</w:t>
      </w:r>
    </w:p>
    <w:p w14:paraId="7BCE3DC7" w14:textId="0890C984" w:rsidR="00E309D2" w:rsidRDefault="00E309D2" w:rsidP="008B0A01">
      <w:pPr>
        <w:pStyle w:val="Akapitzlist"/>
        <w:numPr>
          <w:ilvl w:val="0"/>
          <w:numId w:val="13"/>
        </w:numPr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 xml:space="preserve">w przypadku pracowników </w:t>
      </w:r>
      <w:r w:rsidRPr="00370B33">
        <w:rPr>
          <w:rFonts w:asciiTheme="minorHAnsi" w:eastAsia="Calibri" w:hAnsiTheme="minorHAnsi" w:cs="Arial"/>
          <w:sz w:val="22"/>
          <w:szCs w:val="22"/>
          <w:lang w:eastAsia="en-US"/>
        </w:rPr>
        <w:t>administracyjnych:</w:t>
      </w:r>
    </w:p>
    <w:p w14:paraId="4AD26688" w14:textId="4DD5C781" w:rsidR="00E309D2" w:rsidRPr="00E309D2" w:rsidRDefault="00E309D2" w:rsidP="008B0A01">
      <w:pPr>
        <w:pStyle w:val="Akapitzlist"/>
        <w:numPr>
          <w:ilvl w:val="0"/>
          <w:numId w:val="15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oczekiwany wpływ szkolenia/pobytu za granicą na rozwój zawodowy;</w:t>
      </w:r>
    </w:p>
    <w:p w14:paraId="3A802BB7" w14:textId="2E0B7522" w:rsidR="00E309D2" w:rsidRPr="00E309D2" w:rsidRDefault="00E309D2" w:rsidP="008B0A01">
      <w:pPr>
        <w:pStyle w:val="Akapitzlist"/>
        <w:numPr>
          <w:ilvl w:val="0"/>
          <w:numId w:val="15"/>
        </w:numPr>
        <w:spacing w:after="40" w:line="259" w:lineRule="auto"/>
        <w:ind w:left="1843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znajomość języka obcego, w którym będzie prowadzone szkolenie.</w:t>
      </w:r>
    </w:p>
    <w:p w14:paraId="08995FB7" w14:textId="1470D648" w:rsidR="00E309D2" w:rsidRPr="00E309D2" w:rsidRDefault="00E309D2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Dodatkowe punkty w procesie rekrutacji przyznane zostaną kandydatom zajmującym się kształceniem w zakresie systemu opieki społecznej nad dziećmi „Child welfare education”.</w:t>
      </w:r>
    </w:p>
    <w:p w14:paraId="16466149" w14:textId="332463F0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 xml:space="preserve">Po złożeniu dokumentów, o których mowa w pkt. </w:t>
      </w:r>
      <w:r w:rsidR="00E309D2">
        <w:rPr>
          <w:rFonts w:asciiTheme="minorHAnsi" w:hAnsiTheme="minorHAnsi" w:cs="Arial"/>
          <w:sz w:val="22"/>
          <w:szCs w:val="22"/>
        </w:rPr>
        <w:t>5</w:t>
      </w:r>
      <w:r w:rsidRPr="00D75D21">
        <w:rPr>
          <w:rFonts w:asciiTheme="minorHAnsi" w:hAnsiTheme="minorHAnsi" w:cs="Arial"/>
          <w:sz w:val="22"/>
          <w:szCs w:val="22"/>
        </w:rPr>
        <w:t>, Komisja rekrutacyjna dokona weryfikacji dokumentów oraz tworzy listę osób zweryfikowanych pozytywnie oraz</w:t>
      </w:r>
      <w:r w:rsidR="000617BC" w:rsidRPr="00A53ABF">
        <w:rPr>
          <w:rFonts w:asciiTheme="minorHAnsi" w:hAnsiTheme="minorHAnsi" w:cs="Arial"/>
          <w:sz w:val="22"/>
          <w:szCs w:val="22"/>
        </w:rPr>
        <w:t xml:space="preserve"> </w:t>
      </w:r>
      <w:r w:rsidRPr="00D75D21">
        <w:rPr>
          <w:rFonts w:asciiTheme="minorHAnsi" w:hAnsiTheme="minorHAnsi" w:cs="Arial"/>
          <w:sz w:val="22"/>
          <w:szCs w:val="22"/>
        </w:rPr>
        <w:t>listę osób niezakwalifikowanych (brak kompletu dostarczenia kompletu dokumentów w wyznaczonym terminie)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250EE232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>Po dokonaniu weryfikacji Komisja rekrutacyjna tworzy listę rankingową. Na jej podstawie</w:t>
      </w:r>
      <w:r w:rsidR="000617BC" w:rsidRPr="00A53ABF">
        <w:rPr>
          <w:rFonts w:asciiTheme="minorHAnsi" w:hAnsiTheme="minorHAnsi" w:cs="Arial"/>
          <w:sz w:val="22"/>
          <w:szCs w:val="22"/>
        </w:rPr>
        <w:t xml:space="preserve"> </w:t>
      </w:r>
      <w:r w:rsidRPr="00D75D21">
        <w:rPr>
          <w:rFonts w:asciiTheme="minorHAnsi" w:hAnsiTheme="minorHAnsi" w:cs="Arial"/>
          <w:sz w:val="22"/>
          <w:szCs w:val="22"/>
        </w:rPr>
        <w:t>utworzona zostanie lista osób zakwalifikowanych, niezakwalifikowanych oraz lista rezerwowa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28471657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>Dodatkowo o wynikach rekrutacji zostaną poinformowani uczestnicy projektu zakwalifikowani do poszczególnego wsparcia za pośrednictwem poczty elektronicznej lub telefonicznie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4A30DBD3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>W przypadku negatywnej decyzji Komisji rekrutacyjnej odwołanie nie przysługuje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4F6E0DC9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>Osoby z list rezerwowych będą kwalifikowane do wsparcia w przypadku</w:t>
      </w:r>
      <w:r w:rsidR="000617BC" w:rsidRPr="00A53ABF">
        <w:rPr>
          <w:rFonts w:asciiTheme="minorHAnsi" w:hAnsiTheme="minorHAnsi" w:cs="Arial"/>
          <w:sz w:val="22"/>
          <w:szCs w:val="22"/>
        </w:rPr>
        <w:t xml:space="preserve"> </w:t>
      </w:r>
      <w:r w:rsidRPr="00D75D21">
        <w:rPr>
          <w:rFonts w:asciiTheme="minorHAnsi" w:hAnsiTheme="minorHAnsi" w:cs="Arial"/>
          <w:sz w:val="22"/>
          <w:szCs w:val="22"/>
        </w:rPr>
        <w:t>rezygnacji osób z list zakwalifikowanych</w:t>
      </w:r>
      <w:r w:rsidRPr="00A53ABF">
        <w:rPr>
          <w:rFonts w:asciiTheme="minorHAnsi" w:hAnsiTheme="minorHAnsi" w:cs="Arial"/>
          <w:sz w:val="22"/>
          <w:szCs w:val="22"/>
        </w:rPr>
        <w:t>.</w:t>
      </w:r>
    </w:p>
    <w:p w14:paraId="4C13B395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>W przypadku zbyt małej liczby chętnych na poszczególne rodzaje wsparcia zostanie przeprowadzona dodatkowa rekrutacja z zachowaniem takich samych zasad jak na etapie pierwszej rekrutacji.</w:t>
      </w:r>
    </w:p>
    <w:p w14:paraId="2ADD339F" w14:textId="77777777" w:rsidR="00C056D3" w:rsidRPr="00A53ABF" w:rsidRDefault="00D73029" w:rsidP="008B0A01">
      <w:pPr>
        <w:pStyle w:val="Akapitzlist"/>
        <w:numPr>
          <w:ilvl w:val="0"/>
          <w:numId w:val="6"/>
        </w:num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hAnsiTheme="minorHAnsi" w:cs="Arial"/>
          <w:sz w:val="22"/>
          <w:szCs w:val="22"/>
        </w:rPr>
        <w:t xml:space="preserve">Niezbędnym warunkiem realizacji </w:t>
      </w:r>
      <w:r w:rsidR="00A53ABF" w:rsidRPr="00A53ABF">
        <w:rPr>
          <w:rFonts w:asciiTheme="minorHAnsi" w:hAnsiTheme="minorHAnsi" w:cs="Arial"/>
          <w:sz w:val="22"/>
          <w:szCs w:val="22"/>
        </w:rPr>
        <w:t>mobilności</w:t>
      </w:r>
      <w:r w:rsidRPr="00D75D21">
        <w:rPr>
          <w:rFonts w:asciiTheme="minorHAnsi" w:hAnsiTheme="minorHAnsi" w:cs="Arial"/>
          <w:sz w:val="22"/>
          <w:szCs w:val="22"/>
        </w:rPr>
        <w:t xml:space="preserve"> po pomyślnie zakończonym procesie kwalifikacji, jest podpisanie umowy z każdym zaakceptowanym uczestnikiem indywidualnym oraz uzgodnienie </w:t>
      </w:r>
      <w:r w:rsidRPr="00D75D21">
        <w:rPr>
          <w:rFonts w:asciiTheme="minorHAnsi" w:hAnsiTheme="minorHAnsi" w:cs="Arial"/>
          <w:sz w:val="22"/>
          <w:szCs w:val="22"/>
        </w:rPr>
        <w:lastRenderedPageBreak/>
        <w:t xml:space="preserve">programu </w:t>
      </w:r>
      <w:r w:rsidR="00A53ABF" w:rsidRPr="00A53ABF">
        <w:rPr>
          <w:rFonts w:asciiTheme="minorHAnsi" w:hAnsiTheme="minorHAnsi" w:cs="Arial"/>
          <w:sz w:val="22"/>
          <w:szCs w:val="22"/>
        </w:rPr>
        <w:t>mobilności</w:t>
      </w:r>
      <w:r w:rsidRPr="00D75D21">
        <w:rPr>
          <w:rFonts w:asciiTheme="minorHAnsi" w:hAnsiTheme="minorHAnsi" w:cs="Arial"/>
          <w:sz w:val="22"/>
          <w:szCs w:val="22"/>
        </w:rPr>
        <w:t>, który powinien stanowić załącznik do umowy i być opisany w jednym z poniższych dokumentów:</w:t>
      </w:r>
    </w:p>
    <w:p w14:paraId="03122219" w14:textId="77777777" w:rsidR="00D73029" w:rsidRPr="00B15092" w:rsidRDefault="00D73029" w:rsidP="008B0A01">
      <w:pPr>
        <w:pStyle w:val="Akapitzlist"/>
        <w:numPr>
          <w:ilvl w:val="0"/>
          <w:numId w:val="9"/>
        </w:numPr>
        <w:spacing w:after="40" w:line="259" w:lineRule="auto"/>
        <w:ind w:left="1134" w:hanging="425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15092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„Indywidualny plan pracy/szkolenia” (pracownicy, wyjazd na szkolenie);</w:t>
      </w:r>
    </w:p>
    <w:p w14:paraId="69B2C98F" w14:textId="77777777" w:rsidR="00C056D3" w:rsidRPr="00B15092" w:rsidRDefault="00D73029" w:rsidP="008B0A01">
      <w:pPr>
        <w:pStyle w:val="Akapitzlist"/>
        <w:numPr>
          <w:ilvl w:val="0"/>
          <w:numId w:val="9"/>
        </w:numPr>
        <w:spacing w:after="40" w:line="259" w:lineRule="auto"/>
        <w:ind w:left="1134" w:hanging="425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B15092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„Indywidualny program nauczania” (pracownicy, wyjazd w celu prowadzenia zajęć)</w:t>
      </w:r>
      <w:r w:rsidR="000617BC" w:rsidRPr="00B15092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14:paraId="0AEB60CD" w14:textId="77777777" w:rsidR="00D75D21" w:rsidRPr="00D75D21" w:rsidRDefault="00D75D21" w:rsidP="00A53ABF">
      <w:pPr>
        <w:suppressAutoHyphens/>
        <w:spacing w:after="40"/>
        <w:contextualSpacing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02ED4788" w14:textId="77777777" w:rsidR="00D75D21" w:rsidRPr="000617BC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</w:t>
      </w:r>
      <w:r w:rsid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5</w:t>
      </w:r>
    </w:p>
    <w:p w14:paraId="63DDE294" w14:textId="77777777" w:rsidR="00526A5C" w:rsidRPr="00D75D21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617BC">
        <w:rPr>
          <w:rFonts w:asciiTheme="minorHAnsi" w:eastAsia="Calibri" w:hAnsiTheme="minorHAnsi" w:cs="Arial"/>
          <w:b/>
          <w:sz w:val="22"/>
          <w:szCs w:val="22"/>
          <w:lang w:eastAsia="en-US"/>
        </w:rPr>
        <w:t>[Obowiązki Uczestnika/czki Projektu]</w:t>
      </w:r>
    </w:p>
    <w:p w14:paraId="524A2E1F" w14:textId="77777777" w:rsidR="00D75D21" w:rsidRPr="00D75D21" w:rsidRDefault="00D75D21" w:rsidP="00A53ABF">
      <w:pPr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 xml:space="preserve">Uczestnik projektu zobowiązany jest do: </w:t>
      </w:r>
    </w:p>
    <w:p w14:paraId="02D82A64" w14:textId="77777777" w:rsidR="00D75D21" w:rsidRPr="00EB0899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>przestrzegania</w:t>
      </w:r>
      <w:r w:rsidR="000617BC" w:rsidRPr="00EB089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>Regulamin</w:t>
      </w:r>
      <w:r w:rsidR="0059752D" w:rsidRPr="00EB0899">
        <w:rPr>
          <w:rFonts w:asciiTheme="minorHAnsi" w:eastAsia="Calibri" w:hAnsiTheme="minorHAnsi" w:cs="Arial"/>
          <w:sz w:val="22"/>
          <w:szCs w:val="22"/>
          <w:lang w:eastAsia="en-US"/>
        </w:rPr>
        <w:t>u</w:t>
      </w: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 xml:space="preserve"> projektu</w:t>
      </w:r>
      <w:r w:rsidR="000617BC" w:rsidRPr="00EB0899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39DEEA9D" w14:textId="385525C0" w:rsidR="00D75D21" w:rsidRDefault="0067303F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>z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apoznania się z postanowieniami</w:t>
      </w: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BC58F9" w:rsidRPr="00EB0899">
        <w:rPr>
          <w:rFonts w:asciiTheme="minorHAnsi" w:eastAsia="Calibri" w:hAnsiTheme="minorHAnsi" w:cs="Arial"/>
          <w:sz w:val="22"/>
          <w:szCs w:val="22"/>
          <w:lang w:eastAsia="en-US"/>
        </w:rPr>
        <w:t>Zarządzenia Nr 69/2022 Rektora Uniwersytetu Marii Curie-Skłodowskiej w Lublinie</w:t>
      </w:r>
      <w:r w:rsidR="00E309D2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BC58F9" w:rsidRPr="00EB0899">
        <w:rPr>
          <w:rFonts w:asciiTheme="minorHAnsi" w:eastAsia="Calibri" w:hAnsiTheme="minorHAnsi" w:cs="Arial"/>
          <w:sz w:val="22"/>
          <w:szCs w:val="22"/>
          <w:lang w:eastAsia="en-US"/>
        </w:rPr>
        <w:t>z dnia 7 lipca 2022 r. w sprawie podróży służbowych pracowników, wyjazdów studentów</w:t>
      </w:r>
      <w:r w:rsidR="00E309D2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BC58F9" w:rsidRPr="00EB0899">
        <w:rPr>
          <w:rFonts w:asciiTheme="minorHAnsi" w:eastAsia="Calibri" w:hAnsiTheme="minorHAnsi" w:cs="Arial"/>
          <w:sz w:val="22"/>
          <w:szCs w:val="22"/>
          <w:lang w:eastAsia="en-US"/>
        </w:rPr>
        <w:t>i doktorantów oraz osób niezatrudnionych na UMCS;</w:t>
      </w:r>
    </w:p>
    <w:p w14:paraId="72AFDF1D" w14:textId="14D3422D" w:rsidR="00B30832" w:rsidRPr="00E309D2" w:rsidRDefault="00B30832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309D2">
        <w:rPr>
          <w:rFonts w:asciiTheme="minorHAnsi" w:eastAsia="Calibri" w:hAnsiTheme="minorHAnsi" w:cs="Arial"/>
          <w:sz w:val="22"/>
          <w:szCs w:val="22"/>
          <w:lang w:eastAsia="en-US"/>
        </w:rPr>
        <w:t>zawarcia umowy na wyjazd pracownika w Programie Edukacja w celu prowadzenia zajęć dydaktycznych lub w celu szkoleniowym;</w:t>
      </w:r>
    </w:p>
    <w:p w14:paraId="600F4974" w14:textId="77777777" w:rsidR="0067303F" w:rsidRPr="00EB0899" w:rsidRDefault="0067303F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 xml:space="preserve">realizacji mobilności zgodnie z zatwierdzonym </w:t>
      </w:r>
      <w:r w:rsidR="00B30832">
        <w:rPr>
          <w:rFonts w:asciiTheme="minorHAnsi" w:eastAsia="Calibri" w:hAnsiTheme="minorHAnsi" w:cs="Arial"/>
          <w:sz w:val="22"/>
          <w:szCs w:val="22"/>
          <w:lang w:eastAsia="en-US"/>
        </w:rPr>
        <w:t xml:space="preserve">indywidualnym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programem;</w:t>
      </w:r>
    </w:p>
    <w:p w14:paraId="4581D2F6" w14:textId="77777777" w:rsidR="00D75D21" w:rsidRPr="00EB0899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>sumiennego i starannego wykonywania czynności i zadań związanych z otrzymanym wsparciem;</w:t>
      </w:r>
    </w:p>
    <w:p w14:paraId="20870FD2" w14:textId="77777777" w:rsidR="00D75D21" w:rsidRPr="008B0A01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B0899">
        <w:rPr>
          <w:rFonts w:asciiTheme="minorHAnsi" w:eastAsia="Calibri" w:hAnsiTheme="minorHAnsi" w:cs="Arial"/>
          <w:sz w:val="22"/>
          <w:szCs w:val="22"/>
          <w:lang w:eastAsia="en-US"/>
        </w:rPr>
        <w:t xml:space="preserve">znajomości aktualnych przepisów </w:t>
      </w: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 xml:space="preserve">i spełniania wytycznych sanitarno-epidemiologicznych </w:t>
      </w:r>
      <w:r w:rsidRPr="008B0A01">
        <w:rPr>
          <w:rFonts w:asciiTheme="minorHAnsi" w:eastAsia="Calibri" w:hAnsiTheme="minorHAnsi" w:cs="Arial"/>
          <w:sz w:val="22"/>
          <w:szCs w:val="22"/>
          <w:lang w:eastAsia="en-US"/>
        </w:rPr>
        <w:t>panujących</w:t>
      </w:r>
      <w:r w:rsidR="000617BC" w:rsidRPr="008B0A01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8B0A01">
        <w:rPr>
          <w:rFonts w:asciiTheme="minorHAnsi" w:eastAsia="Calibri" w:hAnsiTheme="minorHAnsi" w:cs="Arial"/>
          <w:sz w:val="22"/>
          <w:szCs w:val="22"/>
          <w:lang w:eastAsia="en-US"/>
        </w:rPr>
        <w:t>w k</w:t>
      </w:r>
      <w:r w:rsidR="000617BC" w:rsidRPr="008B0A01">
        <w:rPr>
          <w:rFonts w:asciiTheme="minorHAnsi" w:eastAsia="Calibri" w:hAnsiTheme="minorHAnsi" w:cs="Arial"/>
          <w:sz w:val="22"/>
          <w:szCs w:val="22"/>
          <w:lang w:eastAsia="en-US"/>
        </w:rPr>
        <w:t>raju przejmującym i wysyłającym;</w:t>
      </w:r>
    </w:p>
    <w:p w14:paraId="7876A6B4" w14:textId="77777777" w:rsidR="000617BC" w:rsidRPr="008B0A01" w:rsidRDefault="000617BC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8B0A01">
        <w:rPr>
          <w:rFonts w:asciiTheme="minorHAnsi" w:hAnsiTheme="minorHAnsi" w:cs="Arial"/>
          <w:sz w:val="22"/>
          <w:szCs w:val="22"/>
        </w:rPr>
        <w:t>wykupienia polisy ubezpieczeniowej na czas pobytu w kraju docelowym. Minimalny zakres ubezpieczenia musi obejmować podstawowe ubezpieczenie zdrowotne oraz ubezpieczenie od następstw nieszczęśliwych wypadków (NNW). Umowy ubezpieczeniowe zawierane i pokrywane są w zakresie własnym pracownika</w:t>
      </w:r>
      <w:r w:rsidR="00C13BED" w:rsidRPr="008B0A01">
        <w:rPr>
          <w:rFonts w:asciiTheme="minorHAnsi" w:hAnsiTheme="minorHAnsi" w:cs="Arial"/>
          <w:sz w:val="22"/>
          <w:szCs w:val="22"/>
        </w:rPr>
        <w:t>;</w:t>
      </w:r>
    </w:p>
    <w:p w14:paraId="6F91C12C" w14:textId="3C8F3B22" w:rsidR="00EB0899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8B0A01">
        <w:rPr>
          <w:rFonts w:asciiTheme="minorHAnsi" w:eastAsia="Calibri" w:hAnsiTheme="minorHAnsi" w:cs="Arial"/>
          <w:sz w:val="22"/>
          <w:szCs w:val="22"/>
        </w:rPr>
        <w:t xml:space="preserve">dostarczenia do biura zespołu projektu oryginałów kompletu dokumentów z </w:t>
      </w:r>
      <w:r w:rsidR="0067303F" w:rsidRPr="008B0A01">
        <w:rPr>
          <w:rFonts w:asciiTheme="minorHAnsi" w:eastAsia="Calibri" w:hAnsiTheme="minorHAnsi" w:cs="Arial"/>
          <w:sz w:val="22"/>
          <w:szCs w:val="22"/>
        </w:rPr>
        <w:t xml:space="preserve">realizacji </w:t>
      </w:r>
      <w:r w:rsidR="0067303F">
        <w:rPr>
          <w:rFonts w:asciiTheme="minorHAnsi" w:eastAsia="Calibri" w:hAnsiTheme="minorHAnsi" w:cs="Arial"/>
          <w:sz w:val="22"/>
          <w:szCs w:val="22"/>
        </w:rPr>
        <w:t>mobilności</w:t>
      </w:r>
      <w:r w:rsidRPr="00D75D21">
        <w:rPr>
          <w:rFonts w:asciiTheme="minorHAnsi" w:eastAsia="Calibri" w:hAnsiTheme="minorHAnsi" w:cs="Arial"/>
          <w:sz w:val="22"/>
          <w:szCs w:val="22"/>
        </w:rPr>
        <w:t>, nie później niż 7 dni od zakończenia wsparcia</w:t>
      </w:r>
      <w:r w:rsidR="00B15092">
        <w:rPr>
          <w:rFonts w:asciiTheme="minorHAnsi" w:eastAsia="Calibri" w:hAnsiTheme="minorHAnsi" w:cs="Arial"/>
          <w:sz w:val="22"/>
          <w:szCs w:val="22"/>
        </w:rPr>
        <w:t xml:space="preserve">: </w:t>
      </w:r>
    </w:p>
    <w:p w14:paraId="45ACAAFF" w14:textId="269E92B0" w:rsidR="00EB0899" w:rsidRDefault="0067303F" w:rsidP="008B0A01">
      <w:pPr>
        <w:pStyle w:val="Akapitzlist"/>
        <w:numPr>
          <w:ilvl w:val="0"/>
          <w:numId w:val="12"/>
        </w:numPr>
        <w:suppressAutoHyphens/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zaświadczenie</w:t>
      </w:r>
      <w:r w:rsidR="00B15092" w:rsidRPr="00EB0899">
        <w:rPr>
          <w:rFonts w:asciiTheme="minorHAnsi" w:eastAsia="Calibri" w:hAnsiTheme="minorHAnsi" w:cs="Arial"/>
          <w:sz w:val="22"/>
          <w:szCs w:val="22"/>
        </w:rPr>
        <w:t>,</w:t>
      </w:r>
    </w:p>
    <w:p w14:paraId="0C28D5C7" w14:textId="77777777" w:rsidR="00EB0899" w:rsidRDefault="00B15092" w:rsidP="008B0A01">
      <w:pPr>
        <w:pStyle w:val="Akapitzlist"/>
        <w:numPr>
          <w:ilvl w:val="0"/>
          <w:numId w:val="12"/>
        </w:numPr>
        <w:suppressAutoHyphens/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EB0899">
        <w:rPr>
          <w:rFonts w:asciiTheme="minorHAnsi" w:eastAsia="Calibri" w:hAnsiTheme="minorHAnsi" w:cs="Arial"/>
          <w:sz w:val="22"/>
          <w:szCs w:val="22"/>
        </w:rPr>
        <w:t>ankieta ex-post,</w:t>
      </w:r>
    </w:p>
    <w:p w14:paraId="159DDE4E" w14:textId="77777777" w:rsidR="00D75D21" w:rsidRPr="00EB0899" w:rsidRDefault="00B15092" w:rsidP="008B0A01">
      <w:pPr>
        <w:pStyle w:val="Akapitzlist"/>
        <w:numPr>
          <w:ilvl w:val="0"/>
          <w:numId w:val="12"/>
        </w:numPr>
        <w:suppressAutoHyphens/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</w:rPr>
      </w:pPr>
      <w:r w:rsidRPr="00EB0899">
        <w:rPr>
          <w:rFonts w:asciiTheme="minorHAnsi" w:eastAsia="Calibri" w:hAnsiTheme="minorHAnsi" w:cs="Arial"/>
          <w:sz w:val="22"/>
          <w:szCs w:val="22"/>
        </w:rPr>
        <w:t xml:space="preserve">lista </w:t>
      </w:r>
      <w:r w:rsidR="00EB0899" w:rsidRPr="00EB0899">
        <w:rPr>
          <w:rFonts w:asciiTheme="minorHAnsi" w:eastAsia="Calibri" w:hAnsiTheme="minorHAnsi" w:cs="Arial"/>
          <w:sz w:val="22"/>
          <w:szCs w:val="22"/>
        </w:rPr>
        <w:t>obecności</w:t>
      </w:r>
      <w:r w:rsidR="00EB0899">
        <w:rPr>
          <w:rFonts w:asciiTheme="minorHAnsi" w:eastAsia="Calibri" w:hAnsiTheme="minorHAnsi" w:cs="Arial"/>
          <w:sz w:val="22"/>
          <w:szCs w:val="22"/>
        </w:rPr>
        <w:t>.</w:t>
      </w:r>
    </w:p>
    <w:p w14:paraId="646613DA" w14:textId="77777777" w:rsidR="00D75D21" w:rsidRPr="00D75D21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>wypełniania ankiety ex post oraz innych dokumentów dotyczących otrzymanego wsparcia, zgodnie z wymaganą przez biuro zespołu projektowego częstotliwością;</w:t>
      </w:r>
    </w:p>
    <w:p w14:paraId="3B1470E8" w14:textId="77777777" w:rsidR="00D75D21" w:rsidRPr="00D75D21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>niezwłocznego informowania pracownika Biura Zespołu Projektowego (nie później niż w ciągu 5 dni) o wszelkich zmianach dotyczących realizacji przydzielonego mu wsparcia</w:t>
      </w:r>
      <w:r w:rsidR="00FF553A">
        <w:rPr>
          <w:rFonts w:asciiTheme="minorHAnsi" w:eastAsia="Calibri" w:hAnsiTheme="minorHAnsi" w:cs="Arial"/>
          <w:sz w:val="22"/>
          <w:szCs w:val="22"/>
          <w:lang w:eastAsia="en-US"/>
        </w:rPr>
        <w:t>;</w:t>
      </w:r>
    </w:p>
    <w:p w14:paraId="1A3C3E8A" w14:textId="77777777" w:rsidR="00D75D21" w:rsidRPr="00510431" w:rsidRDefault="00D75D21" w:rsidP="008B0A01">
      <w:pPr>
        <w:numPr>
          <w:ilvl w:val="0"/>
          <w:numId w:val="5"/>
        </w:numPr>
        <w:suppressAutoHyphens/>
        <w:spacing w:after="40" w:line="259" w:lineRule="auto"/>
        <w:ind w:left="1134" w:hanging="425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>zapoznania</w:t>
      </w:r>
      <w:r w:rsidR="000617BC" w:rsidRPr="00510431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75D21">
        <w:rPr>
          <w:rFonts w:asciiTheme="minorHAnsi" w:eastAsia="Calibri" w:hAnsiTheme="minorHAnsi" w:cs="Arial"/>
          <w:sz w:val="22"/>
          <w:szCs w:val="22"/>
          <w:lang w:eastAsia="en-US"/>
        </w:rPr>
        <w:t>się ze wszystkimi dokumentami projektowymi oraz śledzenia informacji, które na bieżąco zamieszczane są na podstronie projektu.</w:t>
      </w:r>
    </w:p>
    <w:p w14:paraId="1437E7D6" w14:textId="77777777" w:rsidR="00526A5C" w:rsidRDefault="00526A5C" w:rsidP="00A53ABF">
      <w:pPr>
        <w:suppressAutoHyphens/>
        <w:spacing w:after="40" w:line="259" w:lineRule="auto"/>
        <w:contextualSpacing/>
        <w:jc w:val="both"/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</w:pPr>
    </w:p>
    <w:p w14:paraId="3FC5BCF5" w14:textId="77777777" w:rsidR="009A2D09" w:rsidRPr="0059752D" w:rsidRDefault="009A2D09" w:rsidP="00A53ABF">
      <w:pPr>
        <w:suppressAutoHyphens/>
        <w:spacing w:after="40" w:line="259" w:lineRule="auto"/>
        <w:contextualSpacing/>
        <w:jc w:val="both"/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</w:pPr>
    </w:p>
    <w:p w14:paraId="1FEED008" w14:textId="77777777" w:rsidR="00D75D21" w:rsidRPr="009A2D09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A2D09">
        <w:rPr>
          <w:rFonts w:asciiTheme="minorHAnsi" w:eastAsia="Calibri" w:hAnsiTheme="minorHAnsi" w:cs="Arial"/>
          <w:b/>
          <w:sz w:val="22"/>
          <w:szCs w:val="22"/>
          <w:lang w:eastAsia="en-US"/>
        </w:rPr>
        <w:lastRenderedPageBreak/>
        <w:t>§</w:t>
      </w:r>
      <w:r w:rsidR="00A53ABF" w:rsidRPr="009A2D09">
        <w:rPr>
          <w:rFonts w:asciiTheme="minorHAnsi" w:eastAsia="Calibri" w:hAnsiTheme="minorHAnsi" w:cs="Arial"/>
          <w:b/>
          <w:sz w:val="22"/>
          <w:szCs w:val="22"/>
          <w:lang w:eastAsia="en-US"/>
        </w:rPr>
        <w:t>6</w:t>
      </w:r>
    </w:p>
    <w:p w14:paraId="27AF9242" w14:textId="77777777" w:rsidR="0059752D" w:rsidRPr="009A2D09" w:rsidRDefault="0059752D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A2D09">
        <w:rPr>
          <w:rFonts w:asciiTheme="minorHAnsi" w:eastAsia="Calibri" w:hAnsiTheme="minorHAnsi" w:cs="Arial"/>
          <w:b/>
          <w:sz w:val="22"/>
          <w:szCs w:val="22"/>
          <w:lang w:eastAsia="en-US"/>
        </w:rPr>
        <w:t>[Zasady realizacji mobilności]</w:t>
      </w:r>
    </w:p>
    <w:p w14:paraId="158AAF2B" w14:textId="77777777" w:rsidR="00510431" w:rsidRPr="009A2D09" w:rsidRDefault="00D75D21" w:rsidP="008B0A01">
      <w:pPr>
        <w:numPr>
          <w:ilvl w:val="0"/>
          <w:numId w:val="2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Uczestnikowi projektu, któremu zostało przyznane wsparcie przysługuje pokrycie kosztów:</w:t>
      </w:r>
    </w:p>
    <w:p w14:paraId="046EB926" w14:textId="77777777" w:rsidR="00510431" w:rsidRPr="009A2D09" w:rsidRDefault="00510431" w:rsidP="008B0A01">
      <w:pPr>
        <w:pStyle w:val="Akapitzlist"/>
        <w:numPr>
          <w:ilvl w:val="0"/>
          <w:numId w:val="10"/>
        </w:numPr>
        <w:suppressAutoHyphens/>
        <w:spacing w:after="40" w:line="259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podróży</w:t>
      </w:r>
      <w:r w:rsidR="002C0F66" w:rsidRPr="009A2D09">
        <w:rPr>
          <w:rFonts w:asciiTheme="minorHAnsi" w:hAnsiTheme="minorHAnsi" w:cs="Arial"/>
          <w:sz w:val="22"/>
          <w:szCs w:val="22"/>
        </w:rPr>
        <w:t xml:space="preserve"> zgodnie z zryczałtowanymi kwotami w budżecie projektu;</w:t>
      </w:r>
    </w:p>
    <w:p w14:paraId="26C1A6F2" w14:textId="77777777" w:rsidR="00D75D21" w:rsidRPr="009A2D09" w:rsidRDefault="00510431" w:rsidP="008B0A01">
      <w:pPr>
        <w:pStyle w:val="Akapitzlist"/>
        <w:numPr>
          <w:ilvl w:val="0"/>
          <w:numId w:val="10"/>
        </w:numPr>
        <w:suppressAutoHyphens/>
        <w:spacing w:after="40" w:line="259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utrzymania</w:t>
      </w:r>
      <w:r w:rsidR="002C0F66" w:rsidRPr="009A2D09">
        <w:rPr>
          <w:rFonts w:asciiTheme="minorHAnsi" w:hAnsiTheme="minorHAnsi" w:cs="Arial"/>
          <w:sz w:val="22"/>
          <w:szCs w:val="22"/>
        </w:rPr>
        <w:t xml:space="preserve"> zgodnie z zryczałtowanymi kwotami w budżecie projektu.</w:t>
      </w:r>
    </w:p>
    <w:p w14:paraId="6E2E57F8" w14:textId="77777777" w:rsidR="00BC58F9" w:rsidRPr="009A2D09" w:rsidRDefault="0006717F" w:rsidP="008B0A01">
      <w:pPr>
        <w:numPr>
          <w:ilvl w:val="0"/>
          <w:numId w:val="2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Uczelni przyjmującej oraz uczelni wysyłającej przysługują środki na pokrycie kosztów organizacyjnych mobilności zgodnie z zryczałtowanymi kwotami w budżecie projektu</w:t>
      </w:r>
      <w:r w:rsidR="00BC58F9" w:rsidRPr="009A2D09">
        <w:rPr>
          <w:rFonts w:asciiTheme="minorHAnsi" w:hAnsiTheme="minorHAnsi" w:cs="Arial"/>
          <w:sz w:val="22"/>
          <w:szCs w:val="22"/>
        </w:rPr>
        <w:t xml:space="preserve"> w wysokości:</w:t>
      </w:r>
    </w:p>
    <w:p w14:paraId="02F1BEEE" w14:textId="77777777" w:rsidR="0006717F" w:rsidRPr="009A2D09" w:rsidRDefault="00BC58F9" w:rsidP="008B0A01">
      <w:pPr>
        <w:pStyle w:val="Akapitzlist"/>
        <w:numPr>
          <w:ilvl w:val="0"/>
          <w:numId w:val="11"/>
        </w:numPr>
        <w:suppressAutoHyphens/>
        <w:spacing w:after="40" w:line="259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200,00 EUR dla uczelni przyjmującej;</w:t>
      </w:r>
    </w:p>
    <w:p w14:paraId="0F36716D" w14:textId="77777777" w:rsidR="00BC58F9" w:rsidRPr="009A2D09" w:rsidRDefault="00BC58F9" w:rsidP="008B0A01">
      <w:pPr>
        <w:pStyle w:val="Akapitzlist"/>
        <w:numPr>
          <w:ilvl w:val="0"/>
          <w:numId w:val="11"/>
        </w:numPr>
        <w:suppressAutoHyphens/>
        <w:spacing w:after="40" w:line="259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150,00 EUR dla uczelni wysyłającej.</w:t>
      </w:r>
    </w:p>
    <w:p w14:paraId="36AA2895" w14:textId="77777777" w:rsidR="00D75D21" w:rsidRDefault="00D75D21" w:rsidP="008B0A01">
      <w:pPr>
        <w:numPr>
          <w:ilvl w:val="0"/>
          <w:numId w:val="2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A2D09">
        <w:rPr>
          <w:rFonts w:asciiTheme="minorHAnsi" w:hAnsiTheme="minorHAnsi" w:cs="Arial"/>
          <w:sz w:val="22"/>
          <w:szCs w:val="22"/>
        </w:rPr>
        <w:t>Kwoty oraz ich przyznanie w celu pokrycia kosztów, o których mowa w pkt. 1</w:t>
      </w:r>
      <w:r w:rsidR="00FF553A" w:rsidRPr="009A2D09">
        <w:rPr>
          <w:rFonts w:asciiTheme="minorHAnsi" w:hAnsiTheme="minorHAnsi" w:cs="Arial"/>
          <w:sz w:val="22"/>
          <w:szCs w:val="22"/>
        </w:rPr>
        <w:t xml:space="preserve"> i 2</w:t>
      </w:r>
      <w:r w:rsidRPr="009A2D09">
        <w:rPr>
          <w:rFonts w:asciiTheme="minorHAnsi" w:hAnsiTheme="minorHAnsi" w:cs="Arial"/>
          <w:sz w:val="22"/>
          <w:szCs w:val="22"/>
        </w:rPr>
        <w:t xml:space="preserve"> zależą od r</w:t>
      </w:r>
      <w:r w:rsidR="00F3104F" w:rsidRPr="009A2D09">
        <w:rPr>
          <w:rFonts w:asciiTheme="minorHAnsi" w:hAnsiTheme="minorHAnsi" w:cs="Arial"/>
          <w:sz w:val="22"/>
          <w:szCs w:val="22"/>
        </w:rPr>
        <w:t xml:space="preserve">odzaju, formy wsparcia zgodnie z </w:t>
      </w:r>
      <w:r w:rsidR="00FF553A" w:rsidRPr="009A2D09">
        <w:rPr>
          <w:rFonts w:asciiTheme="minorHAnsi" w:hAnsiTheme="minorHAnsi" w:cs="Arial"/>
          <w:sz w:val="22"/>
          <w:szCs w:val="22"/>
        </w:rPr>
        <w:t>zaakceptowanym wnioskiem o dofinansowanie</w:t>
      </w:r>
      <w:r w:rsidRPr="009A2D09">
        <w:rPr>
          <w:rFonts w:asciiTheme="minorHAnsi" w:hAnsiTheme="minorHAnsi" w:cs="Arial"/>
          <w:sz w:val="22"/>
          <w:szCs w:val="22"/>
        </w:rPr>
        <w:t xml:space="preserve">. </w:t>
      </w:r>
    </w:p>
    <w:p w14:paraId="38E3BFA2" w14:textId="77777777" w:rsidR="0067303F" w:rsidRPr="009A2D09" w:rsidRDefault="0067303F" w:rsidP="008B0A01">
      <w:pPr>
        <w:numPr>
          <w:ilvl w:val="0"/>
          <w:numId w:val="2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Przekazanie środków oraz realizacja mobilności odbywać się będzie zgodnie z zapisami zawartej umowy Uczestnika z Uczelnią.</w:t>
      </w:r>
    </w:p>
    <w:p w14:paraId="143B8C16" w14:textId="77777777" w:rsidR="00D75D21" w:rsidRPr="009A2D09" w:rsidRDefault="00D75D21" w:rsidP="00A53ABF">
      <w:pPr>
        <w:spacing w:after="40" w:line="259" w:lineRule="auto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14:paraId="4B79E07D" w14:textId="77777777" w:rsidR="00D75D21" w:rsidRPr="00510431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</w:t>
      </w:r>
      <w:r w:rsid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>7</w:t>
      </w:r>
    </w:p>
    <w:p w14:paraId="1DA5F39A" w14:textId="77777777" w:rsidR="00526A5C" w:rsidRPr="00D75D21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10431">
        <w:rPr>
          <w:rFonts w:asciiTheme="minorHAnsi" w:eastAsia="Calibri" w:hAnsiTheme="minorHAnsi" w:cs="Arial"/>
          <w:b/>
          <w:sz w:val="22"/>
          <w:szCs w:val="22"/>
          <w:lang w:eastAsia="en-US"/>
        </w:rPr>
        <w:t>[Uprawnienia i obowiązki</w:t>
      </w:r>
      <w:r w:rsidRPr="00510431">
        <w:rPr>
          <w:rFonts w:asciiTheme="minorHAnsi" w:hAnsiTheme="minorHAnsi"/>
          <w:b/>
          <w:sz w:val="22"/>
          <w:szCs w:val="22"/>
        </w:rPr>
        <w:t xml:space="preserve"> </w:t>
      </w:r>
      <w:r w:rsidRPr="00D75D21">
        <w:rPr>
          <w:rFonts w:asciiTheme="minorHAnsi" w:hAnsiTheme="minorHAnsi" w:cs="Arial"/>
          <w:b/>
          <w:sz w:val="22"/>
          <w:szCs w:val="22"/>
        </w:rPr>
        <w:t>Zespołu Projektowego</w:t>
      </w:r>
      <w:r w:rsidRPr="00510431">
        <w:rPr>
          <w:rFonts w:asciiTheme="minorHAnsi" w:hAnsiTheme="minorHAnsi" w:cs="Arial"/>
          <w:b/>
          <w:sz w:val="22"/>
          <w:szCs w:val="22"/>
        </w:rPr>
        <w:t>]</w:t>
      </w:r>
    </w:p>
    <w:p w14:paraId="027F2CC5" w14:textId="77777777" w:rsidR="00D75D21" w:rsidRPr="00D75D21" w:rsidRDefault="00D75D21" w:rsidP="008B0A01">
      <w:pPr>
        <w:numPr>
          <w:ilvl w:val="0"/>
          <w:numId w:val="1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75D21">
        <w:rPr>
          <w:rFonts w:asciiTheme="minorHAnsi" w:hAnsiTheme="minorHAnsi" w:cs="Arial"/>
          <w:sz w:val="22"/>
          <w:szCs w:val="22"/>
        </w:rPr>
        <w:t>Zesp</w:t>
      </w:r>
      <w:r w:rsidR="00526A5C" w:rsidRPr="00510431">
        <w:rPr>
          <w:rFonts w:asciiTheme="minorHAnsi" w:hAnsiTheme="minorHAnsi" w:cs="Arial"/>
          <w:sz w:val="22"/>
          <w:szCs w:val="22"/>
        </w:rPr>
        <w:t>ół</w:t>
      </w:r>
      <w:r w:rsidRPr="00D75D21">
        <w:rPr>
          <w:rFonts w:asciiTheme="minorHAnsi" w:hAnsiTheme="minorHAnsi" w:cs="Arial"/>
          <w:sz w:val="22"/>
          <w:szCs w:val="22"/>
        </w:rPr>
        <w:t xml:space="preserve"> Projektow</w:t>
      </w:r>
      <w:r w:rsidR="00526A5C" w:rsidRPr="00510431">
        <w:rPr>
          <w:rFonts w:asciiTheme="minorHAnsi" w:hAnsiTheme="minorHAnsi" w:cs="Arial"/>
          <w:sz w:val="22"/>
          <w:szCs w:val="22"/>
        </w:rPr>
        <w:t>y</w:t>
      </w:r>
      <w:r w:rsidRPr="00D75D21">
        <w:rPr>
          <w:rFonts w:asciiTheme="minorHAnsi" w:hAnsiTheme="minorHAnsi" w:cs="Arial"/>
          <w:sz w:val="22"/>
          <w:szCs w:val="22"/>
        </w:rPr>
        <w:t xml:space="preserve"> jest uprawnion</w:t>
      </w:r>
      <w:r w:rsidR="00526A5C" w:rsidRPr="00510431">
        <w:rPr>
          <w:rFonts w:asciiTheme="minorHAnsi" w:hAnsiTheme="minorHAnsi" w:cs="Arial"/>
          <w:sz w:val="22"/>
          <w:szCs w:val="22"/>
        </w:rPr>
        <w:t>y</w:t>
      </w:r>
      <w:r w:rsidRPr="00D75D21">
        <w:rPr>
          <w:rFonts w:asciiTheme="minorHAnsi" w:hAnsiTheme="minorHAnsi" w:cs="Arial"/>
          <w:sz w:val="22"/>
          <w:szCs w:val="22"/>
        </w:rPr>
        <w:t xml:space="preserve"> do sprawowania kontroli nad przebiegiem każdego rodzaju wsparcia, w tym do zasięgania pisemnych lub telefonicznych informacji o jego przebiegu.</w:t>
      </w:r>
    </w:p>
    <w:p w14:paraId="63E54287" w14:textId="77777777" w:rsidR="00D75D21" w:rsidRPr="008B0A01" w:rsidRDefault="00526A5C" w:rsidP="008B0A01">
      <w:pPr>
        <w:numPr>
          <w:ilvl w:val="0"/>
          <w:numId w:val="1"/>
        </w:numPr>
        <w:tabs>
          <w:tab w:val="clear" w:pos="0"/>
        </w:tabs>
        <w:suppressAutoHyphens/>
        <w:spacing w:after="40" w:line="259" w:lineRule="auto"/>
        <w:ind w:left="567" w:hanging="425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D75D21">
        <w:rPr>
          <w:rFonts w:asciiTheme="minorHAnsi" w:hAnsiTheme="minorHAnsi" w:cs="Arial"/>
          <w:sz w:val="22"/>
          <w:szCs w:val="22"/>
        </w:rPr>
        <w:t>Zesp</w:t>
      </w:r>
      <w:r w:rsidRPr="002C0F66">
        <w:rPr>
          <w:rFonts w:asciiTheme="minorHAnsi" w:hAnsiTheme="minorHAnsi" w:cs="Arial"/>
          <w:sz w:val="22"/>
          <w:szCs w:val="22"/>
        </w:rPr>
        <w:t>ół</w:t>
      </w:r>
      <w:r w:rsidRPr="00D75D21">
        <w:rPr>
          <w:rFonts w:asciiTheme="minorHAnsi" w:hAnsiTheme="minorHAnsi" w:cs="Arial"/>
          <w:sz w:val="22"/>
          <w:szCs w:val="22"/>
        </w:rPr>
        <w:t xml:space="preserve"> Projektow</w:t>
      </w:r>
      <w:r w:rsidRPr="002C0F66">
        <w:rPr>
          <w:rFonts w:asciiTheme="minorHAnsi" w:hAnsiTheme="minorHAnsi" w:cs="Arial"/>
          <w:sz w:val="22"/>
          <w:szCs w:val="22"/>
        </w:rPr>
        <w:t>y</w:t>
      </w:r>
      <w:r w:rsidRPr="00D75D21">
        <w:rPr>
          <w:rFonts w:asciiTheme="minorHAnsi" w:hAnsiTheme="minorHAnsi" w:cs="Arial"/>
          <w:sz w:val="22"/>
          <w:szCs w:val="22"/>
        </w:rPr>
        <w:t xml:space="preserve"> </w:t>
      </w:r>
      <w:r w:rsidR="00D75D21" w:rsidRPr="00D75D21">
        <w:rPr>
          <w:rFonts w:asciiTheme="minorHAnsi" w:hAnsiTheme="minorHAnsi" w:cs="Arial"/>
          <w:sz w:val="22"/>
          <w:szCs w:val="22"/>
        </w:rPr>
        <w:t>zobowiązan</w:t>
      </w:r>
      <w:r w:rsidRPr="002C0F66">
        <w:rPr>
          <w:rFonts w:asciiTheme="minorHAnsi" w:hAnsiTheme="minorHAnsi" w:cs="Arial"/>
          <w:sz w:val="22"/>
          <w:szCs w:val="22"/>
        </w:rPr>
        <w:t>y</w:t>
      </w:r>
      <w:r w:rsidR="00D75D21" w:rsidRPr="00D75D21">
        <w:rPr>
          <w:rFonts w:asciiTheme="minorHAnsi" w:hAnsiTheme="minorHAnsi" w:cs="Arial"/>
          <w:sz w:val="22"/>
          <w:szCs w:val="22"/>
        </w:rPr>
        <w:t xml:space="preserve"> jest do przechowywania wszystkich oryginalnych dokumentów potwierdzających </w:t>
      </w:r>
      <w:r w:rsidR="00D75D21" w:rsidRPr="008B0A01">
        <w:rPr>
          <w:rFonts w:asciiTheme="minorHAnsi" w:hAnsiTheme="minorHAnsi" w:cs="Arial"/>
          <w:sz w:val="22"/>
          <w:szCs w:val="22"/>
        </w:rPr>
        <w:t>realizację projektu do dnia 30 czerwca 2029 r.</w:t>
      </w:r>
    </w:p>
    <w:p w14:paraId="6D362164" w14:textId="77777777" w:rsidR="00526A5C" w:rsidRPr="0059752D" w:rsidRDefault="00526A5C" w:rsidP="00A53ABF">
      <w:pPr>
        <w:spacing w:after="40" w:line="259" w:lineRule="auto"/>
        <w:jc w:val="both"/>
        <w:rPr>
          <w:rFonts w:asciiTheme="minorHAnsi" w:eastAsia="Calibri" w:hAnsiTheme="minorHAnsi" w:cs="Arial"/>
          <w:b/>
          <w:color w:val="FF0000"/>
          <w:sz w:val="22"/>
          <w:szCs w:val="22"/>
          <w:lang w:eastAsia="en-US"/>
        </w:rPr>
      </w:pPr>
    </w:p>
    <w:p w14:paraId="50ABDCD5" w14:textId="77777777" w:rsidR="00526A5C" w:rsidRPr="007F1523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b/>
          <w:sz w:val="22"/>
          <w:szCs w:val="22"/>
          <w:lang w:eastAsia="en-US"/>
        </w:rPr>
        <w:t>§</w:t>
      </w:r>
      <w:r w:rsid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>8</w:t>
      </w:r>
    </w:p>
    <w:p w14:paraId="6C43B99C" w14:textId="77777777" w:rsidR="00526A5C" w:rsidRPr="007F1523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b/>
          <w:sz w:val="22"/>
          <w:szCs w:val="22"/>
          <w:lang w:eastAsia="en-US"/>
        </w:rPr>
        <w:t>[Przetwarzanie danych osobowych]</w:t>
      </w:r>
    </w:p>
    <w:p w14:paraId="7D347487" w14:textId="77777777" w:rsidR="00526A5C" w:rsidRPr="007F1523" w:rsidRDefault="00526A5C" w:rsidP="00A53ABF">
      <w:pPr>
        <w:spacing w:after="40" w:line="259" w:lineRule="auto"/>
        <w:ind w:left="567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 xml:space="preserve">Poprzez zgłoszenie udziału w Projekcie Uczestnik/czka wyraża zgodę na przetwarzanie danych osobowych, zawartych w formularzu rekrutacyjnym przez Beneficjenta, zgodnie z art. 6 ust. 1 lit. c) oraz art. 9 ust. 2 lit g) Rozporządzenia Parlamentu Europejskiego i Rady (UE) 2016/679. Jednocześnie Uczestnicy przyjmują do wiadomości, że administratorem danych osobowych </w:t>
      </w:r>
      <w:r w:rsidR="009A2D09" w:rsidRPr="009A2D09">
        <w:rPr>
          <w:rFonts w:asciiTheme="minorHAnsi" w:eastAsia="Calibri" w:hAnsiTheme="minorHAnsi" w:cs="Arial"/>
          <w:sz w:val="22"/>
          <w:szCs w:val="22"/>
          <w:lang w:eastAsia="en-US"/>
        </w:rPr>
        <w:t xml:space="preserve">jest Fundacja Rozwoju Systemu Edukacji z siedzibą w Warszawie, adres: Aleje Jerozolimskie 142A, 02-305 Warszawa. Z Administratorem danych można się skontaktować poprzez adres e-mailowy: iod@frse.org.pl lub pisemnie przekazując korespondencję </w:t>
      </w:r>
      <w:r w:rsidR="009A2D09">
        <w:rPr>
          <w:rFonts w:asciiTheme="minorHAnsi" w:eastAsia="Calibri" w:hAnsiTheme="minorHAnsi" w:cs="Arial"/>
          <w:sz w:val="22"/>
          <w:szCs w:val="22"/>
          <w:lang w:eastAsia="en-US"/>
        </w:rPr>
        <w:t>na adres siedziby Administratora</w:t>
      </w: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>.</w:t>
      </w:r>
      <w:r w:rsidR="009A2D09">
        <w:rPr>
          <w:rFonts w:asciiTheme="minorHAnsi" w:eastAsia="Calibri" w:hAnsiTheme="minorHAnsi" w:cs="Arial"/>
          <w:sz w:val="22"/>
          <w:szCs w:val="22"/>
          <w:lang w:eastAsia="en-US"/>
        </w:rPr>
        <w:t xml:space="preserve"> Uczestnikowi projektu przysługują </w:t>
      </w:r>
      <w:r w:rsidR="009A2D09" w:rsidRPr="009A2D09">
        <w:rPr>
          <w:rFonts w:asciiTheme="minorHAnsi" w:eastAsia="Calibri" w:hAnsiTheme="minorHAnsi" w:cs="Arial"/>
          <w:sz w:val="22"/>
          <w:szCs w:val="22"/>
          <w:lang w:eastAsia="en-US"/>
        </w:rPr>
        <w:t>następujące uprawnienia: prawo dostępu do swoich danych osobowych, prawo żądania ich sprostowania, usunięcia lub ograniczenia ich przetwarzania</w:t>
      </w:r>
      <w:r w:rsidR="009A2D09">
        <w:rPr>
          <w:rFonts w:asciiTheme="minorHAnsi" w:eastAsia="Calibri" w:hAnsiTheme="minorHAnsi" w:cs="Arial"/>
          <w:sz w:val="22"/>
          <w:szCs w:val="22"/>
          <w:lang w:eastAsia="en-US"/>
        </w:rPr>
        <w:t>.</w:t>
      </w: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9A2D09">
        <w:rPr>
          <w:rFonts w:asciiTheme="minorHAnsi" w:eastAsia="Calibri" w:hAnsiTheme="minorHAnsi" w:cs="Arial"/>
          <w:sz w:val="22"/>
          <w:szCs w:val="22"/>
          <w:lang w:eastAsia="en-US"/>
        </w:rPr>
        <w:t>D</w:t>
      </w:r>
      <w:r w:rsidR="009A2D09" w:rsidRPr="009A2D09">
        <w:rPr>
          <w:rFonts w:asciiTheme="minorHAnsi" w:eastAsia="Calibri" w:hAnsiTheme="minorHAnsi" w:cs="Arial"/>
          <w:sz w:val="22"/>
          <w:szCs w:val="22"/>
          <w:lang w:eastAsia="en-US"/>
        </w:rPr>
        <w:t xml:space="preserve">ane osobowe będę przetwarzane wyłącznie w celu realizacji projektu, w szczególności potwierdzenia kwalifikowalności wydatków, udzielenia wsparcia, monitoringu, ewaluacji, kontroli, audytu i sprawozdawczości oraz działań </w:t>
      </w:r>
      <w:r w:rsidR="009A2D09" w:rsidRPr="009A2D09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>informacyjno-promocyjnych w ramach Programu Edukacja, Komponent II – Mobilność w szkolnictwie wyższym.</w:t>
      </w:r>
      <w:r w:rsidR="009A2D09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9A2D09" w:rsidRPr="009A2D09">
        <w:rPr>
          <w:rFonts w:asciiTheme="minorHAnsi" w:eastAsia="Calibri" w:hAnsiTheme="minorHAnsi" w:cs="Arial"/>
          <w:sz w:val="22"/>
          <w:szCs w:val="22"/>
          <w:lang w:eastAsia="en-US"/>
        </w:rPr>
        <w:t>Podanie danych jest wymogiem niezbędnym do realizacji ww. celu, o którym mowa w pkt. 4. Konsekwencje niepodania danych osobowych wynikają z przepisów prawa, w tym uniemożliwiają udział w projekcie realizowanym w ramach Programu Edukacja, Komponent II – Mobilność w szkolnictwie wyższym.</w:t>
      </w:r>
    </w:p>
    <w:p w14:paraId="60675DBF" w14:textId="77777777" w:rsidR="00526A5C" w:rsidRPr="007F1523" w:rsidRDefault="00526A5C" w:rsidP="00A53ABF">
      <w:pPr>
        <w:spacing w:after="40" w:line="259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78844838" w14:textId="77777777" w:rsidR="00D75D21" w:rsidRPr="007F1523" w:rsidRDefault="00D75D21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§</w:t>
      </w:r>
      <w:r w:rsidR="00A53ABF">
        <w:rPr>
          <w:rFonts w:asciiTheme="minorHAnsi" w:eastAsia="Calibri" w:hAnsiTheme="minorHAnsi" w:cs="Arial"/>
          <w:b/>
          <w:sz w:val="22"/>
          <w:szCs w:val="22"/>
          <w:lang w:eastAsia="en-US"/>
        </w:rPr>
        <w:t>9</w:t>
      </w:r>
    </w:p>
    <w:p w14:paraId="05D37266" w14:textId="77777777" w:rsidR="00526A5C" w:rsidRPr="00D75D21" w:rsidRDefault="00526A5C" w:rsidP="00A53ABF">
      <w:pPr>
        <w:spacing w:after="40" w:line="259" w:lineRule="auto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b/>
          <w:sz w:val="22"/>
          <w:szCs w:val="22"/>
          <w:lang w:eastAsia="en-US"/>
        </w:rPr>
        <w:t>[</w:t>
      </w:r>
      <w:r w:rsidRPr="00D75D21">
        <w:rPr>
          <w:rFonts w:asciiTheme="minorHAnsi" w:eastAsia="Calibri" w:hAnsiTheme="minorHAnsi" w:cs="Arial"/>
          <w:b/>
          <w:sz w:val="22"/>
          <w:szCs w:val="22"/>
          <w:lang w:eastAsia="en-US"/>
        </w:rPr>
        <w:t>Postanowienia końcowe</w:t>
      </w:r>
      <w:r w:rsidRPr="007F1523">
        <w:rPr>
          <w:rFonts w:asciiTheme="minorHAnsi" w:eastAsia="Calibri" w:hAnsiTheme="minorHAnsi" w:cs="Arial"/>
          <w:b/>
          <w:sz w:val="22"/>
          <w:szCs w:val="22"/>
          <w:lang w:eastAsia="en-US"/>
        </w:rPr>
        <w:t>]</w:t>
      </w:r>
    </w:p>
    <w:p w14:paraId="1BD875D1" w14:textId="04531D6B" w:rsidR="00D75D21" w:rsidRPr="007F1523" w:rsidRDefault="00526A5C" w:rsidP="008B0A01">
      <w:pPr>
        <w:pStyle w:val="Akapitzlist"/>
        <w:numPr>
          <w:ilvl w:val="3"/>
          <w:numId w:val="1"/>
        </w:numPr>
        <w:tabs>
          <w:tab w:val="clear" w:pos="0"/>
        </w:tabs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>Regulamin wchodzi w życie z dniem 1</w:t>
      </w:r>
      <w:r w:rsidR="00370B33">
        <w:rPr>
          <w:rFonts w:asciiTheme="minorHAnsi" w:eastAsia="Calibri" w:hAnsiTheme="minorHAnsi" w:cs="Arial"/>
          <w:sz w:val="22"/>
          <w:szCs w:val="22"/>
          <w:lang w:eastAsia="en-US"/>
        </w:rPr>
        <w:t>lipca</w:t>
      </w: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 xml:space="preserve"> 202</w:t>
      </w:r>
      <w:r w:rsidR="00370B33">
        <w:rPr>
          <w:rFonts w:asciiTheme="minorHAnsi" w:eastAsia="Calibri" w:hAnsiTheme="minorHAnsi" w:cs="Arial"/>
          <w:sz w:val="22"/>
          <w:szCs w:val="22"/>
          <w:lang w:eastAsia="en-US"/>
        </w:rPr>
        <w:t>3</w:t>
      </w: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 xml:space="preserve"> roku i obowiązuje do końca realizacji Projektu.</w:t>
      </w:r>
    </w:p>
    <w:p w14:paraId="5A2CA6B2" w14:textId="77777777" w:rsidR="00526A5C" w:rsidRPr="007F1523" w:rsidRDefault="007F1523" w:rsidP="008B0A01">
      <w:pPr>
        <w:pStyle w:val="Akapitzlist"/>
        <w:numPr>
          <w:ilvl w:val="3"/>
          <w:numId w:val="1"/>
        </w:numPr>
        <w:tabs>
          <w:tab w:val="clear" w:pos="0"/>
        </w:tabs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>Zespół Projektowy</w:t>
      </w:r>
      <w:r w:rsidR="00526A5C" w:rsidRPr="007F1523">
        <w:rPr>
          <w:rFonts w:asciiTheme="minorHAnsi" w:eastAsia="Calibri" w:hAnsiTheme="minorHAnsi" w:cs="Arial"/>
          <w:sz w:val="22"/>
          <w:szCs w:val="22"/>
          <w:lang w:eastAsia="en-US"/>
        </w:rPr>
        <w:t xml:space="preserve"> zastrzega sobie prawo do zmiany Regulaminu.</w:t>
      </w:r>
    </w:p>
    <w:p w14:paraId="7E03D759" w14:textId="77777777" w:rsidR="00D75D21" w:rsidRPr="007F1523" w:rsidRDefault="00D75D21" w:rsidP="008B0A01">
      <w:pPr>
        <w:pStyle w:val="Akapitzlist"/>
        <w:numPr>
          <w:ilvl w:val="0"/>
          <w:numId w:val="1"/>
        </w:numPr>
        <w:tabs>
          <w:tab w:val="clear" w:pos="0"/>
        </w:tabs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>W sprawach nieuregulowanych niniejszym regulaminie zastosowania mają przepisy kodeksu cywilnego oraz inne powszechnie obowiązujące przepisy prawa.</w:t>
      </w:r>
    </w:p>
    <w:p w14:paraId="7469659E" w14:textId="77777777" w:rsidR="00526A5C" w:rsidRPr="007F1523" w:rsidRDefault="00526A5C" w:rsidP="008B0A01">
      <w:pPr>
        <w:pStyle w:val="Akapitzlist"/>
        <w:numPr>
          <w:ilvl w:val="0"/>
          <w:numId w:val="1"/>
        </w:numPr>
        <w:tabs>
          <w:tab w:val="clear" w:pos="0"/>
        </w:tabs>
        <w:spacing w:after="40" w:line="259" w:lineRule="auto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F1523">
        <w:rPr>
          <w:rFonts w:asciiTheme="minorHAnsi" w:eastAsia="Calibri" w:hAnsiTheme="minorHAnsi" w:cs="Arial"/>
          <w:sz w:val="22"/>
          <w:szCs w:val="22"/>
          <w:lang w:eastAsia="en-US"/>
        </w:rPr>
        <w:t>Regulamin jest dostępny na stronie internetowej projektu oraz w biurze Zespołu Projektowego.</w:t>
      </w:r>
    </w:p>
    <w:p w14:paraId="0A6C5B02" w14:textId="77777777" w:rsidR="00D75D21" w:rsidRPr="00D75D21" w:rsidRDefault="00D75D21" w:rsidP="00A53ABF">
      <w:pPr>
        <w:spacing w:after="40" w:line="259" w:lineRule="auto"/>
        <w:jc w:val="both"/>
        <w:rPr>
          <w:rFonts w:asciiTheme="minorHAnsi" w:eastAsia="Calibri" w:hAnsiTheme="minorHAnsi" w:cs="Arial"/>
          <w:spacing w:val="36"/>
          <w:sz w:val="22"/>
          <w:szCs w:val="22"/>
          <w:lang w:eastAsia="en-US"/>
        </w:rPr>
      </w:pPr>
    </w:p>
    <w:p w14:paraId="79EC11E6" w14:textId="77777777" w:rsidR="00557156" w:rsidRPr="007F1523" w:rsidRDefault="00557156" w:rsidP="00A53ABF">
      <w:pPr>
        <w:jc w:val="both"/>
        <w:rPr>
          <w:rFonts w:asciiTheme="minorHAnsi" w:hAnsiTheme="minorHAnsi" w:cs="Arial"/>
          <w:sz w:val="22"/>
          <w:szCs w:val="22"/>
        </w:rPr>
      </w:pPr>
    </w:p>
    <w:sectPr w:rsidR="00557156" w:rsidRPr="007F1523" w:rsidSect="000974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964" w:bottom="3260" w:left="1134" w:header="144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FB1E" w14:textId="77777777" w:rsidR="00780F21" w:rsidRDefault="00780F21" w:rsidP="004454A5">
      <w:r>
        <w:separator/>
      </w:r>
    </w:p>
  </w:endnote>
  <w:endnote w:type="continuationSeparator" w:id="0">
    <w:p w14:paraId="2606E175" w14:textId="77777777" w:rsidR="00780F21" w:rsidRDefault="00780F21" w:rsidP="004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B4B3F" w14:textId="77777777" w:rsidR="000E0F11" w:rsidRDefault="000E0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629112" w14:textId="77777777" w:rsidR="000E0F11" w:rsidRDefault="000E0F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B11" w14:textId="77777777" w:rsidR="000E0F11" w:rsidRPr="00751CC7" w:rsidRDefault="000E0F11" w:rsidP="0009742A">
    <w:pPr>
      <w:pStyle w:val="Stopka"/>
      <w:framePr w:wrap="around" w:vAnchor="page" w:hAnchor="page" w:x="10895" w:y="15704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404FD4">
      <w:rPr>
        <w:rStyle w:val="Numerstrony"/>
        <w:rFonts w:ascii="Arial" w:hAnsi="Arial"/>
        <w:b/>
        <w:noProof/>
        <w:color w:val="5D6A70"/>
        <w:sz w:val="15"/>
      </w:rPr>
      <w:t>6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14:paraId="7C7E59FE" w14:textId="77777777" w:rsidR="000E0F11" w:rsidRDefault="000E0F11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DC76EC9" wp14:editId="16F20245">
          <wp:simplePos x="0" y="0"/>
          <wp:positionH relativeFrom="page">
            <wp:posOffset>5868670</wp:posOffset>
          </wp:positionH>
          <wp:positionV relativeFrom="page">
            <wp:posOffset>9480246</wp:posOffset>
          </wp:positionV>
          <wp:extent cx="1079500" cy="360045"/>
          <wp:effectExtent l="0" t="0" r="635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8F2C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color w:val="5D6A7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FF062F" wp14:editId="7A9D098B">
              <wp:simplePos x="0" y="0"/>
              <wp:positionH relativeFrom="column">
                <wp:posOffset>-131694</wp:posOffset>
              </wp:positionH>
              <wp:positionV relativeFrom="paragraph">
                <wp:posOffset>-671582</wp:posOffset>
              </wp:positionV>
              <wp:extent cx="4651513" cy="428625"/>
              <wp:effectExtent l="0" t="0" r="15875" b="2857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513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B2220" w14:textId="77777777" w:rsidR="000E0F11" w:rsidRPr="00335972" w:rsidRDefault="000E0F11" w:rsidP="000E0F11">
                          <w:pPr>
                            <w:rPr>
                              <w:sz w:val="32"/>
                              <w:lang w:val="en-US"/>
                            </w:rPr>
                          </w:pP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Working Together for a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70C0"/>
                              <w:sz w:val="22"/>
                              <w:lang w:val="en-US"/>
                            </w:rPr>
                            <w:t>Green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,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22"/>
                              <w:lang w:val="en-US"/>
                            </w:rPr>
                            <w:t>Competitive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and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B050"/>
                              <w:sz w:val="22"/>
                              <w:lang w:val="en-US"/>
                            </w:rPr>
                            <w:t>Inclusive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Europe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FF06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10.35pt;margin-top:-52.9pt;width:36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" strokecolor="white">
              <v:textbox>
                <w:txbxContent>
                  <w:p w14:paraId="2D6B2220" w14:textId="77777777" w:rsidR="000E0F11" w:rsidRPr="00335972" w:rsidRDefault="000E0F11" w:rsidP="000E0F11">
                    <w:pPr>
                      <w:rPr>
                        <w:sz w:val="32"/>
                        <w:lang w:val="en-US"/>
                      </w:rPr>
                    </w:pP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Working Together for a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70C0"/>
                        <w:sz w:val="22"/>
                        <w:lang w:val="en-US"/>
                      </w:rPr>
                      <w:t>Green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,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FF0000"/>
                        <w:sz w:val="22"/>
                        <w:lang w:val="en-US"/>
                      </w:rPr>
                      <w:t>Competitive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and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B050"/>
                        <w:sz w:val="22"/>
                        <w:lang w:val="en-US"/>
                      </w:rPr>
                      <w:t>Inclusive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Europe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color w:val="5D6A70"/>
        <w:sz w:val="15"/>
      </w:rPr>
      <w:t>Uniwersytet Marii Curie Skłodowskiej</w:t>
    </w:r>
  </w:p>
  <w:p w14:paraId="342841FC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 w:rsidRPr="00751CC7">
      <w:rPr>
        <w:noProof/>
        <w:color w:val="5D6A70"/>
      </w:rPr>
      <w:drawing>
        <wp:anchor distT="0" distB="0" distL="114300" distR="114300" simplePos="0" relativeHeight="251661312" behindDoc="0" locked="0" layoutInCell="0" allowOverlap="1" wp14:anchorId="75841CD8" wp14:editId="68537457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CC7">
      <w:rPr>
        <w:rFonts w:ascii="Arial" w:hAnsi="Arial"/>
        <w:color w:val="5D6A70"/>
        <w:sz w:val="15"/>
      </w:rPr>
      <w:t xml:space="preserve">pl. Marii Curie-Skłodowskiej 5, 20-031 Lublin, </w:t>
    </w:r>
  </w:p>
  <w:p w14:paraId="07782077" w14:textId="77777777" w:rsidR="000E0F11" w:rsidRPr="003D4C34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B53EAC">
      <w:rPr>
        <w:rFonts w:ascii="Arial" w:hAnsi="Arial"/>
        <w:color w:val="5D6A70"/>
        <w:sz w:val="15"/>
        <w:lang w:val="en-US"/>
      </w:rPr>
      <w:t xml:space="preserve">www.umcs.lublin.pl, </w:t>
    </w:r>
    <w:r>
      <w:rPr>
        <w:rFonts w:ascii="Arial" w:hAnsi="Arial"/>
        <w:color w:val="5D6A70"/>
        <w:sz w:val="15"/>
        <w:lang w:val="fr-FR"/>
      </w:rPr>
      <w:t>tel./fax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54 61</w:t>
    </w:r>
  </w:p>
  <w:p w14:paraId="26822663" w14:textId="77777777" w:rsidR="000E0F11" w:rsidRPr="00751CC7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>
      <w:rPr>
        <w:rFonts w:ascii="Arial" w:hAnsi="Arial"/>
        <w:color w:val="5D6A70"/>
        <w:sz w:val="15"/>
        <w:lang w:val="it-IT"/>
      </w:rPr>
      <w:t>e-mail: ksztalcenie.ustawiczne@poczta.umcs.lublin.pl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7D03D" w14:textId="77777777" w:rsidR="00780F21" w:rsidRDefault="00780F21" w:rsidP="004454A5">
      <w:r>
        <w:separator/>
      </w:r>
    </w:p>
  </w:footnote>
  <w:footnote w:type="continuationSeparator" w:id="0">
    <w:p w14:paraId="7E4814AC" w14:textId="77777777" w:rsidR="00780F21" w:rsidRDefault="00780F21" w:rsidP="0044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85CC1" w14:textId="77777777" w:rsidR="000E0F11" w:rsidRDefault="000E0F11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6976B8D9" wp14:editId="0A9E4908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647678" wp14:editId="2A21CD23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A320C5" w14:textId="77777777" w:rsidR="000E0F11" w:rsidRDefault="000E0F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64767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0o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DSKT0o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4A320C5" w14:textId="77777777" w:rsidR="000E0F11" w:rsidRDefault="000E0F1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F6258" w14:textId="77777777" w:rsidR="000E0F11" w:rsidRPr="00751CC7" w:rsidRDefault="00335972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6432" behindDoc="1" locked="1" layoutInCell="1" allowOverlap="1" wp14:anchorId="5D4DBE3F" wp14:editId="0A886509">
          <wp:simplePos x="0" y="0"/>
          <wp:positionH relativeFrom="page">
            <wp:posOffset>116205</wp:posOffset>
          </wp:positionH>
          <wp:positionV relativeFrom="paragraph">
            <wp:posOffset>-871220</wp:posOffset>
          </wp:positionV>
          <wp:extent cx="2941955" cy="20243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11"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20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CB738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452D8C87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7F74DED2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41951EF1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10D0D8BF" w14:textId="77777777" w:rsidR="000E0F11" w:rsidRPr="00751CC7" w:rsidRDefault="000E0F11" w:rsidP="000E0F11">
    <w:pPr>
      <w:pStyle w:val="Nagwek"/>
      <w:rPr>
        <w:rFonts w:ascii="Arial" w:hAnsi="Arial"/>
        <w:b/>
        <w:color w:val="5D6A70"/>
        <w:sz w:val="15"/>
      </w:rPr>
    </w:pPr>
    <w:r w:rsidRPr="00751CC7">
      <w:rPr>
        <w:noProof/>
        <w:color w:val="5D6A7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D98BE32" wp14:editId="57C55948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A5E6E" w14:textId="77777777" w:rsidR="000E0F11" w:rsidRPr="00751CC7" w:rsidRDefault="000E0F11" w:rsidP="000E0F11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14:paraId="00E5555E" w14:textId="77777777" w:rsidR="000E0F11" w:rsidRPr="00751CC7" w:rsidRDefault="000E0F11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14:paraId="79089B7C" w14:textId="77777777" w:rsidR="000E0F11" w:rsidRPr="00751CC7" w:rsidRDefault="000E0F11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98BE32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428.65pt;margin-top:776.8pt;width:118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/n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C/C3+d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175A5E6E" w14:textId="77777777" w:rsidR="000E0F11" w:rsidRPr="00751CC7" w:rsidRDefault="000E0F11" w:rsidP="000E0F11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14:paraId="00E5555E" w14:textId="77777777" w:rsidR="000E0F11" w:rsidRPr="00751CC7" w:rsidRDefault="000E0F11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14:paraId="79089B7C" w14:textId="77777777" w:rsidR="000E0F11" w:rsidRPr="00751CC7" w:rsidRDefault="000E0F11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5D6"/>
    <w:multiLevelType w:val="multilevel"/>
    <w:tmpl w:val="437449B2"/>
    <w:lvl w:ilvl="0">
      <w:start w:val="1"/>
      <w:numFmt w:val="decimal"/>
      <w:lvlText w:val="%1)"/>
      <w:lvlJc w:val="left"/>
      <w:pPr>
        <w:tabs>
          <w:tab w:val="num" w:pos="-1136"/>
        </w:tabs>
        <w:ind w:left="-492" w:hanging="360"/>
      </w:pPr>
    </w:lvl>
    <w:lvl w:ilvl="1">
      <w:start w:val="1"/>
      <w:numFmt w:val="lowerLetter"/>
      <w:lvlText w:val="%2."/>
      <w:lvlJc w:val="left"/>
      <w:pPr>
        <w:tabs>
          <w:tab w:val="num" w:pos="-1136"/>
        </w:tabs>
        <w:ind w:left="664" w:hanging="360"/>
      </w:pPr>
    </w:lvl>
    <w:lvl w:ilvl="2">
      <w:start w:val="1"/>
      <w:numFmt w:val="lowerRoman"/>
      <w:lvlText w:val="%3."/>
      <w:lvlJc w:val="right"/>
      <w:pPr>
        <w:tabs>
          <w:tab w:val="num" w:pos="-1136"/>
        </w:tabs>
        <w:ind w:left="1384" w:hanging="180"/>
      </w:pPr>
    </w:lvl>
    <w:lvl w:ilvl="3">
      <w:start w:val="1"/>
      <w:numFmt w:val="decimal"/>
      <w:lvlText w:val="%4."/>
      <w:lvlJc w:val="left"/>
      <w:pPr>
        <w:tabs>
          <w:tab w:val="num" w:pos="-1136"/>
        </w:tabs>
        <w:ind w:left="2104" w:hanging="360"/>
      </w:pPr>
    </w:lvl>
    <w:lvl w:ilvl="4">
      <w:start w:val="1"/>
      <w:numFmt w:val="lowerLetter"/>
      <w:lvlText w:val="%5."/>
      <w:lvlJc w:val="left"/>
      <w:pPr>
        <w:tabs>
          <w:tab w:val="num" w:pos="-1136"/>
        </w:tabs>
        <w:ind w:left="2824" w:hanging="360"/>
      </w:pPr>
    </w:lvl>
    <w:lvl w:ilvl="5">
      <w:start w:val="1"/>
      <w:numFmt w:val="lowerRoman"/>
      <w:lvlText w:val="%6."/>
      <w:lvlJc w:val="right"/>
      <w:pPr>
        <w:tabs>
          <w:tab w:val="num" w:pos="-1136"/>
        </w:tabs>
        <w:ind w:left="3544" w:hanging="180"/>
      </w:pPr>
    </w:lvl>
    <w:lvl w:ilvl="6">
      <w:start w:val="1"/>
      <w:numFmt w:val="decimal"/>
      <w:lvlText w:val="%7."/>
      <w:lvlJc w:val="left"/>
      <w:pPr>
        <w:tabs>
          <w:tab w:val="num" w:pos="-1136"/>
        </w:tabs>
        <w:ind w:left="4264" w:hanging="360"/>
      </w:pPr>
    </w:lvl>
    <w:lvl w:ilvl="7">
      <w:start w:val="1"/>
      <w:numFmt w:val="lowerLetter"/>
      <w:lvlText w:val="%8."/>
      <w:lvlJc w:val="left"/>
      <w:pPr>
        <w:tabs>
          <w:tab w:val="num" w:pos="-1136"/>
        </w:tabs>
        <w:ind w:left="4984" w:hanging="360"/>
      </w:pPr>
    </w:lvl>
    <w:lvl w:ilvl="8">
      <w:start w:val="1"/>
      <w:numFmt w:val="lowerRoman"/>
      <w:lvlText w:val="%9."/>
      <w:lvlJc w:val="right"/>
      <w:pPr>
        <w:tabs>
          <w:tab w:val="num" w:pos="-1136"/>
        </w:tabs>
        <w:ind w:left="5704" w:hanging="180"/>
      </w:pPr>
    </w:lvl>
  </w:abstractNum>
  <w:abstractNum w:abstractNumId="1">
    <w:nsid w:val="0B2F3DBA"/>
    <w:multiLevelType w:val="multilevel"/>
    <w:tmpl w:val="5128D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4D7321"/>
    <w:multiLevelType w:val="hybridMultilevel"/>
    <w:tmpl w:val="300C85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A4DDF"/>
    <w:multiLevelType w:val="hybridMultilevel"/>
    <w:tmpl w:val="BA586F78"/>
    <w:lvl w:ilvl="0" w:tplc="E78E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E08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1418"/>
    <w:multiLevelType w:val="hybridMultilevel"/>
    <w:tmpl w:val="15800F72"/>
    <w:lvl w:ilvl="0" w:tplc="1996E12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9E5174B"/>
    <w:multiLevelType w:val="multilevel"/>
    <w:tmpl w:val="4104C5E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A0F7555"/>
    <w:multiLevelType w:val="hybridMultilevel"/>
    <w:tmpl w:val="376484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9E5D63"/>
    <w:multiLevelType w:val="multilevel"/>
    <w:tmpl w:val="D5DCF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AB47354"/>
    <w:multiLevelType w:val="hybridMultilevel"/>
    <w:tmpl w:val="A0380858"/>
    <w:lvl w:ilvl="0" w:tplc="7A8CED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4B95DD2"/>
    <w:multiLevelType w:val="hybridMultilevel"/>
    <w:tmpl w:val="E132E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735610"/>
    <w:multiLevelType w:val="hybridMultilevel"/>
    <w:tmpl w:val="E9D64E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93004B"/>
    <w:multiLevelType w:val="hybridMultilevel"/>
    <w:tmpl w:val="1BFE39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F494F12"/>
    <w:multiLevelType w:val="hybridMultilevel"/>
    <w:tmpl w:val="376484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9304E4"/>
    <w:multiLevelType w:val="hybridMultilevel"/>
    <w:tmpl w:val="81B8DE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D35F07"/>
    <w:multiLevelType w:val="hybridMultilevel"/>
    <w:tmpl w:val="92B49D8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E4E7500"/>
    <w:multiLevelType w:val="hybridMultilevel"/>
    <w:tmpl w:val="88ACD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4C3D3B"/>
    <w:multiLevelType w:val="hybridMultilevel"/>
    <w:tmpl w:val="5048571A"/>
    <w:lvl w:ilvl="0" w:tplc="E78E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8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1"/>
    <w:rsid w:val="000161E9"/>
    <w:rsid w:val="000617BC"/>
    <w:rsid w:val="0006717F"/>
    <w:rsid w:val="00071791"/>
    <w:rsid w:val="0009742A"/>
    <w:rsid w:val="000A6DCB"/>
    <w:rsid w:val="000D3BBE"/>
    <w:rsid w:val="000E0F11"/>
    <w:rsid w:val="000F579A"/>
    <w:rsid w:val="001006D8"/>
    <w:rsid w:val="00173395"/>
    <w:rsid w:val="001A1E12"/>
    <w:rsid w:val="001A65C1"/>
    <w:rsid w:val="001D09F4"/>
    <w:rsid w:val="001E74DE"/>
    <w:rsid w:val="00262138"/>
    <w:rsid w:val="00264F4A"/>
    <w:rsid w:val="00282D5F"/>
    <w:rsid w:val="002A6E6D"/>
    <w:rsid w:val="002C0F66"/>
    <w:rsid w:val="002D15C0"/>
    <w:rsid w:val="00312F19"/>
    <w:rsid w:val="00335972"/>
    <w:rsid w:val="00347D59"/>
    <w:rsid w:val="00356171"/>
    <w:rsid w:val="00357DCA"/>
    <w:rsid w:val="00370B33"/>
    <w:rsid w:val="003E1624"/>
    <w:rsid w:val="00404FD4"/>
    <w:rsid w:val="0040573C"/>
    <w:rsid w:val="004433B5"/>
    <w:rsid w:val="004454A5"/>
    <w:rsid w:val="004B07A3"/>
    <w:rsid w:val="004F7F7F"/>
    <w:rsid w:val="00510431"/>
    <w:rsid w:val="005220B3"/>
    <w:rsid w:val="00526A5C"/>
    <w:rsid w:val="00557156"/>
    <w:rsid w:val="0059752D"/>
    <w:rsid w:val="005A6FD0"/>
    <w:rsid w:val="005B2179"/>
    <w:rsid w:val="00652414"/>
    <w:rsid w:val="00655851"/>
    <w:rsid w:val="0067303F"/>
    <w:rsid w:val="006C196E"/>
    <w:rsid w:val="00703BA1"/>
    <w:rsid w:val="007701C2"/>
    <w:rsid w:val="00780F21"/>
    <w:rsid w:val="0078488C"/>
    <w:rsid w:val="00786CC7"/>
    <w:rsid w:val="007E551C"/>
    <w:rsid w:val="007F0464"/>
    <w:rsid w:val="007F1523"/>
    <w:rsid w:val="00816D6D"/>
    <w:rsid w:val="00820622"/>
    <w:rsid w:val="008409BD"/>
    <w:rsid w:val="00863392"/>
    <w:rsid w:val="008A0F09"/>
    <w:rsid w:val="008B0A01"/>
    <w:rsid w:val="008D5F07"/>
    <w:rsid w:val="008E015A"/>
    <w:rsid w:val="00956D12"/>
    <w:rsid w:val="00966B74"/>
    <w:rsid w:val="009A2D09"/>
    <w:rsid w:val="009C2E41"/>
    <w:rsid w:val="009E5477"/>
    <w:rsid w:val="009F08D4"/>
    <w:rsid w:val="00A13381"/>
    <w:rsid w:val="00A33C83"/>
    <w:rsid w:val="00A53ABF"/>
    <w:rsid w:val="00A6398C"/>
    <w:rsid w:val="00A91648"/>
    <w:rsid w:val="00A945BA"/>
    <w:rsid w:val="00B15092"/>
    <w:rsid w:val="00B15EFB"/>
    <w:rsid w:val="00B26390"/>
    <w:rsid w:val="00B30832"/>
    <w:rsid w:val="00BB19E1"/>
    <w:rsid w:val="00BC1C02"/>
    <w:rsid w:val="00BC58F9"/>
    <w:rsid w:val="00C056D3"/>
    <w:rsid w:val="00C13BED"/>
    <w:rsid w:val="00C17E70"/>
    <w:rsid w:val="00C22E92"/>
    <w:rsid w:val="00C41ACA"/>
    <w:rsid w:val="00C75E5C"/>
    <w:rsid w:val="00C87436"/>
    <w:rsid w:val="00CE0815"/>
    <w:rsid w:val="00CF23E2"/>
    <w:rsid w:val="00D73029"/>
    <w:rsid w:val="00D75D21"/>
    <w:rsid w:val="00D81761"/>
    <w:rsid w:val="00DB0B48"/>
    <w:rsid w:val="00DD4DEF"/>
    <w:rsid w:val="00DE5619"/>
    <w:rsid w:val="00E15828"/>
    <w:rsid w:val="00E309D2"/>
    <w:rsid w:val="00EB0899"/>
    <w:rsid w:val="00F3104F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FB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D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D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D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D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C78F-1493-46FD-B80D-A78B9FF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 Katarzyna</dc:creator>
  <cp:lastModifiedBy>Niewiadomska Katarzyna</cp:lastModifiedBy>
  <cp:revision>2</cp:revision>
  <dcterms:created xsi:type="dcterms:W3CDTF">2023-07-25T11:10:00Z</dcterms:created>
  <dcterms:modified xsi:type="dcterms:W3CDTF">2023-07-25T11:10:00Z</dcterms:modified>
</cp:coreProperties>
</file>