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52"/>
          <w:lang w:val="pl-PL"/>
        </w:rPr>
      </w:pPr>
      <w:r>
        <w:rPr>
          <w:rFonts w:ascii="Verdana" w:hAnsi="Verdana"/>
          <w:b/>
          <w:sz w:val="52"/>
          <w:lang w:val="pl-PL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5431790</wp:posOffset>
            </wp:positionH>
            <wp:positionV relativeFrom="paragraph">
              <wp:posOffset>-17780</wp:posOffset>
            </wp:positionV>
            <wp:extent cx="1299845" cy="1000125"/>
            <wp:effectExtent l="0" t="0" r="0" b="0"/>
            <wp:wrapTight wrapText="bothSides">
              <wp:wrapPolygon edited="0">
                <wp:start x="-108" y="0"/>
                <wp:lineTo x="-108" y="21248"/>
                <wp:lineTo x="21165" y="21248"/>
                <wp:lineTo x="21165" y="0"/>
                <wp:lineTo x="-108" y="0"/>
              </wp:wrapPolygon>
            </wp:wrapTight>
            <wp:docPr id="1" name="Obraz 1" descr="http://www.erasmus.org.pl/sites/erasmus.org.pl/files/imagecache/news-content/e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erasmus.org.pl/sites/erasmus.org.pl/files/imagecache/news-content/e-layou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52"/>
          <w:lang w:val="pl-PL"/>
        </w:rPr>
        <w:t xml:space="preserve">PROGRAM ERASMUS+      </w:t>
      </w:r>
    </w:p>
    <w:p>
      <w:pPr>
        <w:pStyle w:val="Normal"/>
        <w:rPr>
          <w:rFonts w:ascii="Verdana" w:hAnsi="Verdana"/>
          <w:b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</w:r>
    </w:p>
    <w:p>
      <w:pPr>
        <w:pStyle w:val="Nagwek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Międzynarodowa mobilność edukacyjna pracowników</w:t>
      </w:r>
    </w:p>
    <w:p>
      <w:pPr>
        <w:pStyle w:val="Normal"/>
        <w:pBdr>
          <w:bottom w:val="single" w:sz="12" w:space="1" w:color="00000A"/>
        </w:pBdr>
        <w:ind w:left="720" w:firstLine="720"/>
        <w:rPr>
          <w:rFonts w:ascii="Verdana" w:hAnsi="Verdana" w:cs="Tahoma"/>
          <w:b/>
          <w:b/>
          <w:sz w:val="36"/>
          <w:szCs w:val="36"/>
          <w:lang w:val="pl-PL"/>
        </w:rPr>
      </w:pPr>
      <w:r>
        <w:rPr>
          <w:rFonts w:cs="Tahoma" w:ascii="Verdana" w:hAnsi="Verdana"/>
          <w:b/>
          <w:sz w:val="36"/>
          <w:szCs w:val="36"/>
          <w:lang w:val="pl-PL"/>
        </w:rPr>
        <w:t>w roku akademickim 2023/24</w:t>
      </w:r>
    </w:p>
    <w:p>
      <w:pPr>
        <w:pStyle w:val="Normal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</w:rPr>
        <w:t>W ramach działań projektu KA131 Programu Erasmus</w:t>
      </w:r>
      <w:r>
        <w:rPr>
          <w:rStyle w:val="Strong"/>
          <w:rFonts w:cs="Arial" w:ascii="Arial" w:hAnsi="Arial"/>
        </w:rPr>
        <w:t>+</w:t>
      </w:r>
      <w:r>
        <w:rPr>
          <w:rFonts w:cs="Arial" w:ascii="Arial" w:hAnsi="Arial"/>
        </w:rPr>
        <w:t>  mobilność edukacyjna w szkolnictwie wyższym możliwe jest finansowanie z funduszy Programu wyjazdów zagranicznych pracowników UMCS w celach prowadzenia zajęć lub w celach szkoleniowych. Informacje szczegółowe na stronach internetowych UMCS:</w:t>
      </w:r>
      <w:r>
        <w:rPr>
          <w:rFonts w:cs="Arial" w:ascii="Arial" w:hAnsi="Arial"/>
          <w:sz w:val="22"/>
          <w:szCs w:val="22"/>
        </w:rPr>
        <w:t xml:space="preserve"> z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akładka Pracownik </w:t>
      </w:r>
      <w:r>
        <w:rPr>
          <w:rFonts w:eastAsia="Wingdings" w:cs="Wingdings" w:ascii="Wingdings" w:hAnsi="Wingdings"/>
          <w:b/>
          <w:sz w:val="22"/>
          <w:szCs w:val="22"/>
        </w:rPr>
        <w:t></w:t>
      </w:r>
      <w:r>
        <w:rPr>
          <w:rFonts w:cs="Arial" w:ascii="Arial" w:hAnsi="Arial"/>
          <w:sz w:val="22"/>
          <w:szCs w:val="22"/>
        </w:rPr>
        <w:t xml:space="preserve"> Kształcenie i Obsługa studiów </w:t>
      </w:r>
      <w:r>
        <w:rPr>
          <w:rFonts w:eastAsia="Wingdings" w:cs="Wingdings" w:ascii="Wingdings" w:hAnsi="Wingdings"/>
          <w:b/>
          <w:sz w:val="22"/>
          <w:szCs w:val="22"/>
        </w:rPr>
        <w:t>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Erasmus Plus </w:t>
      </w:r>
      <w:r>
        <w:rPr>
          <w:rFonts w:eastAsia="Wingdings" w:cs="Wingdings" w:ascii="Wingdings" w:hAnsi="Wingdings"/>
          <w:b/>
          <w:sz w:val="22"/>
          <w:szCs w:val="22"/>
        </w:rPr>
        <w:t></w:t>
      </w:r>
      <w:r>
        <w:rPr>
          <w:rFonts w:cs="Arial" w:ascii="Arial" w:hAnsi="Arial"/>
          <w:sz w:val="22"/>
          <w:szCs w:val="22"/>
        </w:rPr>
        <w:t xml:space="preserve"> Międzynarodowa mobilność edukacyjna pracowników.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https://www.umcs.pl/pl/miedzynarodowa-mobilnosc-edukacyjna-pracownikow,5161.htm</w:t>
        </w:r>
      </w:hyperlink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4"/>
        <w:spacing w:before="0" w:after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>
        <w:rPr>
          <w:rStyle w:val="Strong"/>
          <w:rFonts w:cs="Arial" w:ascii="Arial" w:hAnsi="Arial"/>
          <w:b/>
          <w:bCs/>
          <w:color w:val="1F497D" w:themeColor="text2"/>
          <w:sz w:val="24"/>
          <w:szCs w:val="24"/>
          <w:u w:val="single"/>
          <w:lang w:val="pl-PL"/>
        </w:rPr>
        <w:t>Wyjazdy pracowników uczelni w celach prowadzenia zajęć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 krótkich wyjazdów </w:t>
      </w:r>
      <w:r>
        <w:rPr>
          <w:rStyle w:val="Strong"/>
          <w:rFonts w:cs="Arial" w:ascii="Arial" w:hAnsi="Arial"/>
        </w:rPr>
        <w:t xml:space="preserve">w celu prowadzenia zajęć dydaktycznych w zagranicznych uczelniach </w:t>
      </w:r>
      <w:r>
        <w:rPr>
          <w:rFonts w:cs="Arial" w:ascii="Arial" w:hAnsi="Arial"/>
        </w:rPr>
        <w:t xml:space="preserve">mogą korzystać nauczyciele akademiccy oraz specjaliści z przedsiębiorstw. Nauczyciele akademiccy mogą wyjeżdżać tylko do zagranicznych szkół wyższych, z którymi ich macierzyste uczelnie (wydziały) </w:t>
      </w:r>
      <w:r>
        <w:rPr>
          <w:rFonts w:cs="Arial" w:ascii="Arial" w:hAnsi="Arial"/>
          <w:u w:val="single"/>
        </w:rPr>
        <w:t>posiadają aktualnie obowiązujące umowy międzyinstytucjonalne</w:t>
      </w:r>
      <w:r>
        <w:rPr>
          <w:rFonts w:cs="Arial" w:ascii="Arial" w:hAnsi="Arial"/>
        </w:rPr>
        <w:t xml:space="preserve"> Programu </w:t>
      </w:r>
      <w:r>
        <w:rPr>
          <w:rFonts w:cs="Arial" w:ascii="Arial" w:hAnsi="Arial"/>
          <w:i/>
        </w:rPr>
        <w:t xml:space="preserve">Erasmus+ </w:t>
      </w:r>
      <w:r>
        <w:rPr>
          <w:rFonts w:cs="Arial" w:ascii="Arial" w:hAnsi="Arial"/>
        </w:rPr>
        <w:t>zawarte na rok 2023/24. Podstawą kwalifikacji jest zatwierdzone przez instytucję wysyłającą i przyjmującą „Porozumienie dot. programu nauczania”. Zajęcia prowadzone przez wykładowców lub specjalistów z przedsiębiorstw powinny być stanowić integralną część programu nauczania na określonym kierunku studiów w goszczącej uczelni.</w:t>
      </w:r>
    </w:p>
    <w:p>
      <w:pPr>
        <w:pStyle w:val="Nagwek4"/>
        <w:spacing w:before="0" w:after="0"/>
        <w:jc w:val="both"/>
        <w:rPr>
          <w:rStyle w:val="Strong"/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Nagwek4"/>
        <w:spacing w:before="0" w:after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>
        <w:rPr>
          <w:rStyle w:val="Strong"/>
          <w:rFonts w:cs="Arial" w:ascii="Arial" w:hAnsi="Arial"/>
          <w:b/>
          <w:bCs/>
          <w:color w:val="1F497D" w:themeColor="text2"/>
          <w:sz w:val="24"/>
          <w:szCs w:val="24"/>
          <w:u w:val="single"/>
          <w:lang w:val="pl-PL"/>
        </w:rPr>
        <w:t xml:space="preserve">Wyjazdy pracowników uczelni w celach szkoleniowych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Pracownicy szkół wyższych mogą również wyjeżdżać na krótkie okresy do instytucji zagranicznych, np. przedsiębiorstw, organizacji, instytucji edukacyjnych, w tym uczelni, w celu doskonalenia umiejętności i kwalifikacji potrzebnych w zakresie swojej pracy (udział w szkoleniu, seminarium, warsztatach z elementami szkolenia, itp.). Podstawą kwalifikacji jest zatwierdzone przez instytucję wysyłającą i przyjmującą „Porozumienie dot. programu szkolenia”.</w:t>
      </w:r>
    </w:p>
    <w:p>
      <w:pPr>
        <w:pStyle w:val="Nagwek4"/>
        <w:spacing w:before="0" w:after="0"/>
        <w:jc w:val="both"/>
        <w:rPr>
          <w:rStyle w:val="Strong"/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Nagwek4"/>
        <w:spacing w:before="0" w:after="0"/>
        <w:jc w:val="both"/>
        <w:rPr>
          <w:rFonts w:ascii="Arial" w:hAnsi="Arial" w:cs="Arial"/>
          <w:color w:val="1F497D" w:themeColor="text2"/>
          <w:sz w:val="24"/>
          <w:szCs w:val="24"/>
          <w:lang w:val="pl-PL"/>
        </w:rPr>
      </w:pPr>
      <w:r>
        <w:rPr>
          <w:rStyle w:val="Strong"/>
          <w:rFonts w:cs="Arial" w:ascii="Arial" w:hAnsi="Arial"/>
          <w:b/>
          <w:bCs/>
          <w:color w:val="1F497D" w:themeColor="text2"/>
          <w:sz w:val="24"/>
          <w:szCs w:val="24"/>
          <w:lang w:val="pl-PL"/>
        </w:rPr>
        <w:t>Warunki finansowe wyjazdów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Środki z Programu Erasmus+ są przeznaczone na dofinansowanie kosztów podróży i utrzymania za granicą. Kwota wsparcia indywidualnego zależy od długości pobytu (dni pracy) oraz kraju docelowego. Pracownicy uczelni otrzymują środki na wyjazd ze swojej uczelni macierzystej, a pracownicy przedsiębiorstw - z uczelni zapraszającej.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Zainteresowani pracownicy UMCS przygotowują (w języku zajęć dydaktycznych lub języku szkolenia, najlepiej w języku angielskim):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nauczyciele akademiccy - „</w:t>
      </w:r>
      <w:r>
        <w:rPr>
          <w:rStyle w:val="Strong"/>
          <w:rFonts w:cs="Arial"/>
          <w:sz w:val="24"/>
          <w:szCs w:val="24"/>
          <w:lang w:val="pl-PL"/>
        </w:rPr>
        <w:t>Porozumienie dot. programu nauczania</w:t>
      </w:r>
      <w:r>
        <w:rPr>
          <w:rFonts w:cs="Arial"/>
          <w:sz w:val="24"/>
          <w:szCs w:val="24"/>
          <w:lang w:val="pl-PL"/>
        </w:rPr>
        <w:t>” na uczelni zagranicznej, z którą odpowiedni wydział ma podpisaną umowę o wymianie w programie Erasmus+ ważną na dany rok akademicki (minimum 8 godz. zajęć),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inni pracownicy UMCS - „</w:t>
      </w:r>
      <w:r>
        <w:rPr>
          <w:rStyle w:val="Strong"/>
          <w:rFonts w:cs="Arial"/>
          <w:sz w:val="24"/>
          <w:szCs w:val="24"/>
          <w:lang w:val="pl-PL"/>
        </w:rPr>
        <w:t>Porozumienie dot. programu szkolenia</w:t>
      </w:r>
      <w:r>
        <w:rPr>
          <w:rFonts w:cs="Arial"/>
          <w:sz w:val="24"/>
          <w:szCs w:val="24"/>
          <w:lang w:val="pl-PL"/>
        </w:rPr>
        <w:t>” na uczelni zagranicznej lub w innej instytucji szkoleniowej w kraju uczestniczącym w Programie Erasmus+.</w:t>
      </w:r>
    </w:p>
    <w:p>
      <w:pPr>
        <w:pStyle w:val="Normal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które jest jednocześnie wnioskiem o dofinansowanie wyjazdu z funduszy Programu Erasmus+ .</w:t>
      </w:r>
    </w:p>
    <w:p>
      <w:pPr>
        <w:pStyle w:val="NormalWeb"/>
        <w:spacing w:beforeAutospacing="0" w:before="0" w:after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roku 2023/24 UMCS otrzymał środki na realizację około 38 wyjazdów nauczycielskich i 16 wyjazdów szkoleniowych kadry administracyjnej. Z doświadczeń z lat ubiegłych wynika, że na UMCS finansowane będą wyjazdy </w:t>
      </w:r>
      <w:r>
        <w:rPr>
          <w:rFonts w:cs="Arial" w:ascii="Arial" w:hAnsi="Arial"/>
          <w:sz w:val="22"/>
          <w:szCs w:val="22"/>
          <w:u w:val="single"/>
        </w:rPr>
        <w:t>nie dłuższe niż 2-5 dni</w:t>
      </w:r>
      <w:r>
        <w:rPr>
          <w:rFonts w:cs="Arial" w:ascii="Arial" w:hAnsi="Arial"/>
          <w:sz w:val="22"/>
          <w:szCs w:val="22"/>
        </w:rPr>
        <w:t xml:space="preserve"> roboczych, zaplanowane pomiędzy listopadem 2023 a końcem czerwca 2024 dla nauczycieli akademickich oraz do 30 września 2024 r. dla pozostałych pracowników.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highlight w:val="yellow"/>
        </w:rPr>
        <w:t xml:space="preserve">Prawidłowo wypełnione, uzgodnione i podpisane „Porozumienia” należy składać lub przesyłać pocztą do Biura Programu Erasmus w DS Grześ, ul. Langiewicza 24, pok. 12, 20-035 Lublin, tel. +815375218 do dnia </w:t>
      </w:r>
      <w:r>
        <w:rPr>
          <w:rStyle w:val="Strong"/>
          <w:rFonts w:cs="Arial" w:ascii="Arial" w:hAnsi="Arial"/>
          <w:sz w:val="22"/>
          <w:szCs w:val="22"/>
          <w:highlight w:val="yellow"/>
        </w:rPr>
        <w:t>05.10.2023 r.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Decyzje o przydzieleniu dofinansowania na wyjazd podejmuje Komisja Prorektora ds. Kształcenia w październiku br. 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"/>
    <w:qFormat/>
    <w:pPr>
      <w:keepNext w:val="true"/>
      <w:spacing w:lineRule="auto" w:line="360"/>
      <w:outlineLvl w:val="1"/>
    </w:pPr>
    <w:rPr>
      <w:rFonts w:ascii="Times New Roman" w:hAnsi="Times New Roman"/>
      <w:sz w:val="24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ac4ba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72c6f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cd5305"/>
    <w:rPr>
      <w:color w:val="800080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ab32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ab3207"/>
    <w:rPr>
      <w:rFonts w:ascii="Arial" w:hAnsi="Arial"/>
      <w:lang w:val="en-US" w:eastAsia="pl-PL" w:bidi="ar-SA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ac4ba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en-US"/>
    </w:rPr>
  </w:style>
  <w:style w:type="character" w:styleId="Strong">
    <w:name w:val="Strong"/>
    <w:basedOn w:val="DefaultParagraphFont"/>
    <w:uiPriority w:val="22"/>
    <w:qFormat/>
    <w:rsid w:val="00ac4ba7"/>
    <w:rPr>
      <w:b/>
      <w:bCs/>
    </w:rPr>
  </w:style>
  <w:style w:type="character" w:styleId="Wyrnienie">
    <w:name w:val="Wyróżnienie"/>
    <w:basedOn w:val="DefaultParagraphFont"/>
    <w:uiPriority w:val="20"/>
    <w:qFormat/>
    <w:rsid w:val="00ac4ba7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4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lineRule="auto" w:line="360"/>
      <w:ind w:left="2127" w:hanging="2127"/>
    </w:pPr>
    <w:rPr>
      <w:rFonts w:ascii="Times New Roman" w:hAnsi="Times New Roman"/>
      <w:sz w:val="24"/>
      <w:lang w:val="pl-P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ab3207"/>
    <w:pPr/>
    <w:rPr/>
  </w:style>
  <w:style w:type="paragraph" w:styleId="BalloonText">
    <w:name w:val="Balloon Text"/>
    <w:basedOn w:val="Normal"/>
    <w:semiHidden/>
    <w:qFormat/>
    <w:rsid w:val="00ab3207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760e84"/>
    <w:pPr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val="de-DE"/>
    </w:rPr>
  </w:style>
  <w:style w:type="paragraph" w:styleId="ListParagraph">
    <w:name w:val="List Paragraph"/>
    <w:basedOn w:val="Normal"/>
    <w:qFormat/>
    <w:rsid w:val="00087eb5"/>
    <w:pPr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qFormat/>
    <w:rsid w:val="00ac4ba7"/>
    <w:pPr>
      <w:spacing w:beforeAutospacing="1" w:afterAutospacing="1"/>
    </w:pPr>
    <w:rPr>
      <w:rFonts w:ascii="Times New Roman" w:hAnsi="Times New Roman"/>
      <w:sz w:val="24"/>
      <w:szCs w:val="24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mcs.pl/pl/miedzynarodowa-mobilnosc-edukacyjna-pracownikow,5161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2</Pages>
  <Words>437</Words>
  <Characters>3074</Characters>
  <CharactersWithSpaces>3502</CharactersWithSpaces>
  <Paragraphs>17</Paragraphs>
  <Company>UMCS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2023-06-05T08:42:00Z</dcterms:created>
  <dc:creator>JMAZUR</dc:creator>
  <dc:description/>
  <dc:language>pl-PL</dc:language>
  <cp:lastModifiedBy>User</cp:lastModifiedBy>
  <cp:lastPrinted>2019-06-07T10:46:00Z</cp:lastPrinted>
  <dcterms:modified xsi:type="dcterms:W3CDTF">2023-06-05T08:54:00Z</dcterms:modified>
  <cp:revision>4</cp:revision>
  <dc:subject/>
  <dc:title>NZ /          /    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