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9595F" w14:textId="15F6644C" w:rsidR="00416A0E" w:rsidRPr="007F42BD" w:rsidRDefault="002539E6" w:rsidP="00416A0E">
      <w:pPr>
        <w:spacing w:after="0" w:line="360" w:lineRule="auto"/>
        <w:ind w:left="708" w:firstLine="708"/>
        <w:jc w:val="right"/>
        <w:rPr>
          <w:rFonts w:ascii="Cambria" w:hAnsi="Cambria" w:cs="Times New Roman"/>
          <w:b/>
          <w:sz w:val="24"/>
          <w:szCs w:val="24"/>
        </w:rPr>
      </w:pPr>
      <w:r w:rsidRPr="007F42BD">
        <w:rPr>
          <w:rFonts w:ascii="Cambria" w:hAnsi="Cambria" w:cs="Times New Roman"/>
          <w:b/>
          <w:spacing w:val="30"/>
          <w:sz w:val="24"/>
          <w:szCs w:val="24"/>
        </w:rPr>
        <w:tab/>
      </w:r>
      <w:r w:rsidRPr="007F42BD">
        <w:rPr>
          <w:rFonts w:ascii="Cambria" w:hAnsi="Cambria" w:cs="Times New Roman"/>
          <w:b/>
          <w:spacing w:val="30"/>
          <w:sz w:val="24"/>
          <w:szCs w:val="24"/>
        </w:rPr>
        <w:tab/>
      </w:r>
      <w:r w:rsidRPr="007F42BD">
        <w:rPr>
          <w:rFonts w:ascii="Cambria" w:hAnsi="Cambria" w:cs="Times New Roman"/>
          <w:b/>
          <w:spacing w:val="30"/>
          <w:sz w:val="24"/>
          <w:szCs w:val="24"/>
        </w:rPr>
        <w:tab/>
      </w:r>
      <w:r w:rsidRPr="007F42BD">
        <w:rPr>
          <w:rFonts w:ascii="Cambria" w:hAnsi="Cambria" w:cs="Times New Roman"/>
          <w:b/>
          <w:spacing w:val="30"/>
          <w:sz w:val="24"/>
          <w:szCs w:val="24"/>
        </w:rPr>
        <w:tab/>
      </w:r>
      <w:r w:rsidRPr="007F42BD">
        <w:rPr>
          <w:rFonts w:ascii="Cambria" w:hAnsi="Cambria" w:cs="Times New Roman"/>
          <w:b/>
          <w:spacing w:val="30"/>
          <w:sz w:val="24"/>
          <w:szCs w:val="24"/>
        </w:rPr>
        <w:tab/>
      </w:r>
      <w:r w:rsidRPr="007F42BD">
        <w:rPr>
          <w:rFonts w:ascii="Cambria" w:hAnsi="Cambria" w:cs="Times New Roman"/>
          <w:b/>
          <w:spacing w:val="30"/>
          <w:sz w:val="24"/>
          <w:szCs w:val="24"/>
        </w:rPr>
        <w:tab/>
      </w:r>
      <w:r w:rsidRPr="007F42BD">
        <w:rPr>
          <w:rFonts w:ascii="Cambria" w:hAnsi="Cambria" w:cs="Times New Roman"/>
          <w:b/>
          <w:spacing w:val="30"/>
          <w:sz w:val="24"/>
          <w:szCs w:val="24"/>
        </w:rPr>
        <w:tab/>
      </w:r>
      <w:r w:rsidRPr="007F42BD">
        <w:rPr>
          <w:rFonts w:ascii="Cambria" w:hAnsi="Cambria" w:cs="Times New Roman"/>
          <w:b/>
          <w:spacing w:val="30"/>
          <w:sz w:val="24"/>
          <w:szCs w:val="24"/>
        </w:rPr>
        <w:tab/>
      </w:r>
      <w:r w:rsidR="00416A0E" w:rsidRPr="007F42BD">
        <w:rPr>
          <w:rFonts w:ascii="Cambria" w:hAnsi="Cambria" w:cs="Times New Roman"/>
          <w:b/>
          <w:sz w:val="24"/>
          <w:szCs w:val="24"/>
        </w:rPr>
        <w:t xml:space="preserve">Załącznik nr </w:t>
      </w:r>
      <w:r w:rsidR="00416A0E" w:rsidRPr="007F42BD">
        <w:rPr>
          <w:rFonts w:ascii="Cambria" w:hAnsi="Cambria"/>
          <w:b/>
          <w:sz w:val="24"/>
          <w:szCs w:val="24"/>
        </w:rPr>
        <w:t>3</w:t>
      </w:r>
      <w:r w:rsidR="00416A0E" w:rsidRPr="007F42BD">
        <w:rPr>
          <w:rFonts w:ascii="Cambria" w:hAnsi="Cambria" w:cs="Times New Roman"/>
          <w:b/>
          <w:sz w:val="24"/>
          <w:szCs w:val="24"/>
        </w:rPr>
        <w:t xml:space="preserve"> </w:t>
      </w:r>
    </w:p>
    <w:p w14:paraId="2506676C" w14:textId="77777777" w:rsidR="00416A0E" w:rsidRPr="007F42BD" w:rsidRDefault="00416A0E" w:rsidP="00416A0E">
      <w:pPr>
        <w:spacing w:after="0" w:line="240" w:lineRule="auto"/>
        <w:jc w:val="right"/>
        <w:rPr>
          <w:rFonts w:ascii="Cambria" w:hAnsi="Cambria" w:cs="Times New Roman"/>
          <w:b/>
          <w:sz w:val="24"/>
          <w:szCs w:val="24"/>
        </w:rPr>
      </w:pPr>
      <w:r w:rsidRPr="007F42BD">
        <w:rPr>
          <w:rFonts w:ascii="Cambria" w:hAnsi="Cambria" w:cs="Times New Roman"/>
          <w:b/>
          <w:sz w:val="24"/>
          <w:szCs w:val="24"/>
        </w:rPr>
        <w:t xml:space="preserve">do wniosku o przeprowadzenie postępowania </w:t>
      </w:r>
    </w:p>
    <w:p w14:paraId="01BA5B20" w14:textId="77777777" w:rsidR="00416A0E" w:rsidRPr="007F42BD" w:rsidRDefault="00416A0E" w:rsidP="00416A0E">
      <w:pPr>
        <w:spacing w:after="0" w:line="240" w:lineRule="auto"/>
        <w:jc w:val="right"/>
        <w:rPr>
          <w:rFonts w:ascii="Cambria" w:hAnsi="Cambria" w:cs="Times New Roman"/>
          <w:b/>
          <w:sz w:val="24"/>
          <w:szCs w:val="24"/>
        </w:rPr>
      </w:pPr>
      <w:r w:rsidRPr="007F42BD">
        <w:rPr>
          <w:rFonts w:ascii="Cambria" w:hAnsi="Cambria" w:cs="Times New Roman"/>
          <w:b/>
          <w:sz w:val="24"/>
          <w:szCs w:val="24"/>
        </w:rPr>
        <w:t>w sprawie nadania stopnia doktora habilitowanego</w:t>
      </w:r>
    </w:p>
    <w:p w14:paraId="2B43D469" w14:textId="749AC7CB" w:rsidR="00035988" w:rsidRPr="007F42BD" w:rsidRDefault="005C06CC" w:rsidP="005C06CC">
      <w:pPr>
        <w:spacing w:after="0" w:line="360" w:lineRule="auto"/>
        <w:ind w:left="6372"/>
        <w:rPr>
          <w:rFonts w:ascii="Cambria" w:hAnsi="Cambria" w:cs="Times New Roman"/>
          <w:b/>
          <w:sz w:val="24"/>
          <w:szCs w:val="24"/>
        </w:rPr>
      </w:pPr>
      <w:r>
        <w:rPr>
          <w:rFonts w:ascii="Cambria" w:hAnsi="Cambria" w:cs="Times New Roman"/>
          <w:b/>
          <w:sz w:val="24"/>
          <w:szCs w:val="24"/>
        </w:rPr>
        <w:t xml:space="preserve">         </w:t>
      </w:r>
      <w:r w:rsidR="00416A0E" w:rsidRPr="007F42BD">
        <w:rPr>
          <w:rFonts w:ascii="Cambria" w:hAnsi="Cambria" w:cs="Times New Roman"/>
          <w:b/>
          <w:sz w:val="24"/>
          <w:szCs w:val="24"/>
        </w:rPr>
        <w:t>Dr Marzena Świstak</w:t>
      </w:r>
    </w:p>
    <w:p w14:paraId="658FB3A4" w14:textId="77777777" w:rsidR="002539E6" w:rsidRPr="007F42BD" w:rsidRDefault="002539E6" w:rsidP="00EA3229">
      <w:pPr>
        <w:spacing w:after="0" w:line="360" w:lineRule="auto"/>
        <w:jc w:val="center"/>
        <w:rPr>
          <w:rFonts w:ascii="Cambria" w:hAnsi="Cambria" w:cs="Times New Roman"/>
          <w:b/>
          <w:spacing w:val="30"/>
          <w:sz w:val="24"/>
          <w:szCs w:val="24"/>
        </w:rPr>
      </w:pPr>
    </w:p>
    <w:p w14:paraId="50BAD451" w14:textId="77777777" w:rsidR="00602D50" w:rsidRPr="007F42BD" w:rsidRDefault="00602D50" w:rsidP="00602D50">
      <w:pPr>
        <w:spacing w:after="0" w:line="360" w:lineRule="auto"/>
        <w:jc w:val="center"/>
        <w:rPr>
          <w:rFonts w:ascii="Cambria" w:hAnsi="Cambria" w:cs="Times New Roman"/>
          <w:b/>
          <w:spacing w:val="30"/>
          <w:sz w:val="24"/>
          <w:szCs w:val="24"/>
        </w:rPr>
      </w:pPr>
    </w:p>
    <w:p w14:paraId="46CF3A13" w14:textId="2EA02511" w:rsidR="002539E6" w:rsidRPr="00682072" w:rsidRDefault="00EA3229" w:rsidP="00602D50">
      <w:pPr>
        <w:spacing w:after="0" w:line="360" w:lineRule="auto"/>
        <w:jc w:val="center"/>
        <w:rPr>
          <w:rFonts w:ascii="Cambria" w:hAnsi="Cambria" w:cs="Times New Roman"/>
          <w:b/>
          <w:spacing w:val="30"/>
          <w:sz w:val="28"/>
          <w:szCs w:val="28"/>
        </w:rPr>
      </w:pPr>
      <w:r w:rsidRPr="00682072">
        <w:rPr>
          <w:rFonts w:ascii="Cambria" w:hAnsi="Cambria" w:cs="Times New Roman"/>
          <w:b/>
          <w:spacing w:val="30"/>
          <w:sz w:val="28"/>
          <w:szCs w:val="28"/>
        </w:rPr>
        <w:t>Autoreferat</w:t>
      </w:r>
    </w:p>
    <w:p w14:paraId="3426B916" w14:textId="6773B6C3" w:rsidR="00EA3229" w:rsidRPr="007F42BD" w:rsidRDefault="00EA3229" w:rsidP="00EA3229">
      <w:pPr>
        <w:spacing w:after="0" w:line="360" w:lineRule="auto"/>
        <w:rPr>
          <w:rFonts w:ascii="Cambria" w:hAnsi="Cambria" w:cs="Times New Roman"/>
          <w:b/>
          <w:sz w:val="24"/>
          <w:szCs w:val="24"/>
        </w:rPr>
      </w:pPr>
    </w:p>
    <w:p w14:paraId="4C97403B" w14:textId="7E12209D" w:rsidR="00EA3229" w:rsidRPr="007F42BD" w:rsidRDefault="00EA3229" w:rsidP="00EA3229">
      <w:pPr>
        <w:spacing w:after="0" w:line="360" w:lineRule="auto"/>
        <w:jc w:val="both"/>
        <w:rPr>
          <w:rFonts w:ascii="Cambria" w:hAnsi="Cambria" w:cs="Times New Roman"/>
          <w:b/>
          <w:sz w:val="24"/>
          <w:szCs w:val="24"/>
        </w:rPr>
      </w:pPr>
    </w:p>
    <w:p w14:paraId="3D30A99A" w14:textId="695F2439" w:rsidR="00AC591C" w:rsidRPr="007F42BD" w:rsidRDefault="002539E6" w:rsidP="00364EE7">
      <w:pPr>
        <w:pStyle w:val="Akapitzlist"/>
        <w:numPr>
          <w:ilvl w:val="0"/>
          <w:numId w:val="1"/>
        </w:numPr>
        <w:spacing w:after="0" w:line="360" w:lineRule="auto"/>
        <w:jc w:val="both"/>
        <w:rPr>
          <w:rFonts w:ascii="Cambria" w:hAnsi="Cambria" w:cs="Times New Roman"/>
          <w:b/>
          <w:bCs/>
          <w:sz w:val="24"/>
          <w:szCs w:val="24"/>
        </w:rPr>
      </w:pPr>
      <w:r w:rsidRPr="007F42BD">
        <w:rPr>
          <w:rFonts w:ascii="Cambria" w:hAnsi="Cambria" w:cs="Times New Roman"/>
          <w:i/>
          <w:iCs/>
          <w:sz w:val="24"/>
          <w:szCs w:val="24"/>
        </w:rPr>
        <w:t>Imię i nazwisko</w:t>
      </w:r>
      <w:r w:rsidRPr="007F42BD">
        <w:rPr>
          <w:rFonts w:ascii="Cambria" w:hAnsi="Cambria" w:cs="Times New Roman"/>
          <w:b/>
          <w:bCs/>
          <w:sz w:val="24"/>
          <w:szCs w:val="24"/>
        </w:rPr>
        <w:t xml:space="preserve">: </w:t>
      </w:r>
      <w:r w:rsidR="00C6173D" w:rsidRPr="007F42BD">
        <w:rPr>
          <w:rFonts w:ascii="Cambria" w:hAnsi="Cambria" w:cs="Times New Roman"/>
          <w:b/>
          <w:bCs/>
          <w:sz w:val="24"/>
          <w:szCs w:val="24"/>
        </w:rPr>
        <w:t>Marzena Świstak</w:t>
      </w:r>
    </w:p>
    <w:p w14:paraId="4D546EAB" w14:textId="01FD7F38" w:rsidR="00C6173D" w:rsidRPr="007F42BD" w:rsidRDefault="00EC049D" w:rsidP="00C6173D">
      <w:pPr>
        <w:pStyle w:val="Akapitzlist"/>
        <w:spacing w:after="0" w:line="360" w:lineRule="auto"/>
        <w:jc w:val="both"/>
        <w:rPr>
          <w:rFonts w:ascii="Cambria" w:hAnsi="Cambria" w:cs="Times New Roman"/>
          <w:color w:val="FF0000"/>
          <w:sz w:val="24"/>
          <w:szCs w:val="24"/>
        </w:rPr>
      </w:pPr>
      <w:r w:rsidRPr="007F42BD">
        <w:rPr>
          <w:rFonts w:ascii="Cambria" w:hAnsi="Cambria" w:cs="Times New Roman"/>
          <w:i/>
          <w:iCs/>
          <w:noProof/>
          <w:sz w:val="24"/>
          <w:szCs w:val="24"/>
        </w:rPr>
        <mc:AlternateContent>
          <mc:Choice Requires="wps">
            <w:drawing>
              <wp:anchor distT="91440" distB="91440" distL="114300" distR="114300" simplePos="0" relativeHeight="251659264" behindDoc="1" locked="0" layoutInCell="1" allowOverlap="1" wp14:anchorId="163FE2EC" wp14:editId="3DE4EDA9">
                <wp:simplePos x="0" y="0"/>
                <wp:positionH relativeFrom="page">
                  <wp:posOffset>1272540</wp:posOffset>
                </wp:positionH>
                <wp:positionV relativeFrom="paragraph">
                  <wp:posOffset>7620</wp:posOffset>
                </wp:positionV>
                <wp:extent cx="5509260" cy="78486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784860"/>
                        </a:xfrm>
                        <a:prstGeom prst="rect">
                          <a:avLst/>
                        </a:prstGeom>
                        <a:noFill/>
                        <a:ln w="9525">
                          <a:noFill/>
                          <a:miter lim="800000"/>
                          <a:headEnd/>
                          <a:tailEnd/>
                        </a:ln>
                      </wps:spPr>
                      <wps:txbx>
                        <w:txbxContent>
                          <w:p w14:paraId="00B989DF" w14:textId="757CFDCD" w:rsidR="00AC591C" w:rsidRDefault="00AC591C">
                            <w:pPr>
                              <w:pBdr>
                                <w:top w:val="single" w:sz="24" w:space="8" w:color="5B9BD5" w:themeColor="accent1"/>
                                <w:bottom w:val="single" w:sz="24" w:space="8" w:color="5B9BD5" w:themeColor="accent1"/>
                              </w:pBdr>
                              <w:spacing w:after="0"/>
                              <w:rPr>
                                <w:i/>
                                <w:iCs/>
                                <w:color w:val="5B9BD5"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3FE2EC" id="_x0000_t202" coordsize="21600,21600" o:spt="202" path="m,l,21600r21600,l21600,xe">
                <v:stroke joinstyle="miter"/>
                <v:path gradientshapeok="t" o:connecttype="rect"/>
              </v:shapetype>
              <v:shape id="Pole tekstowe 2" o:spid="_x0000_s1026" type="#_x0000_t202" style="position:absolute;left:0;text-align:left;margin-left:100.2pt;margin-top:.6pt;width:433.8pt;height:61.8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" filled="f" stroked="f">
                <v:textbox>
                  <w:txbxContent>
                    <w:p w14:paraId="00B989DF" w14:textId="757CFDCD" w:rsidR="00AC591C" w:rsidRDefault="00AC591C">
                      <w:pPr>
                        <w:pBdr>
                          <w:top w:val="single" w:sz="24" w:space="8" w:color="5B9BD5" w:themeColor="accent1"/>
                          <w:bottom w:val="single" w:sz="24" w:space="8" w:color="5B9BD5" w:themeColor="accent1"/>
                        </w:pBdr>
                        <w:spacing w:after="0"/>
                        <w:rPr>
                          <w:i/>
                          <w:iCs/>
                          <w:color w:val="5B9BD5" w:themeColor="accent1"/>
                          <w:sz w:val="24"/>
                        </w:rPr>
                      </w:pPr>
                    </w:p>
                  </w:txbxContent>
                </v:textbox>
                <w10:wrap anchorx="page"/>
              </v:shape>
            </w:pict>
          </mc:Fallback>
        </mc:AlternateContent>
      </w:r>
    </w:p>
    <w:p w14:paraId="390047ED" w14:textId="752C15F8" w:rsidR="00EA3229" w:rsidRPr="007F42BD" w:rsidRDefault="00EA3229" w:rsidP="00364EE7">
      <w:pPr>
        <w:pStyle w:val="Akapitzlist"/>
        <w:numPr>
          <w:ilvl w:val="0"/>
          <w:numId w:val="1"/>
        </w:numPr>
        <w:spacing w:after="0" w:line="240" w:lineRule="auto"/>
        <w:ind w:left="714" w:hanging="357"/>
        <w:jc w:val="both"/>
        <w:rPr>
          <w:rFonts w:ascii="Cambria" w:hAnsi="Cambria" w:cs="Times New Roman"/>
          <w:i/>
          <w:iCs/>
          <w:sz w:val="24"/>
          <w:szCs w:val="24"/>
        </w:rPr>
      </w:pPr>
      <w:r w:rsidRPr="007F42BD">
        <w:rPr>
          <w:rFonts w:ascii="Cambria" w:hAnsi="Cambria" w:cs="Times New Roman"/>
          <w:i/>
          <w:iCs/>
          <w:sz w:val="24"/>
          <w:szCs w:val="24"/>
        </w:rPr>
        <w:t>Posiadane dyplomy, s</w:t>
      </w:r>
      <w:r w:rsidR="002D510D" w:rsidRPr="007F42BD">
        <w:rPr>
          <w:rFonts w:ascii="Cambria" w:hAnsi="Cambria" w:cs="Times New Roman"/>
          <w:i/>
          <w:iCs/>
          <w:sz w:val="24"/>
          <w:szCs w:val="24"/>
        </w:rPr>
        <w:t>topnie naukowe lub</w:t>
      </w:r>
      <w:r w:rsidRPr="007F42BD">
        <w:rPr>
          <w:rFonts w:ascii="Cambria" w:hAnsi="Cambria" w:cs="Times New Roman"/>
          <w:i/>
          <w:iCs/>
          <w:sz w:val="24"/>
          <w:szCs w:val="24"/>
        </w:rPr>
        <w:t xml:space="preserve"> artystyczne – z podaniem podmiotu nadającego stopień, roku ich uzyskania oraz tytułu rozprawy doktorskie</w:t>
      </w:r>
      <w:r w:rsidR="006501A5" w:rsidRPr="007F42BD">
        <w:rPr>
          <w:rFonts w:ascii="Cambria" w:hAnsi="Cambria" w:cs="Times New Roman"/>
          <w:i/>
          <w:iCs/>
          <w:sz w:val="24"/>
          <w:szCs w:val="24"/>
        </w:rPr>
        <w:t>j</w:t>
      </w:r>
      <w:r w:rsidRPr="007F42BD">
        <w:rPr>
          <w:rFonts w:ascii="Cambria" w:hAnsi="Cambria" w:cs="Times New Roman"/>
          <w:i/>
          <w:iCs/>
          <w:sz w:val="24"/>
          <w:szCs w:val="24"/>
        </w:rPr>
        <w:t>.</w:t>
      </w:r>
    </w:p>
    <w:p w14:paraId="6F35C5EC" w14:textId="7CF6D23C" w:rsidR="006E4D33" w:rsidRPr="007F42BD" w:rsidRDefault="006E4D33" w:rsidP="006E4D33">
      <w:pPr>
        <w:pStyle w:val="Akapitzlist"/>
        <w:spacing w:after="0" w:line="360" w:lineRule="auto"/>
        <w:jc w:val="both"/>
        <w:rPr>
          <w:rFonts w:ascii="Cambria" w:hAnsi="Cambria" w:cs="Times New Roman"/>
          <w:b/>
          <w:bCs/>
          <w:sz w:val="24"/>
          <w:szCs w:val="24"/>
        </w:rPr>
      </w:pPr>
    </w:p>
    <w:p w14:paraId="23E78997" w14:textId="77777777" w:rsidR="00C21D3D" w:rsidRPr="007F42BD" w:rsidRDefault="002036D3" w:rsidP="00364EE7">
      <w:pPr>
        <w:pStyle w:val="Akapitzlist"/>
        <w:numPr>
          <w:ilvl w:val="0"/>
          <w:numId w:val="2"/>
        </w:numPr>
        <w:spacing w:after="120" w:line="276" w:lineRule="auto"/>
        <w:jc w:val="both"/>
        <w:rPr>
          <w:rFonts w:ascii="Cambria" w:hAnsi="Cambria" w:cs="Times New Roman"/>
          <w:b/>
          <w:bCs/>
          <w:sz w:val="24"/>
          <w:szCs w:val="24"/>
        </w:rPr>
      </w:pPr>
      <w:r w:rsidRPr="007F42BD">
        <w:rPr>
          <w:rFonts w:ascii="Cambria" w:hAnsi="Cambria" w:cs="Times New Roman"/>
          <w:b/>
          <w:bCs/>
          <w:sz w:val="24"/>
          <w:szCs w:val="24"/>
        </w:rPr>
        <w:t>Uzyskanie t</w:t>
      </w:r>
      <w:r w:rsidR="00CC70DB" w:rsidRPr="007F42BD">
        <w:rPr>
          <w:rFonts w:ascii="Cambria" w:hAnsi="Cambria" w:cs="Times New Roman"/>
          <w:b/>
          <w:bCs/>
          <w:sz w:val="24"/>
          <w:szCs w:val="24"/>
        </w:rPr>
        <w:t>ytuł</w:t>
      </w:r>
      <w:r w:rsidRPr="007F42BD">
        <w:rPr>
          <w:rFonts w:ascii="Cambria" w:hAnsi="Cambria" w:cs="Times New Roman"/>
          <w:b/>
          <w:bCs/>
          <w:sz w:val="24"/>
          <w:szCs w:val="24"/>
        </w:rPr>
        <w:t>u</w:t>
      </w:r>
      <w:r w:rsidR="00CC70DB" w:rsidRPr="007F42BD">
        <w:rPr>
          <w:rFonts w:ascii="Cambria" w:hAnsi="Cambria" w:cs="Times New Roman"/>
          <w:b/>
          <w:bCs/>
          <w:sz w:val="24"/>
          <w:szCs w:val="24"/>
        </w:rPr>
        <w:t xml:space="preserve"> zawodow</w:t>
      </w:r>
      <w:r w:rsidRPr="007F42BD">
        <w:rPr>
          <w:rFonts w:ascii="Cambria" w:hAnsi="Cambria" w:cs="Times New Roman"/>
          <w:b/>
          <w:bCs/>
          <w:sz w:val="24"/>
          <w:szCs w:val="24"/>
        </w:rPr>
        <w:t>ego</w:t>
      </w:r>
      <w:r w:rsidR="00CC70DB" w:rsidRPr="007F42BD">
        <w:rPr>
          <w:rFonts w:ascii="Cambria" w:hAnsi="Cambria" w:cs="Times New Roman"/>
          <w:b/>
          <w:bCs/>
          <w:sz w:val="24"/>
          <w:szCs w:val="24"/>
        </w:rPr>
        <w:t xml:space="preserve"> magistra </w:t>
      </w:r>
      <w:r w:rsidR="00CC70DB" w:rsidRPr="007F42BD">
        <w:rPr>
          <w:rFonts w:ascii="Cambria" w:hAnsi="Cambria" w:cs="Times New Roman"/>
          <w:sz w:val="24"/>
          <w:szCs w:val="24"/>
        </w:rPr>
        <w:t xml:space="preserve">w dniu 4 czerwca 2008 r. po ukończeniu </w:t>
      </w:r>
      <w:r w:rsidRPr="007F42BD">
        <w:rPr>
          <w:rFonts w:ascii="Cambria" w:hAnsi="Cambria" w:cs="Times New Roman"/>
          <w:sz w:val="24"/>
          <w:szCs w:val="24"/>
        </w:rPr>
        <w:t xml:space="preserve">pięcioletnich </w:t>
      </w:r>
      <w:r w:rsidR="00CC70DB" w:rsidRPr="007F42BD">
        <w:rPr>
          <w:rFonts w:ascii="Cambria" w:hAnsi="Cambria" w:cs="Times New Roman"/>
          <w:sz w:val="24"/>
          <w:szCs w:val="24"/>
        </w:rPr>
        <w:t>stacjonarnych studiów</w:t>
      </w:r>
      <w:r w:rsidR="00AE5561" w:rsidRPr="007F42BD">
        <w:rPr>
          <w:rFonts w:ascii="Cambria" w:hAnsi="Cambria" w:cs="Times New Roman"/>
          <w:sz w:val="24"/>
          <w:szCs w:val="24"/>
        </w:rPr>
        <w:t xml:space="preserve"> w zakresie prawa</w:t>
      </w:r>
      <w:r w:rsidR="00600B06" w:rsidRPr="007F42BD">
        <w:rPr>
          <w:rFonts w:ascii="Cambria" w:hAnsi="Cambria" w:cs="Times New Roman"/>
          <w:sz w:val="24"/>
          <w:szCs w:val="24"/>
        </w:rPr>
        <w:t xml:space="preserve"> (lata 2003 – 2008) – </w:t>
      </w:r>
      <w:r w:rsidRPr="007F42BD">
        <w:rPr>
          <w:rFonts w:ascii="Cambria" w:hAnsi="Cambria" w:cs="Times New Roman"/>
          <w:b/>
          <w:bCs/>
          <w:sz w:val="24"/>
          <w:szCs w:val="24"/>
        </w:rPr>
        <w:t>kierun</w:t>
      </w:r>
      <w:r w:rsidR="00600B06" w:rsidRPr="007F42BD">
        <w:rPr>
          <w:rFonts w:ascii="Cambria" w:hAnsi="Cambria" w:cs="Times New Roman"/>
          <w:b/>
          <w:bCs/>
          <w:sz w:val="24"/>
          <w:szCs w:val="24"/>
        </w:rPr>
        <w:t>ek</w:t>
      </w:r>
      <w:r w:rsidR="00C21D3D" w:rsidRPr="007F42BD">
        <w:rPr>
          <w:rFonts w:ascii="Cambria" w:hAnsi="Cambria" w:cs="Times New Roman"/>
          <w:b/>
          <w:bCs/>
          <w:sz w:val="24"/>
          <w:szCs w:val="24"/>
        </w:rPr>
        <w:t>:</w:t>
      </w:r>
      <w:r w:rsidR="00600B06" w:rsidRPr="007F42BD">
        <w:rPr>
          <w:rFonts w:ascii="Cambria" w:hAnsi="Cambria" w:cs="Times New Roman"/>
          <w:b/>
          <w:bCs/>
          <w:sz w:val="24"/>
          <w:szCs w:val="24"/>
        </w:rPr>
        <w:t xml:space="preserve"> </w:t>
      </w:r>
      <w:r w:rsidRPr="007F42BD">
        <w:rPr>
          <w:rFonts w:ascii="Cambria" w:hAnsi="Cambria" w:cs="Times New Roman"/>
          <w:b/>
          <w:bCs/>
          <w:sz w:val="24"/>
          <w:szCs w:val="24"/>
        </w:rPr>
        <w:t>Prawo</w:t>
      </w:r>
      <w:r w:rsidR="00600B06" w:rsidRPr="007F42BD">
        <w:rPr>
          <w:rFonts w:ascii="Cambria" w:hAnsi="Cambria" w:cs="Times New Roman"/>
          <w:b/>
          <w:bCs/>
          <w:sz w:val="24"/>
          <w:szCs w:val="24"/>
        </w:rPr>
        <w:t xml:space="preserve">, </w:t>
      </w:r>
      <w:r w:rsidRPr="007F42BD">
        <w:rPr>
          <w:rFonts w:ascii="Cambria" w:hAnsi="Cambria" w:cs="Times New Roman"/>
          <w:b/>
          <w:bCs/>
          <w:sz w:val="24"/>
          <w:szCs w:val="24"/>
        </w:rPr>
        <w:t>Wydzia</w:t>
      </w:r>
      <w:r w:rsidR="00600B06" w:rsidRPr="007F42BD">
        <w:rPr>
          <w:rFonts w:ascii="Cambria" w:hAnsi="Cambria" w:cs="Times New Roman"/>
          <w:b/>
          <w:bCs/>
          <w:sz w:val="24"/>
          <w:szCs w:val="24"/>
        </w:rPr>
        <w:t>ł</w:t>
      </w:r>
      <w:r w:rsidRPr="007F42BD">
        <w:rPr>
          <w:rFonts w:ascii="Cambria" w:hAnsi="Cambria" w:cs="Times New Roman"/>
          <w:b/>
          <w:bCs/>
          <w:sz w:val="24"/>
          <w:szCs w:val="24"/>
        </w:rPr>
        <w:t xml:space="preserve"> Prawa i Administracji Uniwersytetu Marii Curie – Skłodowskiej w Lublinie</w:t>
      </w:r>
      <w:r w:rsidR="00600B06" w:rsidRPr="007F42BD">
        <w:rPr>
          <w:rFonts w:ascii="Cambria" w:hAnsi="Cambria" w:cs="Times New Roman"/>
          <w:b/>
          <w:bCs/>
          <w:sz w:val="24"/>
          <w:szCs w:val="24"/>
        </w:rPr>
        <w:t xml:space="preserve"> </w:t>
      </w:r>
    </w:p>
    <w:p w14:paraId="4A86A0C9" w14:textId="77777777" w:rsidR="00C21D3D" w:rsidRPr="007F42BD" w:rsidRDefault="00CC70DB" w:rsidP="00364EE7">
      <w:pPr>
        <w:pStyle w:val="Akapitzlist"/>
        <w:numPr>
          <w:ilvl w:val="0"/>
          <w:numId w:val="17"/>
        </w:numPr>
        <w:spacing w:after="120" w:line="276" w:lineRule="auto"/>
        <w:jc w:val="both"/>
        <w:rPr>
          <w:rFonts w:ascii="Cambria" w:hAnsi="Cambria" w:cs="Times New Roman"/>
          <w:b/>
          <w:bCs/>
          <w:sz w:val="24"/>
          <w:szCs w:val="24"/>
        </w:rPr>
      </w:pPr>
      <w:r w:rsidRPr="007F42BD">
        <w:rPr>
          <w:rFonts w:ascii="Cambria" w:hAnsi="Cambria" w:cs="Times New Roman"/>
          <w:b/>
          <w:bCs/>
          <w:sz w:val="24"/>
          <w:szCs w:val="24"/>
        </w:rPr>
        <w:t>egzamin</w:t>
      </w:r>
      <w:r w:rsidR="00600B06" w:rsidRPr="007F42BD">
        <w:rPr>
          <w:rFonts w:ascii="Cambria" w:hAnsi="Cambria" w:cs="Times New Roman"/>
          <w:b/>
          <w:bCs/>
          <w:sz w:val="24"/>
          <w:szCs w:val="24"/>
        </w:rPr>
        <w:t xml:space="preserve"> </w:t>
      </w:r>
      <w:r w:rsidRPr="007F42BD">
        <w:rPr>
          <w:rFonts w:ascii="Cambria" w:hAnsi="Cambria" w:cs="Times New Roman"/>
          <w:b/>
          <w:bCs/>
          <w:sz w:val="24"/>
          <w:szCs w:val="24"/>
        </w:rPr>
        <w:t xml:space="preserve"> magisterski złożony z oceną </w:t>
      </w:r>
      <w:r w:rsidRPr="007F42BD">
        <w:rPr>
          <w:rFonts w:ascii="Cambria" w:hAnsi="Cambria" w:cs="Times New Roman"/>
          <w:b/>
          <w:bCs/>
          <w:i/>
          <w:iCs/>
          <w:sz w:val="24"/>
          <w:szCs w:val="24"/>
        </w:rPr>
        <w:t>bardzo dobrą</w:t>
      </w:r>
      <w:r w:rsidRPr="007F42BD">
        <w:rPr>
          <w:rFonts w:ascii="Cambria" w:hAnsi="Cambria" w:cs="Times New Roman"/>
          <w:b/>
          <w:bCs/>
          <w:sz w:val="24"/>
          <w:szCs w:val="24"/>
        </w:rPr>
        <w:t xml:space="preserve">, ocena pracy magisterskiej – </w:t>
      </w:r>
      <w:r w:rsidRPr="007F42BD">
        <w:rPr>
          <w:rFonts w:ascii="Cambria" w:hAnsi="Cambria" w:cs="Times New Roman"/>
          <w:b/>
          <w:bCs/>
          <w:i/>
          <w:iCs/>
          <w:sz w:val="24"/>
          <w:szCs w:val="24"/>
        </w:rPr>
        <w:t>bardzo dobra</w:t>
      </w:r>
      <w:r w:rsidRPr="007F42BD">
        <w:rPr>
          <w:rFonts w:ascii="Cambria" w:hAnsi="Cambria" w:cs="Times New Roman"/>
          <w:b/>
          <w:bCs/>
          <w:sz w:val="24"/>
          <w:szCs w:val="24"/>
        </w:rPr>
        <w:t xml:space="preserve">, </w:t>
      </w:r>
    </w:p>
    <w:p w14:paraId="54D3221F" w14:textId="7785C114" w:rsidR="00CC70DB" w:rsidRPr="007F42BD" w:rsidRDefault="00CC70DB" w:rsidP="00364EE7">
      <w:pPr>
        <w:pStyle w:val="Akapitzlist"/>
        <w:numPr>
          <w:ilvl w:val="0"/>
          <w:numId w:val="17"/>
        </w:numPr>
        <w:spacing w:after="120" w:line="276" w:lineRule="auto"/>
        <w:jc w:val="both"/>
        <w:rPr>
          <w:rFonts w:ascii="Cambria" w:hAnsi="Cambria" w:cs="Times New Roman"/>
          <w:sz w:val="24"/>
          <w:szCs w:val="24"/>
        </w:rPr>
      </w:pPr>
      <w:r w:rsidRPr="007F42BD">
        <w:rPr>
          <w:rFonts w:ascii="Cambria" w:hAnsi="Cambria" w:cs="Times New Roman"/>
          <w:b/>
          <w:bCs/>
          <w:sz w:val="24"/>
          <w:szCs w:val="24"/>
        </w:rPr>
        <w:t>studia magisterskie ukończone z</w:t>
      </w:r>
      <w:r w:rsidRPr="007F42BD">
        <w:rPr>
          <w:rFonts w:ascii="Cambria" w:hAnsi="Cambria" w:cs="Times New Roman"/>
          <w:b/>
          <w:bCs/>
          <w:i/>
          <w:iCs/>
          <w:sz w:val="24"/>
          <w:szCs w:val="24"/>
        </w:rPr>
        <w:t xml:space="preserve"> wyróżnieniem ze względu na bardzo dobre wyniki w nauce</w:t>
      </w:r>
      <w:r w:rsidRPr="007F42BD">
        <w:rPr>
          <w:rFonts w:ascii="Cambria" w:hAnsi="Cambria" w:cs="Times New Roman"/>
          <w:b/>
          <w:bCs/>
          <w:sz w:val="24"/>
          <w:szCs w:val="24"/>
        </w:rPr>
        <w:t xml:space="preserve"> </w:t>
      </w:r>
      <w:r w:rsidR="00C21D3D" w:rsidRPr="007F42BD">
        <w:rPr>
          <w:rFonts w:ascii="Cambria" w:hAnsi="Cambria" w:cs="Times New Roman"/>
          <w:sz w:val="24"/>
          <w:szCs w:val="24"/>
        </w:rPr>
        <w:t>(</w:t>
      </w:r>
      <w:r w:rsidRPr="007F42BD">
        <w:rPr>
          <w:rFonts w:ascii="Cambria" w:hAnsi="Cambria" w:cs="Times New Roman"/>
          <w:sz w:val="24"/>
          <w:szCs w:val="24"/>
        </w:rPr>
        <w:t>dyplom uznania z dnia 18 lipca 2008 r. nr 1323)</w:t>
      </w:r>
      <w:r w:rsidR="00AE5561" w:rsidRPr="007F42BD">
        <w:rPr>
          <w:rFonts w:ascii="Cambria" w:hAnsi="Cambria" w:cs="Times New Roman"/>
          <w:sz w:val="24"/>
          <w:szCs w:val="24"/>
        </w:rPr>
        <w:t>;</w:t>
      </w:r>
    </w:p>
    <w:p w14:paraId="42D0D9DA" w14:textId="50F3FABA" w:rsidR="00CC70DB" w:rsidRPr="007F42BD" w:rsidRDefault="00CC70DB" w:rsidP="00600B06">
      <w:pPr>
        <w:pStyle w:val="Akapitzlist"/>
        <w:spacing w:after="120" w:line="276" w:lineRule="auto"/>
        <w:ind w:left="1440"/>
        <w:jc w:val="both"/>
        <w:rPr>
          <w:rFonts w:ascii="Cambria" w:hAnsi="Cambria" w:cs="Times New Roman"/>
          <w:b/>
          <w:bCs/>
          <w:i/>
          <w:iCs/>
          <w:sz w:val="24"/>
          <w:szCs w:val="24"/>
        </w:rPr>
      </w:pPr>
      <w:r w:rsidRPr="007F42BD">
        <w:rPr>
          <w:rFonts w:ascii="Cambria" w:hAnsi="Cambria" w:cs="Times New Roman"/>
          <w:b/>
          <w:bCs/>
          <w:sz w:val="24"/>
          <w:szCs w:val="24"/>
          <w:u w:val="single"/>
        </w:rPr>
        <w:t>Tytuł pracy magisterskiej</w:t>
      </w:r>
      <w:r w:rsidRPr="007F42BD">
        <w:rPr>
          <w:rFonts w:ascii="Cambria" w:hAnsi="Cambria" w:cs="Times New Roman"/>
          <w:b/>
          <w:bCs/>
          <w:sz w:val="24"/>
          <w:szCs w:val="24"/>
        </w:rPr>
        <w:t xml:space="preserve">: </w:t>
      </w:r>
      <w:r w:rsidR="00AE5561" w:rsidRPr="007F42BD">
        <w:rPr>
          <w:rFonts w:ascii="Cambria" w:hAnsi="Cambria" w:cs="Times New Roman"/>
          <w:sz w:val="24"/>
          <w:szCs w:val="24"/>
        </w:rPr>
        <w:t>„</w:t>
      </w:r>
      <w:r w:rsidRPr="007F42BD">
        <w:rPr>
          <w:rFonts w:ascii="Cambria" w:hAnsi="Cambria" w:cs="Times New Roman"/>
          <w:i/>
          <w:iCs/>
          <w:sz w:val="24"/>
          <w:szCs w:val="24"/>
        </w:rPr>
        <w:t>Dochodzenie i zaspokojenie wierzytelności zabezpieczonych rzeczowo w postępowaniu cywilnym</w:t>
      </w:r>
      <w:r w:rsidR="00AE5561" w:rsidRPr="007F42BD">
        <w:rPr>
          <w:rFonts w:ascii="Cambria" w:hAnsi="Cambria" w:cs="Times New Roman"/>
          <w:i/>
          <w:iCs/>
          <w:sz w:val="24"/>
          <w:szCs w:val="24"/>
        </w:rPr>
        <w:t>”</w:t>
      </w:r>
    </w:p>
    <w:p w14:paraId="0FD2D8D2" w14:textId="21A75E6E" w:rsidR="00C21D3D" w:rsidRPr="007F42BD" w:rsidRDefault="00CC70DB" w:rsidP="00C21D3D">
      <w:pPr>
        <w:pStyle w:val="Akapitzlist"/>
        <w:spacing w:after="120" w:line="276" w:lineRule="auto"/>
        <w:ind w:left="1440"/>
        <w:jc w:val="both"/>
        <w:rPr>
          <w:rFonts w:ascii="Cambria" w:hAnsi="Cambria" w:cs="Times New Roman"/>
          <w:sz w:val="24"/>
          <w:szCs w:val="24"/>
        </w:rPr>
      </w:pPr>
      <w:r w:rsidRPr="007F42BD">
        <w:rPr>
          <w:rFonts w:ascii="Cambria" w:hAnsi="Cambria" w:cs="Times New Roman"/>
          <w:b/>
          <w:bCs/>
          <w:sz w:val="24"/>
          <w:szCs w:val="24"/>
          <w:u w:val="single"/>
        </w:rPr>
        <w:t>Promotor</w:t>
      </w:r>
      <w:r w:rsidRPr="007F42BD">
        <w:rPr>
          <w:rFonts w:ascii="Cambria" w:hAnsi="Cambria" w:cs="Times New Roman"/>
          <w:b/>
          <w:bCs/>
          <w:sz w:val="24"/>
          <w:szCs w:val="24"/>
        </w:rPr>
        <w:t>:</w:t>
      </w:r>
      <w:r w:rsidRPr="007F42BD">
        <w:rPr>
          <w:rFonts w:ascii="Cambria" w:hAnsi="Cambria" w:cs="Times New Roman"/>
          <w:b/>
          <w:bCs/>
          <w:i/>
          <w:iCs/>
          <w:sz w:val="24"/>
          <w:szCs w:val="24"/>
        </w:rPr>
        <w:t xml:space="preserve"> </w:t>
      </w:r>
      <w:r w:rsidRPr="007F42BD">
        <w:rPr>
          <w:rFonts w:ascii="Cambria" w:hAnsi="Cambria" w:cs="Times New Roman"/>
          <w:sz w:val="24"/>
          <w:szCs w:val="24"/>
        </w:rPr>
        <w:t>Prof. dr hab. Andrzej Jakubeck</w:t>
      </w:r>
      <w:r w:rsidR="00C21D3D" w:rsidRPr="007F42BD">
        <w:rPr>
          <w:rFonts w:ascii="Cambria" w:hAnsi="Cambria" w:cs="Times New Roman"/>
          <w:sz w:val="24"/>
          <w:szCs w:val="24"/>
        </w:rPr>
        <w:t>i</w:t>
      </w:r>
    </w:p>
    <w:p w14:paraId="2CDE71C3" w14:textId="77777777" w:rsidR="00C21D3D" w:rsidRPr="007F42BD" w:rsidRDefault="00C21D3D" w:rsidP="00C21D3D">
      <w:pPr>
        <w:pStyle w:val="Akapitzlist"/>
        <w:spacing w:after="120" w:line="276" w:lineRule="auto"/>
        <w:ind w:left="1440"/>
        <w:jc w:val="both"/>
        <w:rPr>
          <w:rFonts w:ascii="Cambria" w:hAnsi="Cambria" w:cs="Times New Roman"/>
          <w:sz w:val="24"/>
          <w:szCs w:val="24"/>
        </w:rPr>
      </w:pPr>
    </w:p>
    <w:p w14:paraId="7801AC7B" w14:textId="5F189BD9" w:rsidR="00C21D3D" w:rsidRPr="007F42BD" w:rsidRDefault="008D02BB" w:rsidP="00364EE7">
      <w:pPr>
        <w:pStyle w:val="Akapitzlist"/>
        <w:numPr>
          <w:ilvl w:val="0"/>
          <w:numId w:val="2"/>
        </w:numPr>
        <w:spacing w:after="120" w:line="276" w:lineRule="auto"/>
        <w:jc w:val="both"/>
        <w:rPr>
          <w:rFonts w:ascii="Cambria" w:hAnsi="Cambria" w:cs="Times New Roman"/>
          <w:sz w:val="24"/>
          <w:szCs w:val="24"/>
          <w:lang w:val="en-GB"/>
        </w:rPr>
      </w:pPr>
      <w:r w:rsidRPr="007F42BD">
        <w:rPr>
          <w:rFonts w:ascii="Cambria" w:hAnsi="Cambria" w:cs="Times New Roman"/>
          <w:b/>
          <w:bCs/>
          <w:sz w:val="24"/>
          <w:szCs w:val="24"/>
          <w:lang w:val="en-GB"/>
        </w:rPr>
        <w:t>U</w:t>
      </w:r>
      <w:r w:rsidR="00CC70DB" w:rsidRPr="007F42BD">
        <w:rPr>
          <w:rFonts w:ascii="Cambria" w:hAnsi="Cambria" w:cs="Times New Roman"/>
          <w:b/>
          <w:bCs/>
          <w:sz w:val="24"/>
          <w:szCs w:val="24"/>
          <w:lang w:val="en-GB"/>
        </w:rPr>
        <w:t>kończeni</w:t>
      </w:r>
      <w:r w:rsidRPr="007F42BD">
        <w:rPr>
          <w:rFonts w:ascii="Cambria" w:hAnsi="Cambria" w:cs="Times New Roman"/>
          <w:b/>
          <w:bCs/>
          <w:sz w:val="24"/>
          <w:szCs w:val="24"/>
          <w:lang w:val="en-GB"/>
        </w:rPr>
        <w:t>e</w:t>
      </w:r>
      <w:r w:rsidR="00CC70DB" w:rsidRPr="007F42BD">
        <w:rPr>
          <w:rFonts w:ascii="Cambria" w:hAnsi="Cambria" w:cs="Times New Roman"/>
          <w:b/>
          <w:bCs/>
          <w:sz w:val="24"/>
          <w:szCs w:val="24"/>
          <w:lang w:val="en-GB"/>
        </w:rPr>
        <w:t xml:space="preserve"> </w:t>
      </w:r>
      <w:r w:rsidR="00AE5561" w:rsidRPr="007F42BD">
        <w:rPr>
          <w:rFonts w:ascii="Cambria" w:hAnsi="Cambria" w:cs="Times New Roman"/>
          <w:b/>
          <w:bCs/>
          <w:sz w:val="24"/>
          <w:szCs w:val="24"/>
          <w:lang w:val="en-GB"/>
        </w:rPr>
        <w:t>szkoły prawa obcego “</w:t>
      </w:r>
      <w:r w:rsidR="00CC70DB" w:rsidRPr="007F42BD">
        <w:rPr>
          <w:rFonts w:ascii="Cambria" w:hAnsi="Cambria" w:cs="Times New Roman"/>
          <w:b/>
          <w:bCs/>
          <w:sz w:val="24"/>
          <w:szCs w:val="24"/>
          <w:lang w:val="en-GB"/>
        </w:rPr>
        <w:t>An Introduction to English Law and the Law of the EU</w:t>
      </w:r>
      <w:r w:rsidR="00AE5561" w:rsidRPr="007F42BD">
        <w:rPr>
          <w:rFonts w:ascii="Cambria" w:hAnsi="Cambria" w:cs="Times New Roman"/>
          <w:b/>
          <w:bCs/>
          <w:sz w:val="24"/>
          <w:szCs w:val="24"/>
          <w:lang w:val="en-GB"/>
        </w:rPr>
        <w:t xml:space="preserve">” </w:t>
      </w:r>
      <w:r w:rsidR="00AE5561" w:rsidRPr="007F42BD">
        <w:rPr>
          <w:rFonts w:ascii="Cambria" w:hAnsi="Cambria" w:cs="Times New Roman"/>
          <w:sz w:val="24"/>
          <w:szCs w:val="24"/>
          <w:lang w:val="en-GB"/>
        </w:rPr>
        <w:t>(w latach 2006 – 2008)</w:t>
      </w:r>
      <w:r w:rsidR="00CC70DB" w:rsidRPr="007F42BD">
        <w:rPr>
          <w:rFonts w:ascii="Cambria" w:hAnsi="Cambria" w:cs="Times New Roman"/>
          <w:sz w:val="24"/>
          <w:szCs w:val="24"/>
          <w:lang w:val="en-GB"/>
        </w:rPr>
        <w:t>,</w:t>
      </w:r>
      <w:r w:rsidR="00CC70DB" w:rsidRPr="007F42BD">
        <w:rPr>
          <w:rFonts w:ascii="Cambria" w:hAnsi="Cambria" w:cs="Times New Roman"/>
          <w:b/>
          <w:bCs/>
          <w:sz w:val="24"/>
          <w:szCs w:val="24"/>
          <w:lang w:val="en-GB"/>
        </w:rPr>
        <w:t xml:space="preserve"> Institute of Continuing Education, University of Cambridge</w:t>
      </w:r>
      <w:r w:rsidRPr="007F42BD">
        <w:rPr>
          <w:rFonts w:ascii="Cambria" w:hAnsi="Cambria" w:cs="Times New Roman"/>
          <w:b/>
          <w:bCs/>
          <w:sz w:val="24"/>
          <w:szCs w:val="24"/>
          <w:lang w:val="en-GB"/>
        </w:rPr>
        <w:t xml:space="preserve"> </w:t>
      </w:r>
      <w:r w:rsidR="00AE5561" w:rsidRPr="007F42BD">
        <w:rPr>
          <w:rFonts w:ascii="Cambria" w:hAnsi="Cambria" w:cs="Times New Roman"/>
          <w:sz w:val="24"/>
          <w:szCs w:val="24"/>
          <w:lang w:val="en-GB"/>
        </w:rPr>
        <w:t>(</w:t>
      </w:r>
      <w:r w:rsidRPr="007F42BD">
        <w:rPr>
          <w:rFonts w:ascii="Cambria" w:hAnsi="Cambria" w:cs="Times New Roman"/>
          <w:sz w:val="24"/>
          <w:szCs w:val="24"/>
          <w:lang w:val="en-GB"/>
        </w:rPr>
        <w:t>dyplom z dnia 19 stycznia 2009 r.</w:t>
      </w:r>
      <w:r w:rsidR="00AE5561" w:rsidRPr="007F42BD">
        <w:rPr>
          <w:rFonts w:ascii="Cambria" w:hAnsi="Cambria" w:cs="Times New Roman"/>
          <w:sz w:val="24"/>
          <w:szCs w:val="24"/>
          <w:lang w:val="en-GB"/>
        </w:rPr>
        <w:t>);</w:t>
      </w:r>
    </w:p>
    <w:p w14:paraId="0B164657" w14:textId="679B722E" w:rsidR="00AE5561" w:rsidRPr="007F42BD" w:rsidRDefault="008D02BB" w:rsidP="00364EE7">
      <w:pPr>
        <w:pStyle w:val="Akapitzlist"/>
        <w:numPr>
          <w:ilvl w:val="0"/>
          <w:numId w:val="2"/>
        </w:numPr>
        <w:spacing w:after="120" w:line="276" w:lineRule="auto"/>
        <w:jc w:val="both"/>
        <w:rPr>
          <w:rFonts w:ascii="Cambria" w:hAnsi="Cambria" w:cs="Times New Roman"/>
          <w:sz w:val="24"/>
          <w:szCs w:val="24"/>
        </w:rPr>
      </w:pPr>
      <w:r w:rsidRPr="007F42BD">
        <w:rPr>
          <w:rFonts w:ascii="Cambria" w:hAnsi="Cambria" w:cs="Times New Roman"/>
          <w:b/>
          <w:bCs/>
          <w:sz w:val="24"/>
          <w:szCs w:val="24"/>
        </w:rPr>
        <w:t>U</w:t>
      </w:r>
      <w:r w:rsidR="00CC70DB" w:rsidRPr="007F42BD">
        <w:rPr>
          <w:rFonts w:ascii="Cambria" w:hAnsi="Cambria" w:cs="Times New Roman"/>
          <w:b/>
          <w:bCs/>
          <w:sz w:val="24"/>
          <w:szCs w:val="24"/>
        </w:rPr>
        <w:t>kończeni</w:t>
      </w:r>
      <w:r w:rsidRPr="007F42BD">
        <w:rPr>
          <w:rFonts w:ascii="Cambria" w:hAnsi="Cambria" w:cs="Times New Roman"/>
          <w:b/>
          <w:bCs/>
          <w:sz w:val="24"/>
          <w:szCs w:val="24"/>
        </w:rPr>
        <w:t>e</w:t>
      </w:r>
      <w:r w:rsidR="00CC70DB" w:rsidRPr="007F42BD">
        <w:rPr>
          <w:rFonts w:ascii="Cambria" w:hAnsi="Cambria" w:cs="Times New Roman"/>
          <w:b/>
          <w:bCs/>
          <w:sz w:val="24"/>
          <w:szCs w:val="24"/>
        </w:rPr>
        <w:t xml:space="preserve"> Akademii Młodych Dyplomatów (specjalizacja: instytucje międzynarodowe) w latach 2007 – 2008 </w:t>
      </w:r>
      <w:r w:rsidR="00CC70DB" w:rsidRPr="007F42BD">
        <w:rPr>
          <w:rFonts w:ascii="Cambria" w:hAnsi="Cambria" w:cs="Times New Roman"/>
          <w:sz w:val="24"/>
          <w:szCs w:val="24"/>
        </w:rPr>
        <w:t xml:space="preserve">(nr dyplomu 163/2008, </w:t>
      </w:r>
      <w:r w:rsidR="009F5769">
        <w:rPr>
          <w:rFonts w:ascii="Cambria" w:hAnsi="Cambria" w:cs="Times New Roman"/>
          <w:sz w:val="24"/>
          <w:szCs w:val="24"/>
        </w:rPr>
        <w:t xml:space="preserve">dnia </w:t>
      </w:r>
      <w:r w:rsidR="00CC70DB" w:rsidRPr="007F42BD">
        <w:rPr>
          <w:rFonts w:ascii="Cambria" w:hAnsi="Cambria" w:cs="Times New Roman"/>
          <w:sz w:val="24"/>
          <w:szCs w:val="24"/>
        </w:rPr>
        <w:t>29 listopada 2008 r.)</w:t>
      </w:r>
      <w:r w:rsidR="00AE5561" w:rsidRPr="007F42BD">
        <w:rPr>
          <w:rFonts w:ascii="Cambria" w:hAnsi="Cambria" w:cs="Times New Roman"/>
          <w:sz w:val="24"/>
          <w:szCs w:val="24"/>
        </w:rPr>
        <w:t>;</w:t>
      </w:r>
    </w:p>
    <w:p w14:paraId="33EEDD55" w14:textId="0BCC42F9" w:rsidR="00CC70DB" w:rsidRPr="007F42BD" w:rsidRDefault="008D02BB" w:rsidP="00364EE7">
      <w:pPr>
        <w:pStyle w:val="Akapitzlist"/>
        <w:numPr>
          <w:ilvl w:val="0"/>
          <w:numId w:val="2"/>
        </w:numPr>
        <w:spacing w:after="120" w:line="276" w:lineRule="auto"/>
        <w:jc w:val="both"/>
        <w:rPr>
          <w:rFonts w:ascii="Cambria" w:hAnsi="Cambria" w:cs="Times New Roman"/>
          <w:sz w:val="24"/>
          <w:szCs w:val="24"/>
        </w:rPr>
      </w:pPr>
      <w:r w:rsidRPr="007F42BD">
        <w:rPr>
          <w:rFonts w:ascii="Cambria" w:hAnsi="Cambria" w:cs="Times New Roman"/>
          <w:b/>
          <w:bCs/>
          <w:sz w:val="24"/>
          <w:szCs w:val="24"/>
        </w:rPr>
        <w:t>U</w:t>
      </w:r>
      <w:r w:rsidR="00CC70DB" w:rsidRPr="007F42BD">
        <w:rPr>
          <w:rFonts w:ascii="Cambria" w:hAnsi="Cambria" w:cs="Times New Roman"/>
          <w:b/>
          <w:bCs/>
          <w:sz w:val="24"/>
          <w:szCs w:val="24"/>
        </w:rPr>
        <w:t>kończeni</w:t>
      </w:r>
      <w:r w:rsidRPr="007F42BD">
        <w:rPr>
          <w:rFonts w:ascii="Cambria" w:hAnsi="Cambria" w:cs="Times New Roman"/>
          <w:b/>
          <w:bCs/>
          <w:sz w:val="24"/>
          <w:szCs w:val="24"/>
        </w:rPr>
        <w:t>e L</w:t>
      </w:r>
      <w:r w:rsidR="00CC70DB" w:rsidRPr="007F42BD">
        <w:rPr>
          <w:rFonts w:ascii="Cambria" w:hAnsi="Cambria" w:cs="Times New Roman"/>
          <w:b/>
          <w:bCs/>
          <w:sz w:val="24"/>
          <w:szCs w:val="24"/>
        </w:rPr>
        <w:t>ubelskiej Akademii Unii Europejskiej</w:t>
      </w:r>
      <w:r w:rsidR="00E5713B" w:rsidRPr="007F42BD">
        <w:rPr>
          <w:rFonts w:ascii="Cambria" w:hAnsi="Cambria" w:cs="Times New Roman"/>
          <w:b/>
          <w:bCs/>
          <w:sz w:val="24"/>
          <w:szCs w:val="24"/>
        </w:rPr>
        <w:t xml:space="preserve"> – ocena </w:t>
      </w:r>
      <w:r w:rsidR="00E5713B" w:rsidRPr="007F42BD">
        <w:rPr>
          <w:rFonts w:ascii="Cambria" w:hAnsi="Cambria" w:cs="Times New Roman"/>
          <w:b/>
          <w:bCs/>
          <w:i/>
          <w:iCs/>
          <w:sz w:val="24"/>
          <w:szCs w:val="24"/>
        </w:rPr>
        <w:t>bardzo dobra</w:t>
      </w:r>
      <w:r w:rsidR="00CC70DB" w:rsidRPr="007F42BD">
        <w:rPr>
          <w:rFonts w:ascii="Cambria" w:hAnsi="Cambria" w:cs="Times New Roman"/>
          <w:b/>
          <w:bCs/>
          <w:sz w:val="24"/>
          <w:szCs w:val="24"/>
        </w:rPr>
        <w:t xml:space="preserve"> </w:t>
      </w:r>
      <w:r w:rsidR="00E5713B" w:rsidRPr="007F42BD">
        <w:rPr>
          <w:rFonts w:ascii="Cambria" w:hAnsi="Cambria" w:cs="Times New Roman"/>
          <w:sz w:val="24"/>
          <w:szCs w:val="24"/>
        </w:rPr>
        <w:t>(</w:t>
      </w:r>
      <w:r w:rsidRPr="007F42BD">
        <w:rPr>
          <w:rFonts w:ascii="Cambria" w:hAnsi="Cambria" w:cs="Times New Roman"/>
          <w:sz w:val="24"/>
          <w:szCs w:val="24"/>
        </w:rPr>
        <w:t xml:space="preserve">w latach </w:t>
      </w:r>
      <w:r w:rsidR="00CC70DB" w:rsidRPr="007F42BD">
        <w:rPr>
          <w:rFonts w:ascii="Cambria" w:hAnsi="Cambria" w:cs="Times New Roman"/>
          <w:sz w:val="24"/>
          <w:szCs w:val="24"/>
        </w:rPr>
        <w:t>2006 – 2007</w:t>
      </w:r>
      <w:r w:rsidR="00E5713B" w:rsidRPr="007F42BD">
        <w:rPr>
          <w:rFonts w:ascii="Cambria" w:hAnsi="Cambria" w:cs="Times New Roman"/>
          <w:sz w:val="24"/>
          <w:szCs w:val="24"/>
        </w:rPr>
        <w:t>)</w:t>
      </w:r>
      <w:r w:rsidR="00E5713B" w:rsidRPr="007F42BD">
        <w:rPr>
          <w:rFonts w:ascii="Cambria" w:hAnsi="Cambria" w:cs="Times New Roman"/>
          <w:b/>
          <w:bCs/>
          <w:sz w:val="24"/>
          <w:szCs w:val="24"/>
        </w:rPr>
        <w:t xml:space="preserve">, </w:t>
      </w:r>
      <w:r w:rsidR="00CC70DB" w:rsidRPr="007F42BD">
        <w:rPr>
          <w:rFonts w:ascii="Cambria" w:hAnsi="Cambria" w:cs="Times New Roman"/>
          <w:b/>
          <w:bCs/>
          <w:sz w:val="24"/>
          <w:szCs w:val="24"/>
        </w:rPr>
        <w:t>Towarzystwo Współpracy Europejskiej</w:t>
      </w:r>
      <w:r w:rsidRPr="007F42BD">
        <w:rPr>
          <w:rFonts w:ascii="Cambria" w:hAnsi="Cambria" w:cs="Times New Roman"/>
          <w:sz w:val="24"/>
          <w:szCs w:val="24"/>
        </w:rPr>
        <w:t xml:space="preserve"> (nr dyplomu 26/LAUE/2007</w:t>
      </w:r>
      <w:r w:rsidR="009F5769">
        <w:rPr>
          <w:rFonts w:ascii="Cambria" w:hAnsi="Cambria" w:cs="Times New Roman"/>
          <w:sz w:val="24"/>
          <w:szCs w:val="24"/>
        </w:rPr>
        <w:t>);</w:t>
      </w:r>
    </w:p>
    <w:p w14:paraId="79DAC16B" w14:textId="3632025B" w:rsidR="00CC70DB" w:rsidRPr="007F42BD" w:rsidRDefault="003342BE" w:rsidP="00364EE7">
      <w:pPr>
        <w:pStyle w:val="Akapitzlist"/>
        <w:numPr>
          <w:ilvl w:val="0"/>
          <w:numId w:val="2"/>
        </w:numPr>
        <w:spacing w:after="120" w:line="276" w:lineRule="auto"/>
        <w:jc w:val="both"/>
        <w:rPr>
          <w:rFonts w:ascii="Cambria" w:hAnsi="Cambria" w:cs="Times New Roman"/>
          <w:sz w:val="24"/>
          <w:szCs w:val="24"/>
        </w:rPr>
      </w:pPr>
      <w:r w:rsidRPr="007F42BD">
        <w:rPr>
          <w:rFonts w:ascii="Cambria" w:hAnsi="Cambria" w:cs="Times New Roman"/>
          <w:b/>
          <w:bCs/>
          <w:sz w:val="24"/>
          <w:szCs w:val="24"/>
        </w:rPr>
        <w:t>U</w:t>
      </w:r>
      <w:r w:rsidR="00CC70DB" w:rsidRPr="007F42BD">
        <w:rPr>
          <w:rFonts w:ascii="Cambria" w:hAnsi="Cambria" w:cs="Times New Roman"/>
          <w:b/>
          <w:bCs/>
          <w:sz w:val="24"/>
          <w:szCs w:val="24"/>
        </w:rPr>
        <w:t>kończeni</w:t>
      </w:r>
      <w:r w:rsidRPr="007F42BD">
        <w:rPr>
          <w:rFonts w:ascii="Cambria" w:hAnsi="Cambria" w:cs="Times New Roman"/>
          <w:b/>
          <w:bCs/>
          <w:sz w:val="24"/>
          <w:szCs w:val="24"/>
        </w:rPr>
        <w:t>e</w:t>
      </w:r>
      <w:r w:rsidR="00CC70DB" w:rsidRPr="007F42BD">
        <w:rPr>
          <w:rFonts w:ascii="Cambria" w:hAnsi="Cambria" w:cs="Times New Roman"/>
          <w:b/>
          <w:bCs/>
          <w:sz w:val="24"/>
          <w:szCs w:val="24"/>
        </w:rPr>
        <w:t xml:space="preserve"> studiów podyplomowych Prawa Gospodarczego i Handlowego, </w:t>
      </w:r>
      <w:r w:rsidR="00CC70DB" w:rsidRPr="007F42BD">
        <w:rPr>
          <w:rFonts w:ascii="Cambria" w:hAnsi="Cambria" w:cs="Times New Roman"/>
          <w:sz w:val="24"/>
          <w:szCs w:val="24"/>
        </w:rPr>
        <w:t>Wydział Prawa i Administracji, Uniwersytet Marii Curie – Skłodowskiej w Lublinie (30 czerwca 2008 r.)</w:t>
      </w:r>
      <w:r w:rsidRPr="007F42BD">
        <w:rPr>
          <w:rFonts w:ascii="Cambria" w:hAnsi="Cambria" w:cs="Times New Roman"/>
          <w:sz w:val="24"/>
          <w:szCs w:val="24"/>
        </w:rPr>
        <w:t xml:space="preserve"> – świadectwo z dnia 02 lipca 2008 r.</w:t>
      </w:r>
      <w:r w:rsidR="00C21D3D" w:rsidRPr="007F42BD">
        <w:rPr>
          <w:rFonts w:ascii="Cambria" w:hAnsi="Cambria" w:cs="Times New Roman"/>
          <w:sz w:val="24"/>
          <w:szCs w:val="24"/>
        </w:rPr>
        <w:t xml:space="preserve">; </w:t>
      </w:r>
      <w:r w:rsidR="00C21D3D" w:rsidRPr="007F42BD">
        <w:rPr>
          <w:rFonts w:ascii="Cambria" w:hAnsi="Cambria" w:cs="Times New Roman"/>
          <w:b/>
          <w:bCs/>
          <w:sz w:val="24"/>
          <w:szCs w:val="24"/>
        </w:rPr>
        <w:t xml:space="preserve">ocena: </w:t>
      </w:r>
      <w:r w:rsidR="00C21D3D" w:rsidRPr="007F42BD">
        <w:rPr>
          <w:rFonts w:ascii="Cambria" w:hAnsi="Cambria" w:cs="Times New Roman"/>
          <w:b/>
          <w:bCs/>
          <w:i/>
          <w:iCs/>
          <w:sz w:val="24"/>
          <w:szCs w:val="24"/>
        </w:rPr>
        <w:t>bardzo dobra</w:t>
      </w:r>
      <w:r w:rsidR="009F5769">
        <w:rPr>
          <w:rFonts w:ascii="Cambria" w:hAnsi="Cambria" w:cs="Times New Roman"/>
          <w:b/>
          <w:bCs/>
          <w:sz w:val="24"/>
          <w:szCs w:val="24"/>
        </w:rPr>
        <w:t>;</w:t>
      </w:r>
    </w:p>
    <w:p w14:paraId="583B1A9C" w14:textId="64AD9A1E" w:rsidR="00CC70DB" w:rsidRPr="007F42BD" w:rsidRDefault="00CC70DB" w:rsidP="00600B06">
      <w:pPr>
        <w:pStyle w:val="Akapitzlist"/>
        <w:spacing w:after="120" w:line="276" w:lineRule="auto"/>
        <w:ind w:left="1440"/>
        <w:jc w:val="both"/>
        <w:rPr>
          <w:rFonts w:ascii="Cambria" w:hAnsi="Cambria" w:cs="Times New Roman"/>
          <w:b/>
          <w:bCs/>
          <w:i/>
          <w:iCs/>
          <w:sz w:val="24"/>
          <w:szCs w:val="24"/>
        </w:rPr>
      </w:pPr>
      <w:r w:rsidRPr="007F42BD">
        <w:rPr>
          <w:rFonts w:ascii="Cambria" w:hAnsi="Cambria" w:cs="Times New Roman"/>
          <w:b/>
          <w:bCs/>
          <w:sz w:val="24"/>
          <w:szCs w:val="24"/>
          <w:u w:val="single"/>
        </w:rPr>
        <w:lastRenderedPageBreak/>
        <w:t xml:space="preserve">Tytuł pracy </w:t>
      </w:r>
      <w:r w:rsidR="002F5610" w:rsidRPr="007F42BD">
        <w:rPr>
          <w:rFonts w:ascii="Cambria" w:hAnsi="Cambria" w:cs="Times New Roman"/>
          <w:b/>
          <w:bCs/>
          <w:sz w:val="24"/>
          <w:szCs w:val="24"/>
          <w:u w:val="single"/>
        </w:rPr>
        <w:t>dyplomowej</w:t>
      </w:r>
      <w:r w:rsidRPr="007F42BD">
        <w:rPr>
          <w:rFonts w:ascii="Cambria" w:hAnsi="Cambria" w:cs="Times New Roman"/>
          <w:b/>
          <w:bCs/>
          <w:sz w:val="24"/>
          <w:szCs w:val="24"/>
        </w:rPr>
        <w:t xml:space="preserve">: </w:t>
      </w:r>
      <w:r w:rsidRPr="007F42BD">
        <w:rPr>
          <w:rFonts w:ascii="Cambria" w:hAnsi="Cambria" w:cs="Times New Roman"/>
          <w:i/>
          <w:iCs/>
          <w:sz w:val="24"/>
          <w:szCs w:val="24"/>
        </w:rPr>
        <w:t>Granice i ograniczenia zasady swobody umów</w:t>
      </w:r>
    </w:p>
    <w:p w14:paraId="6E78AC82" w14:textId="338DDAA5" w:rsidR="00CC70DB" w:rsidRPr="007F42BD" w:rsidRDefault="00CC70DB" w:rsidP="00600B06">
      <w:pPr>
        <w:pStyle w:val="Akapitzlist"/>
        <w:spacing w:after="120" w:line="276" w:lineRule="auto"/>
        <w:ind w:left="1440"/>
        <w:jc w:val="both"/>
        <w:rPr>
          <w:rFonts w:ascii="Cambria" w:hAnsi="Cambria" w:cs="Times New Roman"/>
          <w:sz w:val="24"/>
          <w:szCs w:val="24"/>
        </w:rPr>
      </w:pPr>
      <w:r w:rsidRPr="007F42BD">
        <w:rPr>
          <w:rFonts w:ascii="Cambria" w:hAnsi="Cambria" w:cs="Times New Roman"/>
          <w:b/>
          <w:bCs/>
          <w:sz w:val="24"/>
          <w:szCs w:val="24"/>
          <w:u w:val="single"/>
        </w:rPr>
        <w:t>Promotor</w:t>
      </w:r>
      <w:r w:rsidRPr="007F42BD">
        <w:rPr>
          <w:rFonts w:ascii="Cambria" w:hAnsi="Cambria" w:cs="Times New Roman"/>
          <w:b/>
          <w:bCs/>
          <w:sz w:val="24"/>
          <w:szCs w:val="24"/>
        </w:rPr>
        <w:t>:</w:t>
      </w:r>
      <w:r w:rsidRPr="007F42BD">
        <w:rPr>
          <w:rFonts w:ascii="Cambria" w:hAnsi="Cambria" w:cs="Times New Roman"/>
          <w:b/>
          <w:bCs/>
          <w:i/>
          <w:iCs/>
          <w:sz w:val="24"/>
          <w:szCs w:val="24"/>
        </w:rPr>
        <w:t xml:space="preserve"> </w:t>
      </w:r>
      <w:r w:rsidRPr="007F42BD">
        <w:rPr>
          <w:rFonts w:ascii="Cambria" w:hAnsi="Cambria" w:cs="Times New Roman"/>
          <w:sz w:val="24"/>
          <w:szCs w:val="24"/>
        </w:rPr>
        <w:t>Prof. dr hab. Katarzyna Kopaczyńska – Pieczniak</w:t>
      </w:r>
    </w:p>
    <w:p w14:paraId="6409CDF2" w14:textId="77777777" w:rsidR="00C21D3D" w:rsidRPr="007F42BD" w:rsidRDefault="00C21D3D" w:rsidP="00600B06">
      <w:pPr>
        <w:pStyle w:val="Akapitzlist"/>
        <w:spacing w:after="120" w:line="276" w:lineRule="auto"/>
        <w:ind w:left="1440"/>
        <w:jc w:val="both"/>
        <w:rPr>
          <w:rFonts w:ascii="Cambria" w:hAnsi="Cambria" w:cs="Times New Roman"/>
          <w:sz w:val="24"/>
          <w:szCs w:val="24"/>
        </w:rPr>
      </w:pPr>
    </w:p>
    <w:p w14:paraId="2E9D3118" w14:textId="672EAD3B" w:rsidR="003342BE" w:rsidRPr="007F42BD" w:rsidRDefault="00F26C06" w:rsidP="00364EE7">
      <w:pPr>
        <w:pStyle w:val="Akapitzlist"/>
        <w:numPr>
          <w:ilvl w:val="0"/>
          <w:numId w:val="2"/>
        </w:numPr>
        <w:spacing w:after="120" w:line="276" w:lineRule="auto"/>
        <w:jc w:val="both"/>
        <w:rPr>
          <w:rFonts w:ascii="Cambria" w:hAnsi="Cambria" w:cs="Times New Roman"/>
          <w:sz w:val="24"/>
          <w:szCs w:val="24"/>
        </w:rPr>
      </w:pPr>
      <w:r w:rsidRPr="007F42BD">
        <w:rPr>
          <w:rFonts w:ascii="Cambria" w:hAnsi="Cambria" w:cs="Times New Roman"/>
          <w:b/>
          <w:bCs/>
          <w:sz w:val="24"/>
          <w:szCs w:val="24"/>
        </w:rPr>
        <w:t>Uzyskanie tytułu zawodowego radcy prawnego (LB-1826) i u</w:t>
      </w:r>
      <w:r w:rsidR="003342BE" w:rsidRPr="007F42BD">
        <w:rPr>
          <w:rFonts w:ascii="Cambria" w:hAnsi="Cambria" w:cs="Times New Roman"/>
          <w:b/>
          <w:bCs/>
          <w:sz w:val="24"/>
          <w:szCs w:val="24"/>
        </w:rPr>
        <w:t xml:space="preserve">kończenie aplikacji radcowskiej (z wyróżnieniem) w latach 2010 – 2012 </w:t>
      </w:r>
      <w:r w:rsidR="003342BE" w:rsidRPr="007F42BD">
        <w:rPr>
          <w:rFonts w:ascii="Cambria" w:hAnsi="Cambria" w:cs="Times New Roman"/>
          <w:sz w:val="24"/>
          <w:szCs w:val="24"/>
        </w:rPr>
        <w:t>(uchwała Rady Okręgowej Izby Radców Prawnych  w Lublinie nr 1333/VIII/2013 z dnia 27 maja 2013);</w:t>
      </w:r>
    </w:p>
    <w:p w14:paraId="04B894FE" w14:textId="77777777" w:rsidR="00C21D3D" w:rsidRPr="007F42BD" w:rsidRDefault="00C21D3D" w:rsidP="00C21D3D">
      <w:pPr>
        <w:pStyle w:val="Akapitzlist"/>
        <w:spacing w:after="120" w:line="276" w:lineRule="auto"/>
        <w:ind w:left="1440"/>
        <w:jc w:val="both"/>
        <w:rPr>
          <w:rFonts w:ascii="Cambria" w:hAnsi="Cambria" w:cs="Times New Roman"/>
          <w:sz w:val="24"/>
          <w:szCs w:val="24"/>
        </w:rPr>
      </w:pPr>
    </w:p>
    <w:p w14:paraId="7B23FF70" w14:textId="7FEC68F0" w:rsidR="006E4D33" w:rsidRPr="007F42BD" w:rsidRDefault="00D271B2" w:rsidP="00364EE7">
      <w:pPr>
        <w:pStyle w:val="Akapitzlist"/>
        <w:numPr>
          <w:ilvl w:val="0"/>
          <w:numId w:val="2"/>
        </w:numPr>
        <w:spacing w:after="120" w:line="276" w:lineRule="auto"/>
        <w:jc w:val="both"/>
        <w:rPr>
          <w:rFonts w:ascii="Cambria" w:hAnsi="Cambria" w:cs="Times New Roman"/>
          <w:sz w:val="24"/>
          <w:szCs w:val="24"/>
        </w:rPr>
      </w:pPr>
      <w:r w:rsidRPr="007F42BD">
        <w:rPr>
          <w:rFonts w:ascii="Cambria" w:hAnsi="Cambria" w:cs="Times New Roman"/>
          <w:b/>
          <w:bCs/>
          <w:sz w:val="24"/>
          <w:szCs w:val="24"/>
        </w:rPr>
        <w:t>Ukończenie studiów doktoranckich w latach 2013 – 2017 zakończone u</w:t>
      </w:r>
      <w:r w:rsidR="002036D3" w:rsidRPr="007F42BD">
        <w:rPr>
          <w:rFonts w:ascii="Cambria" w:hAnsi="Cambria" w:cs="Times New Roman"/>
          <w:b/>
          <w:bCs/>
          <w:sz w:val="24"/>
          <w:szCs w:val="24"/>
        </w:rPr>
        <w:t>zyskani</w:t>
      </w:r>
      <w:r w:rsidR="003342BE" w:rsidRPr="007F42BD">
        <w:rPr>
          <w:rFonts w:ascii="Cambria" w:hAnsi="Cambria" w:cs="Times New Roman"/>
          <w:b/>
          <w:bCs/>
          <w:sz w:val="24"/>
          <w:szCs w:val="24"/>
        </w:rPr>
        <w:t>e</w:t>
      </w:r>
      <w:r w:rsidRPr="007F42BD">
        <w:rPr>
          <w:rFonts w:ascii="Cambria" w:hAnsi="Cambria" w:cs="Times New Roman"/>
          <w:b/>
          <w:bCs/>
          <w:sz w:val="24"/>
          <w:szCs w:val="24"/>
        </w:rPr>
        <w:t>m</w:t>
      </w:r>
      <w:r w:rsidR="002036D3" w:rsidRPr="007F42BD">
        <w:rPr>
          <w:rFonts w:ascii="Cambria" w:hAnsi="Cambria" w:cs="Times New Roman"/>
          <w:b/>
          <w:bCs/>
          <w:sz w:val="24"/>
          <w:szCs w:val="24"/>
        </w:rPr>
        <w:t xml:space="preserve"> s</w:t>
      </w:r>
      <w:r w:rsidR="006E4D33" w:rsidRPr="007F42BD">
        <w:rPr>
          <w:rFonts w:ascii="Cambria" w:hAnsi="Cambria" w:cs="Times New Roman"/>
          <w:b/>
          <w:bCs/>
          <w:sz w:val="24"/>
          <w:szCs w:val="24"/>
        </w:rPr>
        <w:t>top</w:t>
      </w:r>
      <w:r w:rsidR="002036D3" w:rsidRPr="007F42BD">
        <w:rPr>
          <w:rFonts w:ascii="Cambria" w:hAnsi="Cambria" w:cs="Times New Roman"/>
          <w:b/>
          <w:bCs/>
          <w:sz w:val="24"/>
          <w:szCs w:val="24"/>
        </w:rPr>
        <w:t>nia</w:t>
      </w:r>
      <w:r w:rsidR="006E4D33" w:rsidRPr="007F42BD">
        <w:rPr>
          <w:rFonts w:ascii="Cambria" w:hAnsi="Cambria" w:cs="Times New Roman"/>
          <w:b/>
          <w:bCs/>
          <w:sz w:val="24"/>
          <w:szCs w:val="24"/>
        </w:rPr>
        <w:t xml:space="preserve"> doktora nauk prawnych w dyscyplinie prawo</w:t>
      </w:r>
      <w:r w:rsidR="00ED1F7B" w:rsidRPr="007F42BD">
        <w:rPr>
          <w:rFonts w:ascii="Cambria" w:hAnsi="Cambria" w:cs="Times New Roman"/>
          <w:b/>
          <w:bCs/>
          <w:sz w:val="24"/>
          <w:szCs w:val="24"/>
        </w:rPr>
        <w:t xml:space="preserve"> </w:t>
      </w:r>
      <w:r w:rsidR="00FF5D29" w:rsidRPr="007F42BD">
        <w:rPr>
          <w:rFonts w:ascii="Cambria" w:hAnsi="Cambria" w:cs="Times New Roman"/>
          <w:b/>
          <w:bCs/>
          <w:sz w:val="24"/>
          <w:szCs w:val="24"/>
        </w:rPr>
        <w:t xml:space="preserve">(rozprawa doktorska uznana przez recenzentów za wyróżniającą) </w:t>
      </w:r>
      <w:r w:rsidR="00ED1F7B" w:rsidRPr="007F42BD">
        <w:rPr>
          <w:rFonts w:ascii="Cambria" w:hAnsi="Cambria" w:cs="Times New Roman"/>
          <w:sz w:val="24"/>
          <w:szCs w:val="24"/>
        </w:rPr>
        <w:t>-</w:t>
      </w:r>
      <w:r w:rsidR="00FF5D29" w:rsidRPr="007F42BD">
        <w:rPr>
          <w:rFonts w:ascii="Cambria" w:hAnsi="Cambria" w:cs="Times New Roman"/>
          <w:sz w:val="24"/>
          <w:szCs w:val="24"/>
        </w:rPr>
        <w:t xml:space="preserve"> </w:t>
      </w:r>
      <w:r w:rsidR="006E4D33" w:rsidRPr="007F42BD">
        <w:rPr>
          <w:rFonts w:ascii="Cambria" w:hAnsi="Cambria" w:cs="Times New Roman"/>
          <w:sz w:val="24"/>
          <w:szCs w:val="24"/>
        </w:rPr>
        <w:t xml:space="preserve">uchwała Rady Wydziału Prawa i Administracji </w:t>
      </w:r>
      <w:r w:rsidR="003A6C61" w:rsidRPr="007F42BD">
        <w:rPr>
          <w:rFonts w:ascii="Cambria" w:hAnsi="Cambria" w:cs="Times New Roman"/>
          <w:sz w:val="24"/>
          <w:szCs w:val="24"/>
        </w:rPr>
        <w:t xml:space="preserve">Uniwersytetu Marii Curie – Skłodowskiej w Lublinie </w:t>
      </w:r>
      <w:r w:rsidR="006E4D33" w:rsidRPr="007F42BD">
        <w:rPr>
          <w:rFonts w:ascii="Cambria" w:hAnsi="Cambria" w:cs="Times New Roman"/>
          <w:sz w:val="24"/>
          <w:szCs w:val="24"/>
        </w:rPr>
        <w:t>z dnia 18 października 2017 r.</w:t>
      </w:r>
      <w:r w:rsidR="00FF5D29" w:rsidRPr="007F42BD">
        <w:rPr>
          <w:rFonts w:ascii="Cambria" w:hAnsi="Cambria" w:cs="Times New Roman"/>
          <w:sz w:val="24"/>
          <w:szCs w:val="24"/>
        </w:rPr>
        <w:t>, dyplom nr 462</w:t>
      </w:r>
      <w:r w:rsidR="006E4D33" w:rsidRPr="007F42BD">
        <w:rPr>
          <w:rFonts w:ascii="Cambria" w:hAnsi="Cambria" w:cs="Times New Roman"/>
          <w:sz w:val="24"/>
          <w:szCs w:val="24"/>
        </w:rPr>
        <w:t>)</w:t>
      </w:r>
    </w:p>
    <w:p w14:paraId="07DC6E4B" w14:textId="4817715A" w:rsidR="006E4D33" w:rsidRPr="007F42BD" w:rsidRDefault="006E4D33" w:rsidP="00600B06">
      <w:pPr>
        <w:pStyle w:val="Akapitzlist"/>
        <w:spacing w:after="120" w:line="276" w:lineRule="auto"/>
        <w:ind w:left="1440"/>
        <w:jc w:val="both"/>
        <w:rPr>
          <w:rFonts w:ascii="Cambria" w:hAnsi="Cambria" w:cs="Times New Roman"/>
          <w:i/>
          <w:iCs/>
          <w:sz w:val="24"/>
          <w:szCs w:val="24"/>
        </w:rPr>
      </w:pPr>
      <w:r w:rsidRPr="007F42BD">
        <w:rPr>
          <w:rFonts w:ascii="Cambria" w:hAnsi="Cambria" w:cs="Times New Roman"/>
          <w:b/>
          <w:bCs/>
          <w:sz w:val="24"/>
          <w:szCs w:val="24"/>
          <w:u w:val="single"/>
        </w:rPr>
        <w:t>Tytuł rozprawy doktorskiej</w:t>
      </w:r>
      <w:r w:rsidRPr="007F42BD">
        <w:rPr>
          <w:rFonts w:ascii="Cambria" w:hAnsi="Cambria" w:cs="Times New Roman"/>
          <w:b/>
          <w:bCs/>
          <w:sz w:val="24"/>
          <w:szCs w:val="24"/>
        </w:rPr>
        <w:t xml:space="preserve">: </w:t>
      </w:r>
      <w:r w:rsidRPr="007F42BD">
        <w:rPr>
          <w:rFonts w:ascii="Cambria" w:hAnsi="Cambria" w:cs="Times New Roman"/>
          <w:i/>
          <w:iCs/>
          <w:sz w:val="24"/>
          <w:szCs w:val="24"/>
        </w:rPr>
        <w:t>Charakter prawny uchwał organów samorządu zawodowego radców prawnych w Polsce</w:t>
      </w:r>
    </w:p>
    <w:p w14:paraId="54EDB9CD" w14:textId="77777777" w:rsidR="002F5610" w:rsidRPr="007F42BD" w:rsidRDefault="002F5610" w:rsidP="00600B06">
      <w:pPr>
        <w:pStyle w:val="Akapitzlist"/>
        <w:spacing w:after="120" w:line="276" w:lineRule="auto"/>
        <w:ind w:left="1440"/>
        <w:jc w:val="both"/>
        <w:rPr>
          <w:rFonts w:ascii="Cambria" w:hAnsi="Cambria" w:cs="Times New Roman"/>
          <w:sz w:val="24"/>
          <w:szCs w:val="24"/>
        </w:rPr>
      </w:pPr>
      <w:r w:rsidRPr="007F42BD">
        <w:rPr>
          <w:rFonts w:ascii="Cambria" w:hAnsi="Cambria" w:cs="Times New Roman"/>
          <w:b/>
          <w:bCs/>
          <w:sz w:val="24"/>
          <w:szCs w:val="24"/>
          <w:u w:val="single"/>
        </w:rPr>
        <w:t>Recenzenci</w:t>
      </w:r>
      <w:r w:rsidRPr="007F42BD">
        <w:rPr>
          <w:rFonts w:ascii="Cambria" w:hAnsi="Cambria" w:cs="Times New Roman"/>
          <w:b/>
          <w:bCs/>
          <w:sz w:val="24"/>
          <w:szCs w:val="24"/>
        </w:rPr>
        <w:t xml:space="preserve">: </w:t>
      </w:r>
      <w:r w:rsidRPr="007F42BD">
        <w:rPr>
          <w:rFonts w:ascii="Cambria" w:hAnsi="Cambria" w:cs="Times New Roman"/>
          <w:sz w:val="24"/>
          <w:szCs w:val="24"/>
        </w:rPr>
        <w:t>Prof. dr hab. Rafał Stankiewicz, dr hab. Mirosław Pawełczyk, prof. UŚ</w:t>
      </w:r>
    </w:p>
    <w:p w14:paraId="4CD06FF4" w14:textId="12FEA755" w:rsidR="006E4D33" w:rsidRPr="007F42BD" w:rsidRDefault="006E4D33" w:rsidP="00600B06">
      <w:pPr>
        <w:pStyle w:val="Akapitzlist"/>
        <w:spacing w:after="120" w:line="276" w:lineRule="auto"/>
        <w:ind w:left="1440"/>
        <w:jc w:val="both"/>
        <w:rPr>
          <w:rFonts w:ascii="Cambria" w:hAnsi="Cambria" w:cs="Times New Roman"/>
          <w:b/>
          <w:bCs/>
          <w:sz w:val="24"/>
          <w:szCs w:val="24"/>
        </w:rPr>
      </w:pPr>
      <w:r w:rsidRPr="007F42BD">
        <w:rPr>
          <w:rFonts w:ascii="Cambria" w:hAnsi="Cambria" w:cs="Times New Roman"/>
          <w:b/>
          <w:bCs/>
          <w:sz w:val="24"/>
          <w:szCs w:val="24"/>
          <w:u w:val="single"/>
        </w:rPr>
        <w:t>Promotor</w:t>
      </w:r>
      <w:r w:rsidRPr="007F42BD">
        <w:rPr>
          <w:rFonts w:ascii="Cambria" w:hAnsi="Cambria" w:cs="Times New Roman"/>
          <w:b/>
          <w:bCs/>
          <w:sz w:val="24"/>
          <w:szCs w:val="24"/>
        </w:rPr>
        <w:t>:</w:t>
      </w:r>
      <w:r w:rsidRPr="007F42BD">
        <w:rPr>
          <w:rFonts w:ascii="Cambria" w:hAnsi="Cambria" w:cs="Times New Roman"/>
          <w:b/>
          <w:bCs/>
          <w:i/>
          <w:iCs/>
          <w:sz w:val="24"/>
          <w:szCs w:val="24"/>
        </w:rPr>
        <w:t xml:space="preserve"> </w:t>
      </w:r>
      <w:r w:rsidRPr="007F42BD">
        <w:rPr>
          <w:rFonts w:ascii="Cambria" w:hAnsi="Cambria" w:cs="Times New Roman"/>
          <w:sz w:val="24"/>
          <w:szCs w:val="24"/>
        </w:rPr>
        <w:t>dr hab. Arkadiusz Bereza, prof. UMCS</w:t>
      </w:r>
    </w:p>
    <w:p w14:paraId="4CA7C1C8" w14:textId="435650B7" w:rsidR="00C6173D" w:rsidRPr="007F42BD" w:rsidRDefault="00AC591C" w:rsidP="008B216A">
      <w:pPr>
        <w:spacing w:after="0" w:line="360" w:lineRule="auto"/>
        <w:jc w:val="both"/>
        <w:rPr>
          <w:rFonts w:ascii="Cambria" w:hAnsi="Cambria" w:cs="Times New Roman"/>
          <w:color w:val="FF0000"/>
          <w:sz w:val="24"/>
          <w:szCs w:val="24"/>
        </w:rPr>
      </w:pPr>
      <w:r w:rsidRPr="007F42BD">
        <w:rPr>
          <w:rFonts w:ascii="Cambria" w:hAnsi="Cambria" w:cs="Times New Roman"/>
          <w:noProof/>
          <w:color w:val="FF0000"/>
          <w:sz w:val="24"/>
          <w:szCs w:val="24"/>
        </w:rPr>
        <mc:AlternateContent>
          <mc:Choice Requires="wps">
            <w:drawing>
              <wp:anchor distT="91440" distB="91440" distL="114300" distR="114300" simplePos="0" relativeHeight="251661312" behindDoc="1" locked="0" layoutInCell="1" allowOverlap="1" wp14:anchorId="6163629B" wp14:editId="0BE494DC">
                <wp:simplePos x="0" y="0"/>
                <wp:positionH relativeFrom="page">
                  <wp:posOffset>1287475</wp:posOffset>
                </wp:positionH>
                <wp:positionV relativeFrom="paragraph">
                  <wp:posOffset>44069</wp:posOffset>
                </wp:positionV>
                <wp:extent cx="5394960" cy="71689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716890"/>
                        </a:xfrm>
                        <a:prstGeom prst="rect">
                          <a:avLst/>
                        </a:prstGeom>
                        <a:noFill/>
                        <a:ln w="9525">
                          <a:noFill/>
                          <a:miter lim="800000"/>
                          <a:headEnd/>
                          <a:tailEnd/>
                        </a:ln>
                      </wps:spPr>
                      <wps:txbx>
                        <w:txbxContent>
                          <w:p w14:paraId="4BC30AF4" w14:textId="2AEFBFFB" w:rsidR="00AC591C" w:rsidRDefault="00AC591C">
                            <w:pPr>
                              <w:pBdr>
                                <w:top w:val="single" w:sz="24" w:space="8" w:color="5B9BD5" w:themeColor="accent1"/>
                                <w:bottom w:val="single" w:sz="24" w:space="8" w:color="5B9BD5" w:themeColor="accent1"/>
                              </w:pBdr>
                              <w:spacing w:after="0"/>
                              <w:rPr>
                                <w:i/>
                                <w:iCs/>
                                <w:color w:val="5B9BD5"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3629B" id="_x0000_s1027" type="#_x0000_t202" style="position:absolute;left:0;text-align:left;margin-left:101.4pt;margin-top:3.45pt;width:424.8pt;height:56.45pt;z-index:-25165516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" filled="f" stroked="f">
                <v:textbox>
                  <w:txbxContent>
                    <w:p w14:paraId="4BC30AF4" w14:textId="2AEFBFFB" w:rsidR="00AC591C" w:rsidRDefault="00AC591C">
                      <w:pPr>
                        <w:pBdr>
                          <w:top w:val="single" w:sz="24" w:space="8" w:color="5B9BD5" w:themeColor="accent1"/>
                          <w:bottom w:val="single" w:sz="24" w:space="8" w:color="5B9BD5" w:themeColor="accent1"/>
                        </w:pBdr>
                        <w:spacing w:after="0"/>
                        <w:rPr>
                          <w:i/>
                          <w:iCs/>
                          <w:color w:val="5B9BD5" w:themeColor="accent1"/>
                          <w:sz w:val="24"/>
                        </w:rPr>
                      </w:pPr>
                    </w:p>
                  </w:txbxContent>
                </v:textbox>
                <w10:wrap anchorx="page"/>
              </v:shape>
            </w:pict>
          </mc:Fallback>
        </mc:AlternateContent>
      </w:r>
    </w:p>
    <w:p w14:paraId="5AD431C7" w14:textId="3EFDC3F1" w:rsidR="00EA3229" w:rsidRPr="007F42BD" w:rsidRDefault="00EA3229" w:rsidP="00364EE7">
      <w:pPr>
        <w:pStyle w:val="Akapitzlist"/>
        <w:numPr>
          <w:ilvl w:val="0"/>
          <w:numId w:val="1"/>
        </w:numPr>
        <w:spacing w:after="0" w:line="240" w:lineRule="auto"/>
        <w:ind w:left="714" w:hanging="357"/>
        <w:jc w:val="both"/>
        <w:rPr>
          <w:rFonts w:ascii="Cambria" w:hAnsi="Cambria" w:cs="Times New Roman"/>
          <w:i/>
          <w:iCs/>
          <w:sz w:val="24"/>
          <w:szCs w:val="24"/>
        </w:rPr>
      </w:pPr>
      <w:r w:rsidRPr="007F42BD">
        <w:rPr>
          <w:rFonts w:ascii="Cambria" w:hAnsi="Cambria" w:cs="Times New Roman"/>
          <w:i/>
          <w:iCs/>
          <w:sz w:val="24"/>
          <w:szCs w:val="24"/>
        </w:rPr>
        <w:t>Informacja o dotychczasowym zatrudnieniu w jednostkach naukowych lub artystycznych.</w:t>
      </w:r>
    </w:p>
    <w:p w14:paraId="2852BF8E" w14:textId="098B7D9C" w:rsidR="002F5610" w:rsidRPr="007F42BD" w:rsidRDefault="002F5610" w:rsidP="002F5610">
      <w:pPr>
        <w:pStyle w:val="Akapitzlist"/>
        <w:spacing w:after="0" w:line="240" w:lineRule="auto"/>
        <w:ind w:left="714"/>
        <w:jc w:val="both"/>
        <w:rPr>
          <w:rFonts w:ascii="Cambria" w:hAnsi="Cambria" w:cs="Times New Roman"/>
          <w:b/>
          <w:bCs/>
          <w:i/>
          <w:iCs/>
          <w:sz w:val="24"/>
          <w:szCs w:val="24"/>
        </w:rPr>
      </w:pPr>
    </w:p>
    <w:p w14:paraId="03DCE7FB" w14:textId="77777777" w:rsidR="00EC049D" w:rsidRPr="007F42BD" w:rsidRDefault="00EC049D" w:rsidP="00EC049D">
      <w:pPr>
        <w:pStyle w:val="Akapitzlist"/>
        <w:spacing w:after="0" w:line="240" w:lineRule="auto"/>
        <w:ind w:left="1434"/>
        <w:jc w:val="both"/>
        <w:rPr>
          <w:rFonts w:ascii="Cambria" w:hAnsi="Cambria" w:cs="Times New Roman"/>
          <w:sz w:val="24"/>
          <w:szCs w:val="24"/>
        </w:rPr>
      </w:pPr>
    </w:p>
    <w:p w14:paraId="69565AF3" w14:textId="77777777" w:rsidR="00EC049D" w:rsidRPr="007F42BD" w:rsidRDefault="00CF5B39" w:rsidP="00364EE7">
      <w:pPr>
        <w:pStyle w:val="Akapitzlist"/>
        <w:numPr>
          <w:ilvl w:val="0"/>
          <w:numId w:val="3"/>
        </w:numPr>
        <w:spacing w:after="0" w:line="240" w:lineRule="auto"/>
        <w:jc w:val="both"/>
        <w:rPr>
          <w:rFonts w:ascii="Cambria" w:hAnsi="Cambria" w:cs="Times New Roman"/>
          <w:sz w:val="24"/>
          <w:szCs w:val="24"/>
        </w:rPr>
      </w:pPr>
      <w:r w:rsidRPr="007F42BD">
        <w:rPr>
          <w:rFonts w:ascii="Cambria" w:hAnsi="Cambria" w:cs="Times New Roman"/>
          <w:sz w:val="24"/>
          <w:szCs w:val="24"/>
        </w:rPr>
        <w:t>Od dnia 1 października 2014 r. (umowa z dnia 25 września 2014 r., PCB-1110-115/2014 z późniejszymi</w:t>
      </w:r>
      <w:r w:rsidR="00196B18" w:rsidRPr="007F42BD">
        <w:rPr>
          <w:rFonts w:ascii="Cambria" w:hAnsi="Cambria" w:cs="Times New Roman"/>
          <w:sz w:val="24"/>
          <w:szCs w:val="24"/>
        </w:rPr>
        <w:t xml:space="preserve"> aneksami) – zatrudnienie na stanowisku </w:t>
      </w:r>
      <w:r w:rsidR="00196B18" w:rsidRPr="007F42BD">
        <w:rPr>
          <w:rFonts w:ascii="Cambria" w:hAnsi="Cambria" w:cs="Times New Roman"/>
          <w:b/>
          <w:bCs/>
          <w:sz w:val="24"/>
          <w:szCs w:val="24"/>
        </w:rPr>
        <w:t>asystenta (pracownik naukowo – dydaktyczny)</w:t>
      </w:r>
      <w:r w:rsidR="00196B18" w:rsidRPr="007F42BD">
        <w:rPr>
          <w:rFonts w:ascii="Cambria" w:hAnsi="Cambria" w:cs="Times New Roman"/>
          <w:sz w:val="24"/>
          <w:szCs w:val="24"/>
        </w:rPr>
        <w:t xml:space="preserve"> w </w:t>
      </w:r>
      <w:r w:rsidR="00E614F9" w:rsidRPr="007F42BD">
        <w:rPr>
          <w:rFonts w:ascii="Cambria" w:hAnsi="Cambria" w:cs="Times New Roman"/>
          <w:sz w:val="24"/>
          <w:szCs w:val="24"/>
        </w:rPr>
        <w:t>K</w:t>
      </w:r>
      <w:r w:rsidR="00196B18" w:rsidRPr="007F42BD">
        <w:rPr>
          <w:rFonts w:ascii="Cambria" w:hAnsi="Cambria" w:cs="Times New Roman"/>
          <w:sz w:val="24"/>
          <w:szCs w:val="24"/>
        </w:rPr>
        <w:t xml:space="preserve">atedrze Teorii Organizacji i Kierownictwa, Instytut Administracji i Prawa Publicznego, Wydział Prawa i Administracji Uniwersytetu Marii Curie – Skłodowskiej w Lublinie. </w:t>
      </w:r>
    </w:p>
    <w:p w14:paraId="475E870A" w14:textId="0A59086B" w:rsidR="002F5610" w:rsidRDefault="00196B18" w:rsidP="00364EE7">
      <w:pPr>
        <w:pStyle w:val="Akapitzlist"/>
        <w:numPr>
          <w:ilvl w:val="0"/>
          <w:numId w:val="3"/>
        </w:numPr>
        <w:spacing w:after="0" w:line="240" w:lineRule="auto"/>
        <w:jc w:val="both"/>
        <w:rPr>
          <w:rFonts w:ascii="Cambria" w:hAnsi="Cambria" w:cs="Times New Roman"/>
          <w:sz w:val="24"/>
          <w:szCs w:val="24"/>
        </w:rPr>
      </w:pPr>
      <w:r w:rsidRPr="007F42BD">
        <w:rPr>
          <w:rFonts w:ascii="Cambria" w:hAnsi="Cambria" w:cs="Times New Roman"/>
          <w:sz w:val="24"/>
          <w:szCs w:val="24"/>
        </w:rPr>
        <w:t>Od dnia 1 października 2018 r. (Porozumienie stron zmieniające warunki umowy o pracę z dnia 24 września 2018 r., PCB-1110-637/2018)</w:t>
      </w:r>
      <w:r w:rsidR="00E614F9" w:rsidRPr="007F42BD">
        <w:rPr>
          <w:rFonts w:ascii="Cambria" w:hAnsi="Cambria" w:cs="Times New Roman"/>
          <w:sz w:val="24"/>
          <w:szCs w:val="24"/>
        </w:rPr>
        <w:t xml:space="preserve"> – zatrudnienie na stanowisku </w:t>
      </w:r>
      <w:r w:rsidR="00E614F9" w:rsidRPr="007F42BD">
        <w:rPr>
          <w:rFonts w:ascii="Cambria" w:hAnsi="Cambria" w:cs="Times New Roman"/>
          <w:b/>
          <w:bCs/>
          <w:sz w:val="24"/>
          <w:szCs w:val="24"/>
        </w:rPr>
        <w:t xml:space="preserve">adiunkta (pracownik naukowo – dydaktyczny) </w:t>
      </w:r>
      <w:r w:rsidR="00E614F9" w:rsidRPr="007F42BD">
        <w:rPr>
          <w:rFonts w:ascii="Cambria" w:hAnsi="Cambria" w:cs="Times New Roman"/>
          <w:sz w:val="24"/>
          <w:szCs w:val="24"/>
        </w:rPr>
        <w:t>w Katedrze Teorii Organizacji i Kierownictwa, Instytut Administracji i Prawa Publicznego, Wydział Prawa i Administracji Uniwersytetu Marii Curie – Skłodowskiej w Lublinie. Od dnia 1 października 2019 r. (Porozumienie stron zmieniające warunki umowy o pracę z dnia 1 października 2019 r., PCB-1110-605/2019</w:t>
      </w:r>
      <w:r w:rsidR="00AF3184" w:rsidRPr="007F42BD">
        <w:rPr>
          <w:rFonts w:ascii="Cambria" w:hAnsi="Cambria" w:cs="Times New Roman"/>
          <w:sz w:val="24"/>
          <w:szCs w:val="24"/>
        </w:rPr>
        <w:t xml:space="preserve"> oraz z dnia 24 marca 2020 r., PCB-1110-164/2020</w:t>
      </w:r>
      <w:r w:rsidR="00E614F9" w:rsidRPr="007F42BD">
        <w:rPr>
          <w:rFonts w:ascii="Cambria" w:hAnsi="Cambria" w:cs="Times New Roman"/>
          <w:sz w:val="24"/>
          <w:szCs w:val="24"/>
        </w:rPr>
        <w:t>), po zmianach prawnoorganizacyjnych</w:t>
      </w:r>
      <w:r w:rsidR="00AF3184" w:rsidRPr="007F42BD">
        <w:rPr>
          <w:rFonts w:ascii="Cambria" w:hAnsi="Cambria" w:cs="Times New Roman"/>
          <w:sz w:val="24"/>
          <w:szCs w:val="24"/>
        </w:rPr>
        <w:t xml:space="preserve"> i zmianie nazwy Katedry</w:t>
      </w:r>
      <w:r w:rsidR="00E614F9" w:rsidRPr="007F42BD">
        <w:rPr>
          <w:rFonts w:ascii="Cambria" w:hAnsi="Cambria" w:cs="Times New Roman"/>
          <w:sz w:val="24"/>
          <w:szCs w:val="24"/>
        </w:rPr>
        <w:t xml:space="preserve"> (Zarządzenie nr 65/2018 Rektora UMCS z dnia 20 grudnia 2019 r.) – zatrudniona na stanowisku </w:t>
      </w:r>
      <w:r w:rsidR="00E614F9" w:rsidRPr="007F42BD">
        <w:rPr>
          <w:rFonts w:ascii="Cambria" w:hAnsi="Cambria" w:cs="Times New Roman"/>
          <w:b/>
          <w:bCs/>
          <w:sz w:val="24"/>
          <w:szCs w:val="24"/>
        </w:rPr>
        <w:t>adiunkta (pracownik badawczo</w:t>
      </w:r>
      <w:r w:rsidR="00AF3184" w:rsidRPr="007F42BD">
        <w:rPr>
          <w:rFonts w:ascii="Cambria" w:hAnsi="Cambria" w:cs="Times New Roman"/>
          <w:b/>
          <w:bCs/>
          <w:sz w:val="24"/>
          <w:szCs w:val="24"/>
        </w:rPr>
        <w:t xml:space="preserve"> – dydaktyczny)</w:t>
      </w:r>
      <w:r w:rsidR="00AF3184" w:rsidRPr="007F42BD">
        <w:rPr>
          <w:rFonts w:ascii="Cambria" w:hAnsi="Cambria" w:cs="Times New Roman"/>
          <w:sz w:val="24"/>
          <w:szCs w:val="24"/>
        </w:rPr>
        <w:t xml:space="preserve"> w Katedrze Prawa Informatycznego i Zawodów Prawniczych, Instytut Nauk Prawnych, Wydział Prawa i Administracji, Uniwersytet Marii Curie – Skłodowskiej w Lublinie.</w:t>
      </w:r>
    </w:p>
    <w:p w14:paraId="14A4AE64" w14:textId="77777777" w:rsidR="00364EE7" w:rsidRPr="007F42BD" w:rsidRDefault="00364EE7" w:rsidP="00364EE7">
      <w:pPr>
        <w:pStyle w:val="Akapitzlist"/>
        <w:spacing w:after="0" w:line="240" w:lineRule="auto"/>
        <w:ind w:left="1778"/>
        <w:jc w:val="both"/>
        <w:rPr>
          <w:rFonts w:ascii="Cambria" w:hAnsi="Cambria" w:cs="Times New Roman"/>
          <w:sz w:val="24"/>
          <w:szCs w:val="24"/>
        </w:rPr>
      </w:pPr>
    </w:p>
    <w:p w14:paraId="3E5BBB4C" w14:textId="77777777" w:rsidR="00F26C06" w:rsidRPr="007F42BD" w:rsidRDefault="00F26C06" w:rsidP="00EC049D">
      <w:pPr>
        <w:spacing w:after="0" w:line="240" w:lineRule="auto"/>
        <w:jc w:val="both"/>
        <w:rPr>
          <w:rFonts w:ascii="Cambria" w:hAnsi="Cambria" w:cs="Times New Roman"/>
          <w:sz w:val="24"/>
          <w:szCs w:val="24"/>
        </w:rPr>
      </w:pPr>
    </w:p>
    <w:p w14:paraId="266D12A3" w14:textId="0B6F2D6B" w:rsidR="00C6173D" w:rsidRPr="007F42BD" w:rsidRDefault="00EC049D" w:rsidP="00C6173D">
      <w:pPr>
        <w:pStyle w:val="Akapitzlist"/>
        <w:spacing w:after="0" w:line="360" w:lineRule="auto"/>
        <w:jc w:val="both"/>
        <w:rPr>
          <w:rFonts w:ascii="Cambria" w:hAnsi="Cambria" w:cs="Times New Roman"/>
          <w:color w:val="FF0000"/>
          <w:sz w:val="24"/>
          <w:szCs w:val="24"/>
        </w:rPr>
      </w:pPr>
      <w:r w:rsidRPr="007F42BD">
        <w:rPr>
          <w:rFonts w:ascii="Cambria" w:hAnsi="Cambria" w:cs="Times New Roman"/>
          <w:noProof/>
          <w:color w:val="FF0000"/>
          <w:sz w:val="24"/>
          <w:szCs w:val="24"/>
        </w:rPr>
        <w:lastRenderedPageBreak/>
        <mc:AlternateContent>
          <mc:Choice Requires="wps">
            <w:drawing>
              <wp:anchor distT="91440" distB="91440" distL="114300" distR="114300" simplePos="0" relativeHeight="251663360" behindDoc="1" locked="0" layoutInCell="1" allowOverlap="1" wp14:anchorId="44792074" wp14:editId="29846F6A">
                <wp:simplePos x="0" y="0"/>
                <wp:positionH relativeFrom="page">
                  <wp:posOffset>1221638</wp:posOffset>
                </wp:positionH>
                <wp:positionV relativeFrom="paragraph">
                  <wp:posOffset>138963</wp:posOffset>
                </wp:positionV>
                <wp:extent cx="5554980" cy="811988"/>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811988"/>
                        </a:xfrm>
                        <a:prstGeom prst="rect">
                          <a:avLst/>
                        </a:prstGeom>
                        <a:noFill/>
                        <a:ln w="9525">
                          <a:noFill/>
                          <a:miter lim="800000"/>
                          <a:headEnd/>
                          <a:tailEnd/>
                        </a:ln>
                      </wps:spPr>
                      <wps:txbx>
                        <w:txbxContent>
                          <w:p w14:paraId="1B79BAD3" w14:textId="137A8E34" w:rsidR="00EC049D" w:rsidRDefault="00EC049D">
                            <w:pPr>
                              <w:pBdr>
                                <w:top w:val="single" w:sz="24" w:space="8" w:color="5B9BD5" w:themeColor="accent1"/>
                                <w:bottom w:val="single" w:sz="24" w:space="8" w:color="5B9BD5" w:themeColor="accent1"/>
                              </w:pBdr>
                              <w:spacing w:after="0"/>
                              <w:rPr>
                                <w:i/>
                                <w:iCs/>
                                <w:color w:val="5B9BD5"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92074" id="_x0000_s1028" type="#_x0000_t202" style="position:absolute;left:0;text-align:left;margin-left:96.2pt;margin-top:10.95pt;width:437.4pt;height:63.95pt;z-index:-25165312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" filled="f" stroked="f">
                <v:textbox>
                  <w:txbxContent>
                    <w:p w14:paraId="1B79BAD3" w14:textId="137A8E34" w:rsidR="00EC049D" w:rsidRDefault="00EC049D">
                      <w:pPr>
                        <w:pBdr>
                          <w:top w:val="single" w:sz="24" w:space="8" w:color="5B9BD5" w:themeColor="accent1"/>
                          <w:bottom w:val="single" w:sz="24" w:space="8" w:color="5B9BD5" w:themeColor="accent1"/>
                        </w:pBdr>
                        <w:spacing w:after="0"/>
                        <w:rPr>
                          <w:i/>
                          <w:iCs/>
                          <w:color w:val="5B9BD5" w:themeColor="accent1"/>
                          <w:sz w:val="24"/>
                        </w:rPr>
                      </w:pPr>
                    </w:p>
                  </w:txbxContent>
                </v:textbox>
                <w10:wrap anchorx="page"/>
              </v:shape>
            </w:pict>
          </mc:Fallback>
        </mc:AlternateContent>
      </w:r>
    </w:p>
    <w:p w14:paraId="347D1D68" w14:textId="0AA74DA6" w:rsidR="00226BE8" w:rsidRPr="007F42BD" w:rsidRDefault="00226BE8" w:rsidP="00364EE7">
      <w:pPr>
        <w:pStyle w:val="Akapitzlist"/>
        <w:numPr>
          <w:ilvl w:val="0"/>
          <w:numId w:val="1"/>
        </w:numPr>
        <w:spacing w:after="0" w:line="240" w:lineRule="auto"/>
        <w:ind w:left="714" w:hanging="357"/>
        <w:jc w:val="both"/>
        <w:rPr>
          <w:rFonts w:ascii="Cambria" w:hAnsi="Cambria" w:cs="Times New Roman"/>
          <w:i/>
          <w:iCs/>
          <w:sz w:val="24"/>
          <w:szCs w:val="24"/>
        </w:rPr>
      </w:pPr>
      <w:r w:rsidRPr="007F42BD">
        <w:rPr>
          <w:rFonts w:ascii="Cambria" w:hAnsi="Cambria" w:cs="Times New Roman"/>
          <w:color w:val="FF0000"/>
          <w:sz w:val="24"/>
          <w:szCs w:val="24"/>
        </w:rPr>
        <w:t xml:space="preserve"> </w:t>
      </w:r>
      <w:r w:rsidRPr="007F42BD">
        <w:rPr>
          <w:rFonts w:ascii="Cambria" w:hAnsi="Cambria" w:cs="Times New Roman"/>
          <w:i/>
          <w:iCs/>
          <w:sz w:val="24"/>
          <w:szCs w:val="24"/>
        </w:rPr>
        <w:t>Omówienie osiągnięć, o których mowa</w:t>
      </w:r>
      <w:r w:rsidR="003610F5" w:rsidRPr="007F42BD">
        <w:rPr>
          <w:rFonts w:ascii="Cambria" w:hAnsi="Cambria" w:cs="Times New Roman"/>
          <w:i/>
          <w:iCs/>
          <w:sz w:val="24"/>
          <w:szCs w:val="24"/>
        </w:rPr>
        <w:t xml:space="preserve"> w art. 219 ust. 1 pkt 2 ustawy z dnia 20 lipca 2018</w:t>
      </w:r>
      <w:r w:rsidR="00EC049D" w:rsidRPr="007F42BD">
        <w:rPr>
          <w:rFonts w:ascii="Cambria" w:hAnsi="Cambria" w:cs="Times New Roman"/>
          <w:i/>
          <w:iCs/>
          <w:sz w:val="24"/>
          <w:szCs w:val="24"/>
        </w:rPr>
        <w:t xml:space="preserve"> r.</w:t>
      </w:r>
      <w:r w:rsidR="003610F5" w:rsidRPr="007F42BD">
        <w:rPr>
          <w:rFonts w:ascii="Cambria" w:hAnsi="Cambria" w:cs="Times New Roman"/>
          <w:i/>
          <w:iCs/>
          <w:sz w:val="24"/>
          <w:szCs w:val="24"/>
        </w:rPr>
        <w:t xml:space="preserve"> </w:t>
      </w:r>
      <w:r w:rsidR="00EC049D" w:rsidRPr="007F42BD">
        <w:rPr>
          <w:rFonts w:ascii="Cambria" w:hAnsi="Cambria" w:cs="Times New Roman"/>
          <w:i/>
          <w:iCs/>
          <w:sz w:val="24"/>
          <w:szCs w:val="24"/>
        </w:rPr>
        <w:t xml:space="preserve">- </w:t>
      </w:r>
      <w:r w:rsidR="003610F5" w:rsidRPr="007F42BD">
        <w:rPr>
          <w:rFonts w:ascii="Cambria" w:hAnsi="Cambria" w:cs="Times New Roman"/>
          <w:i/>
          <w:iCs/>
          <w:sz w:val="24"/>
          <w:szCs w:val="24"/>
        </w:rPr>
        <w:t>Prawo o szkolnictwi</w:t>
      </w:r>
      <w:r w:rsidR="009862FF" w:rsidRPr="007F42BD">
        <w:rPr>
          <w:rFonts w:ascii="Cambria" w:hAnsi="Cambria" w:cs="Times New Roman"/>
          <w:i/>
          <w:iCs/>
          <w:sz w:val="24"/>
          <w:szCs w:val="24"/>
        </w:rPr>
        <w:t>e wyższym i nauce (</w:t>
      </w:r>
      <w:r w:rsidR="002539E6" w:rsidRPr="007F42BD">
        <w:rPr>
          <w:rFonts w:ascii="Cambria" w:hAnsi="Cambria" w:cs="Times New Roman"/>
          <w:i/>
          <w:iCs/>
          <w:sz w:val="24"/>
          <w:szCs w:val="24"/>
        </w:rPr>
        <w:t xml:space="preserve">tekst jedn. </w:t>
      </w:r>
      <w:r w:rsidR="009862FF" w:rsidRPr="007F42BD">
        <w:rPr>
          <w:rFonts w:ascii="Cambria" w:hAnsi="Cambria" w:cs="Times New Roman"/>
          <w:i/>
          <w:iCs/>
          <w:sz w:val="24"/>
          <w:szCs w:val="24"/>
        </w:rPr>
        <w:t>Dz. U. z 202</w:t>
      </w:r>
      <w:r w:rsidR="002539E6" w:rsidRPr="007F42BD">
        <w:rPr>
          <w:rFonts w:ascii="Cambria" w:hAnsi="Cambria" w:cs="Times New Roman"/>
          <w:i/>
          <w:iCs/>
          <w:sz w:val="24"/>
          <w:szCs w:val="24"/>
        </w:rPr>
        <w:t>2</w:t>
      </w:r>
      <w:r w:rsidR="009862FF" w:rsidRPr="007F42BD">
        <w:rPr>
          <w:rFonts w:ascii="Cambria" w:hAnsi="Cambria" w:cs="Times New Roman"/>
          <w:i/>
          <w:iCs/>
          <w:sz w:val="24"/>
          <w:szCs w:val="24"/>
        </w:rPr>
        <w:t xml:space="preserve"> r.</w:t>
      </w:r>
      <w:r w:rsidR="002539E6" w:rsidRPr="007F42BD">
        <w:rPr>
          <w:rFonts w:ascii="Cambria" w:hAnsi="Cambria" w:cs="Times New Roman"/>
          <w:i/>
          <w:iCs/>
          <w:sz w:val="24"/>
          <w:szCs w:val="24"/>
        </w:rPr>
        <w:t>, poz. 574 ze</w:t>
      </w:r>
      <w:r w:rsidR="003610F5" w:rsidRPr="007F42BD">
        <w:rPr>
          <w:rFonts w:ascii="Cambria" w:hAnsi="Cambria" w:cs="Times New Roman"/>
          <w:i/>
          <w:iCs/>
          <w:sz w:val="24"/>
          <w:szCs w:val="24"/>
        </w:rPr>
        <w:t xml:space="preserve"> zm.). </w:t>
      </w:r>
    </w:p>
    <w:p w14:paraId="1CC3BDC8" w14:textId="3951A4F5" w:rsidR="00C6173D" w:rsidRPr="005C06CC" w:rsidRDefault="00C6173D" w:rsidP="005C06CC">
      <w:pPr>
        <w:spacing w:after="0" w:line="360" w:lineRule="auto"/>
        <w:jc w:val="both"/>
        <w:rPr>
          <w:rFonts w:ascii="Cambria" w:hAnsi="Cambria" w:cs="Times New Roman"/>
          <w:color w:val="FF0000"/>
          <w:sz w:val="24"/>
          <w:szCs w:val="24"/>
        </w:rPr>
      </w:pPr>
    </w:p>
    <w:p w14:paraId="7B8BCB4C" w14:textId="77777777" w:rsidR="00456736" w:rsidRPr="007F42BD" w:rsidRDefault="00456736" w:rsidP="00364EE7">
      <w:pPr>
        <w:pStyle w:val="Akapitzlist"/>
        <w:numPr>
          <w:ilvl w:val="0"/>
          <w:numId w:val="4"/>
        </w:numPr>
        <w:spacing w:after="120" w:line="276" w:lineRule="auto"/>
        <w:jc w:val="both"/>
        <w:rPr>
          <w:rFonts w:ascii="Cambria" w:hAnsi="Cambria" w:cs="Times New Roman"/>
          <w:b/>
          <w:bCs/>
          <w:color w:val="FF0000"/>
          <w:sz w:val="24"/>
          <w:szCs w:val="24"/>
        </w:rPr>
      </w:pPr>
      <w:r w:rsidRPr="007F42BD">
        <w:rPr>
          <w:rFonts w:ascii="Cambria" w:hAnsi="Cambria" w:cs="Times New Roman"/>
          <w:b/>
          <w:bCs/>
          <w:sz w:val="24"/>
          <w:szCs w:val="24"/>
        </w:rPr>
        <w:t xml:space="preserve">Omówienie </w:t>
      </w:r>
      <w:bookmarkStart w:id="0" w:name="_Hlk110793956"/>
      <w:r w:rsidRPr="007F42BD">
        <w:rPr>
          <w:rFonts w:ascii="Cambria" w:hAnsi="Cambria" w:cs="Times New Roman"/>
          <w:b/>
          <w:bCs/>
          <w:sz w:val="24"/>
          <w:szCs w:val="24"/>
        </w:rPr>
        <w:t>osiągnięcia, o którym mowa w art. 219 ust. 1 pkt 2 lit. a ustawy z dnia 20 lipca 2018 r. Prawo o szkolnictwie wyższym i nauce (tekst jedn. Dz. U. z 2022 r., poz. 574 ze zm.)</w:t>
      </w:r>
      <w:bookmarkEnd w:id="0"/>
      <w:r w:rsidRPr="007F42BD">
        <w:rPr>
          <w:rFonts w:ascii="Cambria" w:hAnsi="Cambria" w:cs="Times New Roman"/>
          <w:b/>
          <w:bCs/>
          <w:sz w:val="24"/>
          <w:szCs w:val="24"/>
        </w:rPr>
        <w:t>;</w:t>
      </w:r>
    </w:p>
    <w:p w14:paraId="3C30392D" w14:textId="77777777" w:rsidR="00456736" w:rsidRPr="007F42BD" w:rsidRDefault="00456736" w:rsidP="00770CF9">
      <w:pPr>
        <w:pStyle w:val="Akapitzlist"/>
        <w:spacing w:after="120" w:line="276" w:lineRule="auto"/>
        <w:ind w:left="1440"/>
        <w:jc w:val="both"/>
        <w:rPr>
          <w:rFonts w:ascii="Cambria" w:hAnsi="Cambria" w:cs="Times New Roman"/>
          <w:sz w:val="24"/>
          <w:szCs w:val="24"/>
        </w:rPr>
      </w:pPr>
    </w:p>
    <w:p w14:paraId="1ED74A69" w14:textId="77777777" w:rsidR="00456736" w:rsidRPr="007F42BD" w:rsidRDefault="00456736" w:rsidP="00364EE7">
      <w:pPr>
        <w:pStyle w:val="Akapitzlist"/>
        <w:numPr>
          <w:ilvl w:val="0"/>
          <w:numId w:val="5"/>
        </w:numPr>
        <w:spacing w:after="120" w:line="276" w:lineRule="auto"/>
        <w:jc w:val="both"/>
        <w:rPr>
          <w:rFonts w:ascii="Cambria" w:hAnsi="Cambria" w:cs="Times New Roman"/>
          <w:color w:val="FF0000"/>
          <w:sz w:val="24"/>
          <w:szCs w:val="24"/>
        </w:rPr>
      </w:pPr>
      <w:r w:rsidRPr="007F42BD">
        <w:rPr>
          <w:rFonts w:ascii="Cambria" w:hAnsi="Cambria" w:cs="Times New Roman"/>
          <w:b/>
          <w:bCs/>
          <w:i/>
          <w:iCs/>
          <w:sz w:val="24"/>
          <w:szCs w:val="24"/>
        </w:rPr>
        <w:t>Wskazanie rozprawy habilitacyjnej</w:t>
      </w:r>
      <w:r w:rsidRPr="007F42BD">
        <w:rPr>
          <w:rFonts w:ascii="Cambria" w:hAnsi="Cambria" w:cs="Times New Roman"/>
          <w:sz w:val="24"/>
          <w:szCs w:val="24"/>
        </w:rPr>
        <w:t>:</w:t>
      </w:r>
    </w:p>
    <w:p w14:paraId="13A6BC94" w14:textId="24D63E59" w:rsidR="00456736" w:rsidRDefault="00456736" w:rsidP="009F5769">
      <w:pPr>
        <w:pStyle w:val="Akapitzlist"/>
        <w:spacing w:after="120" w:line="276" w:lineRule="auto"/>
        <w:ind w:left="1800"/>
        <w:jc w:val="both"/>
        <w:rPr>
          <w:rFonts w:ascii="Cambria" w:hAnsi="Cambria" w:cs="Times New Roman"/>
          <w:b/>
          <w:bCs/>
          <w:sz w:val="24"/>
          <w:szCs w:val="24"/>
        </w:rPr>
      </w:pPr>
      <w:r w:rsidRPr="007F42BD">
        <w:rPr>
          <w:rFonts w:ascii="Cambria" w:hAnsi="Cambria" w:cs="Times New Roman"/>
          <w:sz w:val="24"/>
          <w:szCs w:val="24"/>
        </w:rPr>
        <w:t xml:space="preserve">Jako najważniejsze osiągnięcie naukowe, po uzyskaniu stopnia doktora wskazuję </w:t>
      </w:r>
      <w:r w:rsidR="009F5769">
        <w:rPr>
          <w:rFonts w:ascii="Cambria" w:hAnsi="Cambria" w:cs="Times New Roman"/>
          <w:sz w:val="24"/>
          <w:szCs w:val="24"/>
        </w:rPr>
        <w:t>a</w:t>
      </w:r>
      <w:r w:rsidR="009F5769" w:rsidRPr="009F5769">
        <w:rPr>
          <w:rFonts w:ascii="Cambria" w:hAnsi="Cambria" w:cs="Times New Roman"/>
          <w:sz w:val="24"/>
          <w:szCs w:val="24"/>
        </w:rPr>
        <w:t>utorstwo recenzowanej monografii naukowej wydanej przez wydawnictwo, które w roku opublikowania monografii w ostatecznej formie było ujęte w wykazie sporządzonym zgodnie z przepisami wydanymi na podstawie art. 267 ust. 2 pkt 2 lit. a ustawy z dnia 20 lipca 2019 r. – Prawo o szkolnictwie wyższym i nauce</w:t>
      </w:r>
      <w:r w:rsidR="009F5769">
        <w:rPr>
          <w:rFonts w:ascii="Cambria" w:hAnsi="Cambria" w:cs="Times New Roman"/>
          <w:sz w:val="24"/>
          <w:szCs w:val="24"/>
        </w:rPr>
        <w:t xml:space="preserve"> </w:t>
      </w:r>
      <w:r w:rsidRPr="009F5769">
        <w:rPr>
          <w:rFonts w:ascii="Cambria" w:hAnsi="Cambria" w:cs="Times New Roman"/>
          <w:sz w:val="24"/>
          <w:szCs w:val="24"/>
        </w:rPr>
        <w:t xml:space="preserve">pt. </w:t>
      </w:r>
      <w:r w:rsidRPr="009F5769">
        <w:rPr>
          <w:rFonts w:ascii="Cambria" w:hAnsi="Cambria" w:cs="Times New Roman"/>
          <w:b/>
          <w:bCs/>
          <w:i/>
          <w:iCs/>
          <w:sz w:val="24"/>
          <w:szCs w:val="24"/>
        </w:rPr>
        <w:t>„Autonomia publicznych uczelni akademickich w Polsce”</w:t>
      </w:r>
      <w:r w:rsidRPr="009F5769">
        <w:rPr>
          <w:rFonts w:ascii="Cambria" w:hAnsi="Cambria" w:cs="Times New Roman"/>
          <w:b/>
          <w:bCs/>
          <w:sz w:val="24"/>
          <w:szCs w:val="24"/>
        </w:rPr>
        <w:t>, Wydawnictwo UMCS, Lublin 2022</w:t>
      </w:r>
      <w:r w:rsidR="00766F3D" w:rsidRPr="009F5769">
        <w:rPr>
          <w:rFonts w:ascii="Cambria" w:hAnsi="Cambria" w:cs="Times New Roman"/>
          <w:b/>
          <w:bCs/>
          <w:sz w:val="24"/>
          <w:szCs w:val="24"/>
        </w:rPr>
        <w:t>, ISBN 978-83-227-9620-7, ss.764.</w:t>
      </w:r>
    </w:p>
    <w:p w14:paraId="4A22A47D" w14:textId="77777777" w:rsidR="009F5769" w:rsidRPr="009F5769" w:rsidRDefault="009F5769" w:rsidP="009F5769">
      <w:pPr>
        <w:pStyle w:val="Akapitzlist"/>
        <w:spacing w:after="120" w:line="276" w:lineRule="auto"/>
        <w:ind w:left="1800"/>
        <w:jc w:val="both"/>
        <w:rPr>
          <w:rFonts w:ascii="Cambria" w:hAnsi="Cambria" w:cs="Times New Roman"/>
          <w:b/>
          <w:bCs/>
          <w:sz w:val="24"/>
          <w:szCs w:val="24"/>
        </w:rPr>
      </w:pPr>
    </w:p>
    <w:p w14:paraId="4DEBDF68" w14:textId="368C6F7D" w:rsidR="00BB12AB" w:rsidRPr="007F42BD" w:rsidRDefault="00456736" w:rsidP="00364EE7">
      <w:pPr>
        <w:pStyle w:val="Akapitzlist"/>
        <w:numPr>
          <w:ilvl w:val="0"/>
          <w:numId w:val="5"/>
        </w:numPr>
        <w:spacing w:after="120" w:line="276" w:lineRule="auto"/>
        <w:jc w:val="both"/>
        <w:rPr>
          <w:rFonts w:ascii="Cambria" w:hAnsi="Cambria" w:cs="Times New Roman"/>
          <w:b/>
          <w:bCs/>
          <w:i/>
          <w:iCs/>
          <w:sz w:val="24"/>
          <w:szCs w:val="24"/>
        </w:rPr>
      </w:pPr>
      <w:r w:rsidRPr="007F42BD">
        <w:rPr>
          <w:rFonts w:ascii="Cambria" w:hAnsi="Cambria" w:cs="Times New Roman"/>
          <w:b/>
          <w:bCs/>
          <w:i/>
          <w:iCs/>
          <w:sz w:val="24"/>
          <w:szCs w:val="24"/>
        </w:rPr>
        <w:t>Autor, tytuł publikacji, rok wydania, nazwa wydawnictwa, recenzenci wydawniczy</w:t>
      </w:r>
      <w:r w:rsidR="008E2052" w:rsidRPr="007F42BD">
        <w:rPr>
          <w:rFonts w:ascii="Cambria" w:hAnsi="Cambria" w:cs="Times New Roman"/>
          <w:b/>
          <w:bCs/>
          <w:i/>
          <w:iCs/>
          <w:sz w:val="24"/>
          <w:szCs w:val="24"/>
        </w:rPr>
        <w:t>:</w:t>
      </w:r>
      <w:r w:rsidRPr="007F42BD">
        <w:rPr>
          <w:rFonts w:ascii="Cambria" w:hAnsi="Cambria" w:cs="Times New Roman"/>
          <w:b/>
          <w:bCs/>
          <w:i/>
          <w:iCs/>
          <w:sz w:val="24"/>
          <w:szCs w:val="24"/>
        </w:rPr>
        <w:t xml:space="preserve">  </w:t>
      </w:r>
    </w:p>
    <w:p w14:paraId="1B2E7107" w14:textId="17F009DE" w:rsidR="00456736" w:rsidRPr="007F42BD" w:rsidRDefault="00456736" w:rsidP="00770CF9">
      <w:pPr>
        <w:pStyle w:val="Akapitzlist"/>
        <w:spacing w:after="120" w:line="276" w:lineRule="auto"/>
        <w:ind w:left="1800"/>
        <w:jc w:val="both"/>
        <w:rPr>
          <w:rFonts w:ascii="Cambria" w:hAnsi="Cambria" w:cs="Times New Roman"/>
          <w:sz w:val="24"/>
          <w:szCs w:val="24"/>
        </w:rPr>
      </w:pPr>
      <w:r w:rsidRPr="007F42BD">
        <w:rPr>
          <w:rFonts w:ascii="Cambria" w:hAnsi="Cambria" w:cs="Times New Roman"/>
          <w:sz w:val="24"/>
          <w:szCs w:val="24"/>
        </w:rPr>
        <w:t xml:space="preserve">Marzena Świstak, „Autonomia publicznych uczelni akademickich w Polsce”, Wydawnictwo UMCS, Lublin 2022, ISBN </w:t>
      </w:r>
      <w:r w:rsidR="00766F3D" w:rsidRPr="007F42BD">
        <w:rPr>
          <w:rFonts w:ascii="Cambria" w:hAnsi="Cambria" w:cs="Times New Roman"/>
          <w:sz w:val="24"/>
          <w:szCs w:val="24"/>
        </w:rPr>
        <w:t>978-83-227-9620-7</w:t>
      </w:r>
      <w:r w:rsidRPr="007F42BD">
        <w:rPr>
          <w:rFonts w:ascii="Cambria" w:hAnsi="Cambria" w:cs="Times New Roman"/>
          <w:sz w:val="24"/>
          <w:szCs w:val="24"/>
        </w:rPr>
        <w:t>, ss. 764.</w:t>
      </w:r>
    </w:p>
    <w:p w14:paraId="1476320A" w14:textId="449DEC38" w:rsidR="008E2052" w:rsidRPr="007F42BD" w:rsidRDefault="008E2052" w:rsidP="00770CF9">
      <w:pPr>
        <w:pStyle w:val="Akapitzlist"/>
        <w:spacing w:after="120" w:line="276" w:lineRule="auto"/>
        <w:ind w:left="1800"/>
        <w:jc w:val="both"/>
        <w:rPr>
          <w:rFonts w:ascii="Cambria" w:hAnsi="Cambria" w:cs="Times New Roman"/>
          <w:sz w:val="24"/>
          <w:szCs w:val="24"/>
        </w:rPr>
      </w:pPr>
      <w:r w:rsidRPr="007F42BD">
        <w:rPr>
          <w:rFonts w:ascii="Cambria" w:hAnsi="Cambria" w:cs="Times New Roman"/>
          <w:sz w:val="24"/>
          <w:szCs w:val="24"/>
        </w:rPr>
        <w:t>Recenzenci wydawniczy: Prof. dr hab. Hubert Izdebski, dr hab. Piotr Lisowski, prof. UWr.</w:t>
      </w:r>
    </w:p>
    <w:p w14:paraId="1E7980BA" w14:textId="77777777" w:rsidR="00770CF9" w:rsidRPr="007F42BD" w:rsidRDefault="00770CF9" w:rsidP="00770CF9">
      <w:pPr>
        <w:spacing w:after="120" w:line="276" w:lineRule="auto"/>
        <w:jc w:val="both"/>
        <w:rPr>
          <w:rFonts w:ascii="Cambria" w:hAnsi="Cambria" w:cs="Times New Roman"/>
          <w:b/>
          <w:bCs/>
          <w:sz w:val="24"/>
          <w:szCs w:val="24"/>
        </w:rPr>
      </w:pPr>
    </w:p>
    <w:p w14:paraId="1CC0D5ED" w14:textId="77777777" w:rsidR="00392823" w:rsidRDefault="008E2052" w:rsidP="00392823">
      <w:pPr>
        <w:spacing w:after="120" w:line="276" w:lineRule="auto"/>
        <w:ind w:left="708"/>
        <w:jc w:val="both"/>
        <w:rPr>
          <w:rFonts w:ascii="Cambria" w:hAnsi="Cambria" w:cs="Times New Roman"/>
          <w:b/>
          <w:bCs/>
          <w:sz w:val="24"/>
          <w:szCs w:val="24"/>
        </w:rPr>
      </w:pPr>
      <w:r w:rsidRPr="007F42BD">
        <w:rPr>
          <w:rFonts w:ascii="Cambria" w:hAnsi="Cambria" w:cs="Times New Roman"/>
          <w:b/>
          <w:bCs/>
          <w:sz w:val="24"/>
          <w:szCs w:val="24"/>
        </w:rPr>
        <w:t>Omówienie celu naukowego ww. pracy i osiągniętych wyników oraz omówienie ich ewentualnego wykorzystania:</w:t>
      </w:r>
    </w:p>
    <w:p w14:paraId="68266E60" w14:textId="77777777" w:rsidR="00392823" w:rsidRDefault="00E755C4" w:rsidP="00392823">
      <w:pPr>
        <w:spacing w:after="120" w:line="276" w:lineRule="auto"/>
        <w:ind w:left="708"/>
        <w:jc w:val="both"/>
        <w:rPr>
          <w:rFonts w:ascii="Cambria" w:hAnsi="Cambria" w:cs="Times New Roman"/>
          <w:b/>
          <w:bCs/>
          <w:sz w:val="24"/>
          <w:szCs w:val="24"/>
        </w:rPr>
      </w:pPr>
      <w:r w:rsidRPr="00E914A4">
        <w:rPr>
          <w:rFonts w:ascii="Cambria" w:hAnsi="Cambria"/>
          <w:sz w:val="24"/>
          <w:szCs w:val="24"/>
        </w:rPr>
        <w:t xml:space="preserve">Autonomia akademicka jest zjawiskiem, które w sposób nierozerwalny połączone jest z rozwojem ideowym i instytucjonalnym publicznych uczelni akademickich (tak w przestrzeni krajowej, jak i zagranicznej). </w:t>
      </w:r>
      <w:r w:rsidRPr="00E914A4">
        <w:rPr>
          <w:rFonts w:ascii="Cambria" w:hAnsi="Cambria"/>
          <w:bCs/>
          <w:sz w:val="24"/>
          <w:szCs w:val="24"/>
        </w:rPr>
        <w:t>O ile na wstępnych etapach kształtowania się autonomii</w:t>
      </w:r>
      <w:r w:rsidRPr="00E914A4">
        <w:rPr>
          <w:rFonts w:ascii="Cambria" w:hAnsi="Cambria"/>
          <w:sz w:val="24"/>
          <w:szCs w:val="24"/>
        </w:rPr>
        <w:t xml:space="preserve"> trudno jeszcze dokonać klasyfikacji w zakresie jej rodzajów i przejawów, o tyle można już dostrzec, iż pozostaje ona w stałym stosunku współzależności z dynamiką (i kierunkami) zachodzących transformacji akademickich. Dynamizacja jej zmian przebiegała bowiem synchronicznie (choć nie zawsze stadialnie) do przeobrażeń zachodzących w świecie akademickim. Mimo że autonomia akademicka jest fenomenem o kluczowym znaczeniu, ze względu na swoją naturę (niejednoznaczną, zmienną) wokół jej istoty narasta wiele wątpliwości. Nadal pozostaje więc nie tylko zasadniczym atrybutem, ale i wyzwaniem dla współczesnego otoczenia akademickiego (zwłaszcza gdy uwzględni się szerokie spektrum odrębności o charakterze m.in. historycznym, </w:t>
      </w:r>
      <w:r w:rsidRPr="00E914A4">
        <w:rPr>
          <w:rFonts w:ascii="Cambria" w:hAnsi="Cambria"/>
          <w:sz w:val="24"/>
          <w:szCs w:val="24"/>
        </w:rPr>
        <w:lastRenderedPageBreak/>
        <w:t>politycznym, kulturowym, społecznym, gospodarczym czy prawnym, które oddziałują na sferę akademicką).</w:t>
      </w:r>
    </w:p>
    <w:p w14:paraId="1E712C20"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hAnsi="Cambria"/>
          <w:sz w:val="24"/>
          <w:szCs w:val="24"/>
        </w:rPr>
        <w:t xml:space="preserve">Znaczenie autonomii akademickiej uwidacznia się nie tylko na płaszczyźnie ideowej, czy semantycznej, ale również w perspektywie normatywnej. W polskim porządku prawnym autonomię uczelni po raz pierwszy </w:t>
      </w:r>
      <w:r w:rsidRPr="00E914A4">
        <w:rPr>
          <w:rFonts w:ascii="Cambria" w:hAnsi="Cambria"/>
          <w:i/>
          <w:iCs/>
          <w:sz w:val="24"/>
          <w:szCs w:val="24"/>
        </w:rPr>
        <w:t>expressis verbis</w:t>
      </w:r>
      <w:r w:rsidRPr="00E914A4">
        <w:rPr>
          <w:rFonts w:ascii="Cambria" w:hAnsi="Cambria"/>
          <w:sz w:val="24"/>
          <w:szCs w:val="24"/>
        </w:rPr>
        <w:t xml:space="preserve"> zagwarantowano w </w:t>
      </w:r>
      <w:r w:rsidRPr="00E914A4">
        <w:rPr>
          <w:rFonts w:ascii="Cambria" w:hAnsi="Cambria" w:cs="Times New Roman"/>
          <w:sz w:val="24"/>
          <w:szCs w:val="24"/>
        </w:rPr>
        <w:t>Konstytucj</w:t>
      </w:r>
      <w:r w:rsidRPr="00E914A4">
        <w:rPr>
          <w:rFonts w:ascii="Cambria" w:hAnsi="Cambria"/>
          <w:sz w:val="24"/>
          <w:szCs w:val="24"/>
        </w:rPr>
        <w:t>i</w:t>
      </w:r>
      <w:r w:rsidRPr="00E914A4">
        <w:rPr>
          <w:rFonts w:ascii="Cambria" w:hAnsi="Cambria" w:cs="Times New Roman"/>
          <w:sz w:val="24"/>
          <w:szCs w:val="24"/>
        </w:rPr>
        <w:t xml:space="preserve"> Rzeczypospolitej Polskiej z dnia 2 kwietnia 1997 r. (Dz.U. z 1997 r.</w:t>
      </w:r>
      <w:r w:rsidRPr="00E914A4">
        <w:rPr>
          <w:rFonts w:ascii="Cambria" w:hAnsi="Cambria"/>
          <w:sz w:val="24"/>
          <w:szCs w:val="24"/>
        </w:rPr>
        <w:t xml:space="preserve"> N</w:t>
      </w:r>
      <w:r w:rsidRPr="00E914A4">
        <w:rPr>
          <w:rFonts w:ascii="Cambria" w:hAnsi="Cambria" w:cs="Times New Roman"/>
          <w:sz w:val="24"/>
          <w:szCs w:val="24"/>
        </w:rPr>
        <w:t>r 178, poz. 483, ze zm.)</w:t>
      </w:r>
      <w:r w:rsidRPr="00E914A4">
        <w:rPr>
          <w:rFonts w:ascii="Cambria" w:hAnsi="Cambria"/>
          <w:sz w:val="24"/>
          <w:szCs w:val="24"/>
        </w:rPr>
        <w:t xml:space="preserve">, wprowadzając w art. 70 ust. 5 obowiązek państwa do jej zapewnienia „na zasadach określonych w ustawie”. Gwarancję tę zawarto też wprost w art. 4 ust. 1 ustawy z dnia 27 lipca 2005 r. – Prawo o szkolnictwie wyższym (tekst jedn. Dz.U. z 2017 r., poz. 2183 ze zm., dalej cyt. jako „p.s.w.”), a następnie powtórzono w art. 9 ust. 2 aktualnie obowiązującej </w:t>
      </w:r>
      <w:bookmarkStart w:id="1" w:name="_Hlk99711184"/>
      <w:r w:rsidRPr="00E914A4">
        <w:rPr>
          <w:rFonts w:ascii="Cambria" w:hAnsi="Cambria"/>
          <w:sz w:val="24"/>
          <w:szCs w:val="24"/>
        </w:rPr>
        <w:t xml:space="preserve">ustawy </w:t>
      </w:r>
      <w:bookmarkEnd w:id="1"/>
      <w:r w:rsidRPr="00E914A4">
        <w:rPr>
          <w:rFonts w:ascii="Cambria" w:hAnsi="Cambria" w:cs="Times New Roman"/>
          <w:sz w:val="24"/>
          <w:szCs w:val="24"/>
        </w:rPr>
        <w:t>z dnia 20 lipca 2018 r. – Prawo o szkolnictwie wyższym i nauce (t</w:t>
      </w:r>
      <w:r w:rsidRPr="00E914A4">
        <w:rPr>
          <w:rFonts w:ascii="Cambria" w:hAnsi="Cambria"/>
          <w:sz w:val="24"/>
          <w:szCs w:val="24"/>
        </w:rPr>
        <w:t xml:space="preserve">ekst jedn. </w:t>
      </w:r>
      <w:r w:rsidRPr="00E914A4">
        <w:rPr>
          <w:rFonts w:ascii="Cambria" w:hAnsi="Cambria" w:cs="Times New Roman"/>
          <w:sz w:val="24"/>
          <w:szCs w:val="24"/>
        </w:rPr>
        <w:t>Dz.U. z 2021 r., poz. 478</w:t>
      </w:r>
      <w:r w:rsidRPr="00E914A4">
        <w:rPr>
          <w:rFonts w:ascii="Cambria" w:hAnsi="Cambria"/>
          <w:sz w:val="24"/>
          <w:szCs w:val="24"/>
        </w:rPr>
        <w:t xml:space="preserve"> </w:t>
      </w:r>
      <w:r w:rsidRPr="00E914A4">
        <w:rPr>
          <w:rFonts w:ascii="Cambria" w:hAnsi="Cambria" w:cs="Times New Roman"/>
          <w:sz w:val="24"/>
          <w:szCs w:val="24"/>
        </w:rPr>
        <w:t>ze zm.</w:t>
      </w:r>
      <w:r w:rsidRPr="00E914A4">
        <w:rPr>
          <w:rFonts w:ascii="Cambria" w:hAnsi="Cambria"/>
          <w:sz w:val="24"/>
          <w:szCs w:val="24"/>
        </w:rPr>
        <w:t>, dalej cyt. jako „p.s.w.n.”). Należy dodać, że nadanie rangi konstytucyjnej wartości, jaką jest autonomia, zasługuje na pełną aprobatę i niewątpliwie stanowi asumpt do pogłębienia badań nad tak fundamentalnym aspektem funkcjonowania publicznych uczelni akademickich.</w:t>
      </w:r>
    </w:p>
    <w:p w14:paraId="31E4C381"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hAnsi="Cambria"/>
          <w:sz w:val="24"/>
          <w:szCs w:val="24"/>
        </w:rPr>
        <w:t>Głównym celem badawczym monografii jaki sobie postawiono były ocena i weryfikacja sposobu oraz zakresu, w jakim w polskim porządku prawnym materializuje się autonomia publicznych uczelni akademickich. Wybrana p</w:t>
      </w:r>
      <w:r w:rsidRPr="00E914A4">
        <w:rPr>
          <w:rFonts w:ascii="Cambria" w:eastAsia="Calibri" w:hAnsi="Cambria"/>
          <w:sz w:val="24"/>
          <w:szCs w:val="24"/>
        </w:rPr>
        <w:t>roblematyka badawcza związana z określeniem sposobu i zakresu, w jakim urzeczywistnia się autonomia publicznych uczelni akademickich, obejmuje niezwykle szeroki i zarazem zmienny – także z punktu widzenia normatywnego obszar badawczy. Z tego względu przeprowadzono pogłębioną (wielokontekstową) analizę przejawów autonomii publicznych uczelni akademickich w poszczególnych wymiarach i sferach ich działalności. Wypada dodać, że w ostatnim czasie p</w:t>
      </w:r>
      <w:r w:rsidRPr="00E914A4">
        <w:rPr>
          <w:rFonts w:ascii="Cambria" w:hAnsi="Cambria"/>
          <w:bCs/>
          <w:sz w:val="24"/>
          <w:szCs w:val="24"/>
        </w:rPr>
        <w:t>ubliczne uczelnie akademickie w Polsce</w:t>
      </w:r>
      <w:r w:rsidRPr="00E914A4">
        <w:rPr>
          <w:rFonts w:ascii="Cambria" w:eastAsia="Calibri" w:hAnsi="Cambria"/>
          <w:sz w:val="24"/>
          <w:szCs w:val="24"/>
        </w:rPr>
        <w:t xml:space="preserve"> zostały objęte szeroką reformą systemową, którą uznano za pozytywny zwiastun zachodzących transformacji (choć jeszcze nie punkt docelowy).</w:t>
      </w:r>
      <w:r w:rsidRPr="00E914A4">
        <w:rPr>
          <w:rFonts w:ascii="Cambria" w:eastAsia="Calibri" w:hAnsi="Cambria"/>
          <w:bCs/>
          <w:sz w:val="24"/>
          <w:szCs w:val="24"/>
        </w:rPr>
        <w:t xml:space="preserve"> Obok trwających od wielu lat w Europie reform w sferze szkolnictwa wyższego, zmiany na poziomie krajowym należało uznać za sprzyjający moment do podjęcia badań nad stanem obowiązujących regulacji kształtujących proces urzeczywistniania autonomii publicznych uczelni akademickich. W takim ujęciu problematyka ta nie była dotychczas podejmowana. Monografia stanowi zatem próbę wypełnienia luki zaistniałej w tej mierze w polskiej literaturze przedmiotu.</w:t>
      </w:r>
      <w:r w:rsidRPr="00E914A4">
        <w:rPr>
          <w:rFonts w:ascii="Cambria" w:eastAsia="Calibri" w:hAnsi="Cambria"/>
          <w:sz w:val="24"/>
          <w:szCs w:val="24"/>
        </w:rPr>
        <w:t xml:space="preserve"> Wprawdzie zawarto tu liczne wątki o profilu </w:t>
      </w:r>
      <w:r w:rsidRPr="00E914A4">
        <w:rPr>
          <w:rFonts w:ascii="Cambria" w:eastAsia="Calibri" w:hAnsi="Cambria"/>
          <w:bCs/>
          <w:sz w:val="24"/>
          <w:szCs w:val="24"/>
        </w:rPr>
        <w:t>historycznym, socjologicznym czy filozoficznym, jednak ma ona zdecydowanie charakter normatywny. Badania we wspomnianych obszarach naukowych stanowią jedynie tło dla głównej płaszczyzny rozważań.</w:t>
      </w:r>
    </w:p>
    <w:p w14:paraId="5AE9C720"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hAnsi="Cambria"/>
          <w:sz w:val="24"/>
          <w:szCs w:val="24"/>
        </w:rPr>
        <w:t xml:space="preserve">W obszarze wybranego zagadnienia badawczego postawiono kilka pytań badawczych. Przede wszystkim chodziło o udzielenie odpowiedzi, w jaki sposób i w jakim zakresie normatywnym ucieleśnia się autonomia publicznych uczelni akademickich w Polsce. Pomocniczą rolę w tym zakresie spełniały pytania szczegółowe dotyczące: identyfikacji możliwych ujęć teoretycznych i </w:t>
      </w:r>
      <w:r w:rsidRPr="00E914A4">
        <w:rPr>
          <w:rFonts w:ascii="Cambria" w:hAnsi="Cambria"/>
          <w:sz w:val="24"/>
          <w:szCs w:val="24"/>
        </w:rPr>
        <w:lastRenderedPageBreak/>
        <w:t xml:space="preserve">normatywnych autonomii, trajektorii kształtowania się zjawiska autonomii w kontekście rozwoju ideowo – instytucjonalnego publicznych uczelni akademickich, jej wymiarów i przejawów na tle działalności współczesnych uczelni akademickich (w kontekście ideowym i normatywnym). </w:t>
      </w:r>
    </w:p>
    <w:p w14:paraId="7B2963DD"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hAnsi="Cambria"/>
          <w:bCs/>
          <w:sz w:val="24"/>
          <w:szCs w:val="24"/>
        </w:rPr>
        <w:t>W trakcie prowadzonych badań postawiono kilka hipotez badawczych (głównych i szczegółowych), które poddano weryfikacji. Po pierwsze, sformułowano hipotezę o wielokontekstowości, niejednoznaczności i relatywności autonomii w jej aspekcie semantycznym, co z kolei prowadzi do ryzyka przyjęcia zdeformowanego wzorca znaczeniowego (uwzględniając współzależność z instytucją publicznej uczelni akademickiej). Hipotezę główną uzupełniono o hipotezy szczegółowe: a) istnienie nierównoważności pojęciowej pomiędzy autonomią instytucjonalną, a wolnością nauki i wolnością akademicką oraz b) konieczność współwystępowania i oddziaływania antybodźca w postaci zasady rozliczalności.</w:t>
      </w:r>
    </w:p>
    <w:p w14:paraId="4F5EF4F2"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hAnsi="Cambria"/>
          <w:sz w:val="24"/>
          <w:szCs w:val="24"/>
        </w:rPr>
        <w:t>Po drugie postawiono hipotezę, że a</w:t>
      </w:r>
      <w:r w:rsidRPr="00E914A4">
        <w:rPr>
          <w:rFonts w:ascii="Cambria" w:hAnsi="Cambria"/>
          <w:bCs/>
          <w:sz w:val="24"/>
          <w:szCs w:val="24"/>
        </w:rPr>
        <w:t>utonomia instytucjonalna stanowi atrybut publicznych uczelni akademickich w Polsce, który nierozerwalnie jest związany z trajektorią ich zdywersyfikowanego rozwoju ideowo-instytucjonalnego. W hipotezach szczegółowych wskazano na: a) brak możliwości wykreowania statycznego wzorca autonomii akademickiej (ujęcie dynamiczne), b) współzależność kierunku rozwoju autonomii z dążeniem uczelni akademickich ku zrównoważeniu, integratywności i responsywności, c) adekwatność przyjęcia konstytucyjnego poziomu normatywnego dla ukonstytuowania zasady autonomii publicznych uczelni akademickich.</w:t>
      </w:r>
    </w:p>
    <w:p w14:paraId="7EFBD44F"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hAnsi="Cambria"/>
          <w:bCs/>
          <w:sz w:val="24"/>
          <w:szCs w:val="24"/>
        </w:rPr>
        <w:t>Po trzecie sformułowano hipotezę o występowaniu co najmniej pięciu wymiarów aktywności publicznych uczelni akademickich (prawnoorganizacyjnym, kształcenia, działalności naukowej, kadrowym i finansowym), na tle których urzeczywistnia się ich autonomia instytucjonalna. W ramach hipotez szczegółowych wskazano na: a) dostrzegalne wyodrębnienie wymiarów, a w nich sfer działalności uczelni, w których dochodzi do konkretyzacji przejawów autonomii instytucjonalnej; b) występowanie interakcji pomiędzy jej poszczególnymi wymiarami, które konstytutywnie wpływają na jej holistyczne ujęcie; c) możliwość zaistnienia zjawiska paradoksu autonomii gdy suma podjętych działań ustawodawczych na płaszczyźnie poszczególnych wymiarów autonomii wywołuje zróżnicowane skutki (stabilizację, wzmocnienie, ograniczenie) w ramach autonomii instytucjonalnej.</w:t>
      </w:r>
    </w:p>
    <w:p w14:paraId="3AD5B37A"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hAnsi="Cambria"/>
          <w:bCs/>
          <w:sz w:val="24"/>
          <w:szCs w:val="24"/>
        </w:rPr>
        <w:t xml:space="preserve">Po czwarte postawiono hipotezy badawcze odnoszące się do poszczególnych wymiarów autonomii instytucjonalnej publicznych uczelni akademickich. Przyjęto, że ustalenie określonego wzorca ustrojowego dla publicznych uczelni akademickich w Polsce determinuje kształt ich autonomii instytucjonalnej w wymiarze prawnoorganizacyjnym. Na tle szczegółowych hipotez badawczych wskazano, że: a) kształt autonomii prawnoorganizacyjnej w </w:t>
      </w:r>
      <w:r w:rsidRPr="00E914A4">
        <w:rPr>
          <w:rFonts w:ascii="Cambria" w:hAnsi="Cambria"/>
          <w:bCs/>
          <w:sz w:val="24"/>
          <w:szCs w:val="24"/>
        </w:rPr>
        <w:lastRenderedPageBreak/>
        <w:t xml:space="preserve">znacznym stopniu kreuje status publicznych uczelni akademickich jako zakładów administracyjnych </w:t>
      </w:r>
      <w:r w:rsidRPr="00E914A4">
        <w:rPr>
          <w:rFonts w:ascii="Cambria" w:hAnsi="Cambria"/>
          <w:bCs/>
          <w:i/>
          <w:iCs/>
          <w:sz w:val="24"/>
          <w:szCs w:val="24"/>
        </w:rPr>
        <w:t>sui generis</w:t>
      </w:r>
      <w:r w:rsidRPr="00E914A4">
        <w:rPr>
          <w:rFonts w:ascii="Cambria" w:hAnsi="Cambria"/>
          <w:bCs/>
          <w:sz w:val="24"/>
          <w:szCs w:val="24"/>
        </w:rPr>
        <w:t xml:space="preserve"> o mieszanym charakterze zakładowo-korporacyjnym; b) uchybienia w zakresie postulatów kompetencyjnych (wyłączności, przejrzystości i pojemności kompetencyjnej) względem organów publicznych uczelni akademickich osłabiają rzeczywistą autonomię prawnoorganizacyjną. Odnośnie autonomii w wymiarze kształcenia i prowadzenia działalności naukowej podniesiono, że stanowi ona atrybut konstytuujący trzon tożsamości publicznych uczelni akademickich oraz wywierający zasadniczy wpływ na sposób realizacji ich misji. Autonomia w wymiarze kadrowym prowadzi natomiast do wykształcenia się swoistego wzorca akademickiego stosunku pracy. Odnośnie wymiaru autonomii finansowej dodano, że: a) autonomię instytucjonalną publicznych uczelni akademickich determinuje nie tylko sposób i zakres ukształtowania jej poszczególnych wymiarów, lecz także poziom i przyjęta struktura finansowania; b) subwencyjny system finansowania zwiększa autonomię w wymiarze finansowym i sprzyja zintensyfikowaniu procesów dywersyfikacji instytucjonalnej publicznych uczelni akademickich</w:t>
      </w:r>
      <w:bookmarkStart w:id="2" w:name="_Hlk88316288"/>
      <w:r w:rsidRPr="00E914A4">
        <w:rPr>
          <w:rFonts w:ascii="Cambria" w:hAnsi="Cambria"/>
          <w:bCs/>
          <w:sz w:val="24"/>
          <w:szCs w:val="24"/>
        </w:rPr>
        <w:t>; c) przyjęty sposób regulacji w zakresie konstruowania podstawowych instrumentów finansowania negatywnie wpływa na efektywność korzystania z autonomii w wymiarze finansowym.</w:t>
      </w:r>
      <w:bookmarkEnd w:id="2"/>
    </w:p>
    <w:p w14:paraId="1495803E"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hAnsi="Cambria"/>
          <w:bCs/>
          <w:sz w:val="24"/>
          <w:szCs w:val="24"/>
        </w:rPr>
        <w:t>Po piąte nakreślono hipotezę, że suma wzajemnych zależności i oddziaływań pomiędzy wydzielonymi, zasadniczymi wymiarami autonomii instytucjonalnej (prawnoorganizacyjnym, kształcenia, działalności naukowej, kadrowym, finansowym) kreuje ramy swoistego wymiaru autonomii w obszarze misji i strategii rozwoju publicznych uczelni akademickich.</w:t>
      </w:r>
    </w:p>
    <w:p w14:paraId="2EA04FC6"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hAnsi="Cambria"/>
          <w:sz w:val="24"/>
          <w:szCs w:val="24"/>
        </w:rPr>
        <w:t xml:space="preserve">Należy również podkreślić, że w monografii wyodrębniono pięć zasadniczych wymiarów autonomii (tj. prawnoorganizacyjny, kształcenie, prowadzenie działalności naukowej, kadrowy, finansowy), w ramach których dostrzeżono sfery jej występowania i oddziaływania w skonkretyzowanych przejawach. Choć katalog ten nie musi być uznany za zamknięty (wynika to wprost z dynamicznej natury autonomii), na tle ukształtowanego od 2018 r. porządku prawnego wspomniane powyżej główne płaszczyzny odgrywają dominującą rolę, co tym samym pozwala uznać je za filary autonomii w aplikowanej obecnie reformie szkolnictwa wyższego w Polsce. Konstatacja ta w bezpośredni sposób przełożyła się na strukturę monografii i kierunek narracji merytorycznej. </w:t>
      </w:r>
      <w:r w:rsidRPr="00E914A4">
        <w:rPr>
          <w:rFonts w:ascii="Cambria" w:eastAsia="Calibri" w:hAnsi="Cambria"/>
          <w:bCs/>
          <w:sz w:val="24"/>
          <w:szCs w:val="24"/>
        </w:rPr>
        <w:t xml:space="preserve">W celu przeprowadzenia weryfikacji postawionych hipotez badawczych przyjęto określoną strukturę pracy, tj. </w:t>
      </w:r>
      <w:r w:rsidRPr="00E914A4">
        <w:rPr>
          <w:rFonts w:ascii="Cambria" w:hAnsi="Cambria"/>
          <w:sz w:val="24"/>
          <w:szCs w:val="24"/>
        </w:rPr>
        <w:t xml:space="preserve">wstęp, sześć rozdziałów merytorycznych, zakończenie i bibliografia. </w:t>
      </w:r>
    </w:p>
    <w:p w14:paraId="4AF20BF3"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hAnsi="Cambria"/>
          <w:sz w:val="24"/>
          <w:szCs w:val="24"/>
        </w:rPr>
        <w:t>W rozdziale pierwszym (</w:t>
      </w:r>
      <w:r w:rsidRPr="00E914A4">
        <w:rPr>
          <w:rFonts w:ascii="Cambria" w:hAnsi="Cambria"/>
          <w:i/>
          <w:iCs/>
          <w:sz w:val="24"/>
          <w:szCs w:val="24"/>
        </w:rPr>
        <w:t>Konceptualizacja autonomii akademickiej</w:t>
      </w:r>
      <w:r w:rsidRPr="00E914A4">
        <w:rPr>
          <w:rFonts w:ascii="Cambria" w:hAnsi="Cambria"/>
          <w:sz w:val="24"/>
          <w:szCs w:val="24"/>
        </w:rPr>
        <w:t xml:space="preserve">) przedstawiono aspekty ideowo-instytucjonalne związane z kształtowaniem się zróżnicowanego spektrum form akademickich (od wzorców starożytnych, po nowoczesne modele progresywne). Nakreślenie kontekstu ideowego było niezbędne ze względu na ścisły (choć nie zawsze wprost proporcjonalny) związek </w:t>
      </w:r>
      <w:r w:rsidRPr="00E914A4">
        <w:rPr>
          <w:rFonts w:ascii="Cambria" w:hAnsi="Cambria"/>
          <w:sz w:val="24"/>
          <w:szCs w:val="24"/>
        </w:rPr>
        <w:lastRenderedPageBreak/>
        <w:t xml:space="preserve">pomiędzy kierunkiem kształtowania się zjawiska autonomii i rozwojem instytucjonalnym publicznych uczelni akademickich. Ponadto zwrócono uwagę na niejednorodność i złożoność semantyczną zwrotu „autonomia”, przedstawiając szerokie spektrum (tak przedmiotowe, jak i terytorialne) koncepcji i ujęć w pojmowaniu autonomii. Wskazano również na współwystępowanie innego atrybutu – wolności akademickiej, która jest silnie zespolona z autonomią instytucjonalną (choć nie powinna być z nią utożsamiana). </w:t>
      </w:r>
    </w:p>
    <w:p w14:paraId="02384169"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hAnsi="Cambria"/>
          <w:sz w:val="24"/>
          <w:szCs w:val="24"/>
        </w:rPr>
        <w:t>W rozdziale drugim (</w:t>
      </w:r>
      <w:r w:rsidRPr="00E914A4">
        <w:rPr>
          <w:rFonts w:ascii="Cambria" w:hAnsi="Cambria"/>
          <w:i/>
          <w:iCs/>
          <w:sz w:val="24"/>
          <w:szCs w:val="24"/>
        </w:rPr>
        <w:t>Kształtowanie się normatywnych ram autonomii publicznych uczelni akademickich w polskim porządku prawnym. Rys historyczny</w:t>
      </w:r>
      <w:r w:rsidRPr="00E914A4">
        <w:rPr>
          <w:rFonts w:ascii="Cambria" w:hAnsi="Cambria"/>
          <w:sz w:val="24"/>
          <w:szCs w:val="24"/>
        </w:rPr>
        <w:t xml:space="preserve">) ukazano genezę procesu kształtowania się zrębów instytucjonalnych polskich uczelni (w tym przede wszystkim publicznych uczelni akademickich), które nigdy nie były podmiotem o statycznej naturze. Od początków swojego istnienia przeobrażały się, adaptując się do zmiennych warunków społeczno-gospodarczych, politycznych, a nawet wyznaniowych. Można wręcz stwierdzić, że cecha transformatywności jest niejako genotypowo wpisana w istotę uczelni (także akademickich). Kierunek zachodzących przemian intensywnie oddziaływał na zakres i normatywną treść ich podstawowego przymiotu – autonomii. Normatywnym prototypem autonomii publicznych uczelni akademickich była samorządności szkół akademickich, dlatego zasadnicze, merytoryczne rozważania (na poziomie ustaw zasadniczych i ustawodawstwa zwykłego) rozpoczęto od ustawodawstwa dwudziestolecia międzywojennego. </w:t>
      </w:r>
    </w:p>
    <w:p w14:paraId="7BAAAE95"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hAnsi="Cambria"/>
          <w:sz w:val="24"/>
          <w:szCs w:val="24"/>
        </w:rPr>
        <w:t>W rozdziale trzecim (</w:t>
      </w:r>
      <w:r w:rsidRPr="00E914A4">
        <w:rPr>
          <w:rFonts w:ascii="Cambria" w:hAnsi="Cambria"/>
          <w:i/>
          <w:iCs/>
          <w:sz w:val="24"/>
          <w:szCs w:val="24"/>
        </w:rPr>
        <w:t>Autonomia prawnoorganizacyjna na tle wzorca ustrojowego publicznej uczelni akademickiej</w:t>
      </w:r>
      <w:r w:rsidRPr="00E914A4">
        <w:rPr>
          <w:rFonts w:ascii="Cambria" w:hAnsi="Cambria"/>
          <w:sz w:val="24"/>
          <w:szCs w:val="24"/>
        </w:rPr>
        <w:t xml:space="preserve">) przeprowadzono analizę przejawów autonomii publicznych uczelni akademickich na tle ich ustawowego wzorca ustrojowego. Dostrzeżono szczególny status jaki posiadają tego rodzaju podmioty (zakład administracyjny </w:t>
      </w:r>
      <w:r w:rsidRPr="00E914A4">
        <w:rPr>
          <w:rFonts w:ascii="Cambria" w:hAnsi="Cambria"/>
          <w:i/>
          <w:iCs/>
          <w:sz w:val="24"/>
          <w:szCs w:val="24"/>
        </w:rPr>
        <w:t xml:space="preserve">sui generis </w:t>
      </w:r>
      <w:r w:rsidRPr="00E914A4">
        <w:rPr>
          <w:rFonts w:ascii="Cambria" w:hAnsi="Cambria"/>
          <w:sz w:val="24"/>
          <w:szCs w:val="24"/>
        </w:rPr>
        <w:t xml:space="preserve">o charakterze zakładowo - korporacyjnym). W celu zarysowania możliwych przejawów autonomii w zróżnicowanych sferach działalności uczelni dokonano szczegółowej analizy w obrębie sfery strukturalizacji instytucjonalnej (w aspekcie tworzenia zarówno konstrukcji wewnątrzorganizacyjnych, jak i konstrukcji zewnętrznych, związanych w szczególności ze wzmacnianiem potencjału w drodze konsolidacji), formowania siatki organów i ich prawnych form działania oraz ukształtowania nadzoru i kontroli ministra właściwego do spraw szkolnictwa wyższego i nauki. </w:t>
      </w:r>
    </w:p>
    <w:p w14:paraId="453BEB0C"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hAnsi="Cambria"/>
          <w:sz w:val="24"/>
          <w:szCs w:val="24"/>
        </w:rPr>
        <w:t>Rozdział czwarty (</w:t>
      </w:r>
      <w:r w:rsidRPr="00E914A4">
        <w:rPr>
          <w:rFonts w:ascii="Cambria" w:hAnsi="Cambria"/>
          <w:i/>
          <w:iCs/>
          <w:sz w:val="24"/>
          <w:szCs w:val="24"/>
        </w:rPr>
        <w:t>Autonomia w wymiarze kształcenia i prowadzenia działalności naukowej</w:t>
      </w:r>
      <w:r w:rsidRPr="00E914A4">
        <w:rPr>
          <w:rFonts w:ascii="Cambria" w:hAnsi="Cambria"/>
          <w:sz w:val="24"/>
          <w:szCs w:val="24"/>
        </w:rPr>
        <w:t xml:space="preserve">) wskazuje zarówno na występowanie odrębności pojęciowej, jak i na relację współzależności pomiędzy autonomią a wolnością nauki. Przede wszystkim jednak skoncentrowano się wokół nakreślenia katalogu przejawów autonomii w obu nierozłącznie powiązanych ze sobą sferach: kształcenia i prowadzenia działalności naukowej, konstytuujących w zdecydowanym stopniu trzon misji publicznych uczelni akademickich. W pierwszej ze wspomnianych sfer autonomii dokonano podziału na płaszczyznę kształcenia studentów i doktorantów, ukazując sposób i zakres urzeczywistniania </w:t>
      </w:r>
      <w:r w:rsidRPr="00E914A4">
        <w:rPr>
          <w:rFonts w:ascii="Cambria" w:hAnsi="Cambria"/>
          <w:sz w:val="24"/>
          <w:szCs w:val="24"/>
        </w:rPr>
        <w:lastRenderedPageBreak/>
        <w:t xml:space="preserve">się autonomii w obszarze prowadzenia studiów i szkół doktorskich, a także ustalania programów kształcenia oraz ewaluacji jakości kształcenia. W drugiej ze sfer wskazano na trajektorię kształtowania się kierunków i sposobu prowadzenia działalności naukowej, w szczególności ze względu na politykę naukową państwa oraz inne ograniczenia wynikające z przepisów o charakterze </w:t>
      </w:r>
      <w:r w:rsidRPr="00E914A4">
        <w:rPr>
          <w:rFonts w:ascii="Cambria" w:hAnsi="Cambria"/>
          <w:i/>
          <w:iCs/>
          <w:sz w:val="24"/>
          <w:szCs w:val="24"/>
        </w:rPr>
        <w:t>lex specialis</w:t>
      </w:r>
      <w:r w:rsidRPr="00E914A4">
        <w:rPr>
          <w:rFonts w:ascii="Cambria" w:hAnsi="Cambria"/>
          <w:sz w:val="24"/>
          <w:szCs w:val="24"/>
        </w:rPr>
        <w:t>, związane z charakterem czynności składających się na obszar prowadzonych badań. Odniesiono się też do wpływu, jaki wywiera narzędzie w postaci prowadzenia ewaluacji jakości kształcenia na zakres autonomii publicznych uczelni akademickich. W szczególności uwagę zwrócono na restrykcyjność przyjętych regulacji oraz na zachodzące deformacje w analizowanym obszarze.</w:t>
      </w:r>
    </w:p>
    <w:p w14:paraId="3E9B0EB4"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hAnsi="Cambria"/>
          <w:sz w:val="24"/>
          <w:szCs w:val="24"/>
        </w:rPr>
        <w:t>W rozdziale piątym (</w:t>
      </w:r>
      <w:r w:rsidRPr="00E914A4">
        <w:rPr>
          <w:rFonts w:ascii="Cambria" w:hAnsi="Cambria"/>
          <w:i/>
          <w:iCs/>
          <w:sz w:val="24"/>
          <w:szCs w:val="24"/>
        </w:rPr>
        <w:t>Autonomia w wymiarze kadrowym</w:t>
      </w:r>
      <w:r w:rsidRPr="00E914A4">
        <w:rPr>
          <w:rFonts w:ascii="Cambria" w:hAnsi="Cambria"/>
          <w:sz w:val="24"/>
          <w:szCs w:val="24"/>
        </w:rPr>
        <w:t>) przeprowadzono analizę z punktu widzenia przejawów autonomii w sferze kształtowania wewnętrznej polityki kadrowej publicznych uczelni akademickich. Za podstawowe przejawy uznano rodzaj działań w zakresie tworzenia struktury stanowiskowej, określania ścieżek awansu naukowego oraz konstruowania schematu wynagrodzeń. Wskazano, że korzystanie z prawnie gwarantowanej autonomii kadrowej prowadzi do wyodrębnienia się swoistego wzorca akademickiego stosunku pracy, który ze względu na aspekty podmiotowe (dualizm kategorii pracowników) oraz rodzaj świadczonej pracy konstytuuje szczególny typ relacji prawnej pomiędzy pracownikiem a publiczną uczelnią akademicką.</w:t>
      </w:r>
    </w:p>
    <w:p w14:paraId="625B330E"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hAnsi="Cambria"/>
          <w:sz w:val="24"/>
          <w:szCs w:val="24"/>
        </w:rPr>
        <w:t>Rozdział szósty (</w:t>
      </w:r>
      <w:r w:rsidRPr="00E914A4">
        <w:rPr>
          <w:rFonts w:ascii="Cambria" w:hAnsi="Cambria"/>
          <w:i/>
          <w:iCs/>
          <w:sz w:val="24"/>
          <w:szCs w:val="24"/>
        </w:rPr>
        <w:t>Autonomia w wymiarze finansowym</w:t>
      </w:r>
      <w:r w:rsidRPr="00E914A4">
        <w:rPr>
          <w:rFonts w:ascii="Cambria" w:hAnsi="Cambria"/>
          <w:sz w:val="24"/>
          <w:szCs w:val="24"/>
        </w:rPr>
        <w:t>) charakteryzuje dualizm. Wyodrębniono bowiem dwie zasadnicze sfery, w których można dostrzec przejawy autonomii publicznych uczelni akademickich. Po pierwsze, wydzielono sferę kształtowania struktury finansowania, w ramach której zwrócono uwagę przede wszystkim na subwencję jako podstawowy instrument finansowy oraz na uwarunkowania i zakres dotacyjnego systemu finansowania. Obok wspomnianej grupy zagadnień poddano analizie warunki pozyskiwania przez publiczne uczelnie akademickie innych, dodatkowych źródeł finansowania, z uwzględnieniem aktualnych warunków prawnych. Ostatni z obszarów uznaje się za jeden z podstawowych aspektów świadczących o rozwoju europejskich, progresywnych wzorców uniwersyteckich. Po drugie, zwrócono uwagę na ukształtowanie reguł gospodarowania mieniem, zarówno w wymiarze przyjętych ograniczeń prawnych, jak i w wymiarze preferencji. Dzięki temu wykazano, że samo założenie możliwego do osiągnięcia skutku prawnego, przy braku konsekwencji legislacyjnej i spójności przyjętych regulacji (także w wymiarze zewnątrzsystemowym), nie jest wystarczające do uzyskania zamierzonych odchyleń w kierunku wzmocnienia autonomii publicznych uczelni akademickich. Rozdział szósty to swoista klamra zamykająca wywód merytoryczny dotyczący podstawowych wymiarów autonomii publicznych uczelni akademickich. Został on umieszczony jako ostatni, ponieważ pole jego oddziaływania niejako przenika pozostałe wyodrębnione wymiary autonomii, urealniając (ale i dopełniając) ich praktyczną recepcję.</w:t>
      </w:r>
    </w:p>
    <w:p w14:paraId="5D2DC337"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hAnsi="Cambria"/>
          <w:bCs/>
          <w:sz w:val="24"/>
          <w:szCs w:val="24"/>
        </w:rPr>
        <w:lastRenderedPageBreak/>
        <w:t>W badaniach wykorzystano kilka metod badawczych. Głównie posłużono się metodą formalno-dogmatyczną. Analizując regulacje prawa powszechnie obowiązującego oraz regulacje wewnętrznie obowiązujące w ramach obszaru objętego problemem badawczym, podjęto próbę usunięcia niejasności w zakresie ich wykładni oraz udzielenia odpowiedzi na postawione pytania badawcze. Zastosowano również metodę analizy, którą objęto orzecznictwo sądów powszechnych i administracyjnych (zarówno wojewódzkich sądów administracyjnych (WSA), jak i Naczelnego Sądu Administracyjnego (NSA) oraz Sądu Najwyższego (SN), orzecznictwo Trybunału Konstytucyjnego (TK), orzecznictwo sądów i trybunałów europejskich, a także rozstrzygnięcia organów administracji publicznej. Dzięki tej metodzie uwypuklono zmiany w linii orzeczniczej oraz aktualnie dominującą linię orzeczniczą, zwracając uwagę na możliwe nieścisłości i nieprawidłowości w przeprowadzonej argumentacji organów stosujących prawo, co może powodować naruszenia na płaszczyźnie prawa materialnego i prawa procesowego, oddziałując na sfery autonomii w różnych jej wymiarach. Częściowo, w ograniczonym stopniu, zastosowano także metodę historyczną, przede wszystkim do wskazania zmian w obowiązujących przepisach prawa powszechnie i wewnętrznie obowiązującego, które wpływają na rozwiązanie problemów badawczych.</w:t>
      </w:r>
    </w:p>
    <w:p w14:paraId="4EADF7F7"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hAnsi="Cambria"/>
          <w:bCs/>
          <w:sz w:val="24"/>
          <w:szCs w:val="24"/>
        </w:rPr>
        <w:t>W monografii uwzględniono aktualny stan prawny (stan prawny na dzień 31 grudnia 2021 r.), odwołując się do rozwiązań historycznych jedynie w zakresie niezbędnym do wykazania ewolucji przyjmowanych rozwiązań prawnych. Dotyczy to również konieczności odwołania się do wykładni historycznej w związku z zaistnieniem wątpliwości interpretacyjnych wówczas, gdy wykładnia gramatyczna nie dawała oczekiwanych rezultatów. Zasadnicza część analizy obejmuje liczne odniesienia do regulacji zawartych w p.s.w. Pomocniczo posłużono się metodą prawnoporównawczą w celu przedstawienia analizowanych zagadnień na tle rozwiązań przyjętych na poziomie międzynarodowym.</w:t>
      </w:r>
    </w:p>
    <w:p w14:paraId="3752937D"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hAnsi="Cambria"/>
          <w:sz w:val="24"/>
          <w:szCs w:val="24"/>
        </w:rPr>
        <w:t>Przeprowadzona w niniejszej monografii analiza odnosząca się do zagadnienia badawczego oscylującego wokół sposobu realizacji i zakresu autonomii publicznych uczelni akademickich w Polsce skutkowała pozytywną weryfikacją w zakresie wszystkich hipotez badawczych. Stwierdzono, że mając na uwadze wyznaczone cele badawcze oraz przyjętą strukturę pracy, rozstrzygnięcie głównego problemu badawczego powinno nastąpić zgodnie z określonymi kryteriami kształtującymi sposób ujęcia zagadnienia autonomii publicznych uczelni akademickich. Poza aspektami o zabarwieniu ideowo-historycznym wskazano na współwystępowanie w tym zakresie pięciu zasadniczych wymiarów autonomii (prawnoorganizacyjnego, kształcenia, działalności naukowej, kadrowego i finansowego), uwzględniając alteracje w kierunku możliwości wyodrębnienia także innych, dodatkowych wymiarów autonomii (np. w obszarze misji i strategii rozwoju).</w:t>
      </w:r>
    </w:p>
    <w:p w14:paraId="3CA99C56"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hAnsi="Cambria"/>
          <w:sz w:val="24"/>
          <w:szCs w:val="24"/>
        </w:rPr>
        <w:lastRenderedPageBreak/>
        <w:t xml:space="preserve">Uzyskane wyniki przeprowadzonych badań pozwoliły postawić kilka głównych i pomocniczych tez badawczych. </w:t>
      </w:r>
    </w:p>
    <w:p w14:paraId="5CB5C867"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hAnsi="Cambria"/>
          <w:sz w:val="24"/>
          <w:szCs w:val="24"/>
        </w:rPr>
        <w:t>Po pierwsze wyraźnie podkreślono, że autonomia jako pojęcie semantycznie wieloznaczne, relatywne i kontekstowe stwarza realne (praktyczne) ryzyko recypowania do porządku normatywnego zniekształconego paradygmatu znaczeniowego autonomii (m. in. brak zróżnicowania zakresów terminologicznych pomiędzy zwrotami: „autonomia instytucjonalna”, „wolność akademicka” oraz „wolność nauki”, czy zdeprecjonowanie współwystępowania i oddziaływania przeciwbodźca w postaci zasady rozliczalności, która niejako nadaje formę autonomii instytucjonalnej). Tylko przy ukształtowaniu się pełnego (niewypaczonego) obrazu autonomii może ona stanowić rzeczywistą (służebną) wartość dla progresywnych uczelni akademickich, umacniając względem nich społeczne zaufanie. Deformacja pojęciowa autonomii przekłada się na błędne (zdefragmentaryzowane) założenie o automatyzmie w powstawaniu odwrotnie proporcjonalnej zależności pomiędzy wzmocnieniem autonomii instytucjonalnej a niższą efektywnością instytucjonalną.</w:t>
      </w:r>
      <w:bookmarkStart w:id="3" w:name="_Hlk88566130"/>
    </w:p>
    <w:p w14:paraId="6EBBBC31"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hAnsi="Cambria"/>
          <w:sz w:val="24"/>
          <w:szCs w:val="24"/>
        </w:rPr>
        <w:t>Po drugie w wyniku przeprowadzonych badań wykazano, że autonomia stanowi atrybut publicznych uczelni akademickich, który od początku procesu swego rozwoju ściśle (i stale) związany jest z kierunkiem ich ewolucji ideowo-instytucjonalnej. Synchronicznie zachodzące przeobrażenia w sferze autonomii instytucjonalnej osadzone są w szerokim kontekście transformacji akademickich, determinowanych w szczególności przez otoczenie historyczne, polityczne, kulturowe, społeczno-gospodarcze i prawne. Nie ma ona natury autarkicznej (izolowanej). Nie stanowi również konstruktu ideowego o charakterze absolutnym. Nie jest więc prawidłowe przyjęcie w prowadzonych badaniach kontinuum dwubrzegowego: od stwierdzania całkowitego braku autonomii i pełnej kontroli sprawowanej przez podmioty zewnętrzne do uznawania całkowitego braku kontroli i przyjęcia pełnej dowolności (samowoli, anarchiczności) jako zjawiska docelowego. Trend w zakresie trajektorii kształtowania się autonomii jako atrybutu progresywnych uczelni akademickich odzwierciedla raczej ich nurt rozwojowy ku zrównoważeniu, integratywności i responsywności. Odnosząc się natomiast do wybranego przez polskiego ustawodawcę sposobu materializowania się autonomii w jej normatywnych przejawach, wykazano prawidłowość ukonstytuowania ram zasady autonomii publicznych uczelni akademickich w Polsce na poziomie ustawy zasadniczej, z zachowaniem możliwości rekonstrukcji jej normatywnego kształtu w sferze ustawodawstwa zwykłego.</w:t>
      </w:r>
      <w:bookmarkEnd w:id="3"/>
    </w:p>
    <w:p w14:paraId="55C10F34"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hAnsi="Cambria"/>
          <w:sz w:val="24"/>
          <w:szCs w:val="24"/>
        </w:rPr>
        <w:t xml:space="preserve">Po trzecie badania pokazały, że autonomia instytucjonalna publicznych uczelni akademickich w Polsce domaga się przyjęcia holistycznego podejścia. Urzeczywistnia się na tle co najmniej pięciu ściśle powiązanych ze sobą wymiarów aktywności uczelni, tj. prawnoorganizacyjnego, kształcenia, działalności naukowej, kadrowego i finansowego. Wobec dostrzegalnej tendencji do </w:t>
      </w:r>
      <w:r w:rsidRPr="00E914A4">
        <w:rPr>
          <w:rFonts w:ascii="Cambria" w:hAnsi="Cambria"/>
          <w:sz w:val="24"/>
          <w:szCs w:val="24"/>
        </w:rPr>
        <w:lastRenderedPageBreak/>
        <w:t>dywersyfikacji ideowo-instytucjonalnej w ramach procesu ich progresji i silnego zarysowania indywidualizacji w kształtowaniu się „trzech misji” coraz intensywniej wyodrębnia się także nowy wymiar autonomii obejmujący misję i strategię rozwoju. W każdym z wymiarów autonomii instytucjonalnej wyróżnia się sfery, w ramach których dochodzi do konkretyzacji jej przejawów. Te z kolei stanowią praktyczny wyraz jej stabilizacji, wzmocnienia lub ograniczenia. Wobec zaistnienia procesu instytucjonalizacji autonomii dochodzi do ukształtowania się swoistej konstrukcji współtworzonej przez jej wyodrębnione wymiary, które są ze sobą połączone na zasadzie wzajemnych sprzężeń. Oznacza to, że system licznych bodźców pochodzących zarówno z otoczenia publicznych uczelni akademickich, jak i z wnętrza samej organizacji może wywoływać różny poziom oddziaływania w poszczególnych wymiarach autonomii instytucjonalnej, a te z kolei – pozostając w stałym procesie interakcji – na zasadzie synergii oddziałują całościowo na autonomię instytucjonalną. Z tego powodu podejmowane reformy powinny nie tylko koncentrować się na wzmocnieniu czy stabilizacji (lub nawet ograniczeniu) partykularnych wymiarów autonomii, lecz także przyjmować perspektywę całościową, badając kształt autonomii instytucjonalnej. Istotne znaczenie ma więc każdorazowo przeprowadzana analiza ryzyka, uwzględniająca potencjalne (urealnione na dzień jej sporządzania) alteracje w poszczególnych płaszczyznach autonomii i ich możliwy (ogólny) wpływ na autonomię instytucjonalną publicznych uczelni akademickich (m. in. uwzględnienie możliwości zaistnienia zjawiska „paradoksu autonomii”).</w:t>
      </w:r>
    </w:p>
    <w:p w14:paraId="489D241A"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hAnsi="Cambria"/>
          <w:sz w:val="24"/>
          <w:szCs w:val="24"/>
        </w:rPr>
        <w:t xml:space="preserve">Po czwarte, przyjęcie określonego wzorca ustrojowego dla publicznych uczelni akademickich współkształtuje autonomię instytucjonalną w wymiarze prawnoorganizacyjnym, który z kolei wpływa na status publicznej uczelni akademickiej jako zakładu administracyjnego </w:t>
      </w:r>
      <w:r w:rsidRPr="00E914A4">
        <w:rPr>
          <w:rFonts w:ascii="Cambria" w:hAnsi="Cambria"/>
          <w:i/>
          <w:iCs/>
          <w:sz w:val="24"/>
          <w:szCs w:val="24"/>
        </w:rPr>
        <w:t>sui generis</w:t>
      </w:r>
      <w:r w:rsidRPr="00E914A4">
        <w:rPr>
          <w:rFonts w:ascii="Cambria" w:hAnsi="Cambria"/>
          <w:sz w:val="24"/>
          <w:szCs w:val="24"/>
        </w:rPr>
        <w:t xml:space="preserve"> o mieszanym charakterze zakładowo-korporacyjnym. W tym zakresie należy wskazać na dwa zasadnicze aspekty: szczególną pozycję, jaką zajmują destynariusze publicznych uczelni akademickich, oraz wewnątrzustrojową pozycję wspólnoty akademickiej. Sposób urealnienia autonomii prawnoorganizacyjnej (w ujęciu autonomii rzeczywistej, a nie jedynie formalnej) ściśle wiąże się nie tylko z przyjęciem określonej konstrukcji ideowo-instytucjonalnej, lecz także z aspektem zachowania poprawności legislacyjnej, w szczególności ze spójnością i jasnością konstruowanych przepisów. Dotyczy to zwłaszcza metod formułowania kompetencyjnych przepisów zrębowych i zachowania postulatów kompetencyjnych (wyłączności, przejrzystości i pojemności kompetencyjnej). Wykazano, że brak spójności pomiędzy określonymi zadaniami a przyporządkowanymi poszczególnym organom publicznych uczelni akademickich kompetencjami osłabia efektywność podejmowanych działań w wymiarze autonomii instytucjonalnej oraz generuje ryzyko powstania odpowiedzialności w związku z podjęciem aktywności w ramach nieprecyzyjnych zakresów kompetencyjnych. Tego rodzaju uchybienia legislacyjne mają więc charakter nie tylko redakcyjny, i nie powinno się deprecjonować ich znaczenia. Przeciwnie, odgrywają one istotną rolę praktyczną, </w:t>
      </w:r>
      <w:r w:rsidRPr="00E914A4">
        <w:rPr>
          <w:rFonts w:ascii="Cambria" w:hAnsi="Cambria"/>
          <w:sz w:val="24"/>
          <w:szCs w:val="24"/>
        </w:rPr>
        <w:lastRenderedPageBreak/>
        <w:t xml:space="preserve">oddziałując zarówno na warstwę ustrojową publicznych uczelni akademickich, jak i na zakres autonomii prawnoorganizacyjnej (a docelowo również całościowo na zakres autonomii instytucjonalnej). </w:t>
      </w:r>
    </w:p>
    <w:p w14:paraId="58CC812F"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hAnsi="Cambria"/>
          <w:sz w:val="24"/>
          <w:szCs w:val="24"/>
        </w:rPr>
        <w:t>Wymiar prawnoorganizacyjny o</w:t>
      </w:r>
      <w:r w:rsidRPr="00E914A4">
        <w:rPr>
          <w:rFonts w:ascii="Cambria" w:hAnsi="Cambria"/>
          <w:bCs/>
          <w:sz w:val="24"/>
          <w:szCs w:val="24"/>
        </w:rPr>
        <w:t>bejmuje niezwykle szeroki zakres działalności publicznych uczelni akademickich, zwłaszcza że zapewniono im możliwość prowadzenia wyodrębnionej organizacyjnie i finansowo działalności gospodarczej (prowadzą działalność tak w sferze publicznoprawnej, jak i prywatnoprawnej). Szereg swoistych rozwiązań pojawia się w sferze ich strukturalizacji instytucjonalnej. Dotyczy to zarówno tworzenia (instytucji jako całości oraz systemu wewnętrznych jednostek organizacyjnych), wielowymiarowej konsolidacji, jak i likwidacji. Autonomia prawnoorganizacyjna w sposób wyraźny znajduje odzwierciedlenie również w sferze tworzenia i działania systemu organów publicznych uczelni oraz w sposobie ukształtowania relacji nadzoru i kontroli względem organów administracji publicznej.</w:t>
      </w:r>
      <w:r w:rsidRPr="00E914A4">
        <w:rPr>
          <w:rFonts w:ascii="Cambria" w:hAnsi="Cambria"/>
          <w:sz w:val="24"/>
          <w:szCs w:val="24"/>
        </w:rPr>
        <w:t xml:space="preserve"> </w:t>
      </w:r>
      <w:r w:rsidRPr="00E914A4">
        <w:rPr>
          <w:rFonts w:ascii="Cambria" w:eastAsia="Calibri" w:hAnsi="Cambria"/>
          <w:bCs/>
          <w:sz w:val="24"/>
          <w:szCs w:val="24"/>
        </w:rPr>
        <w:t xml:space="preserve">Złożona struktura i wielość realizowanych zadań przez publiczne uczelnie akademickie uniemożliwia proste zaliczenie ich do grupy zakładów administracyjnych </w:t>
      </w:r>
      <w:r w:rsidRPr="00E914A4">
        <w:rPr>
          <w:rFonts w:ascii="Cambria" w:eastAsia="Calibri" w:hAnsi="Cambria"/>
          <w:bCs/>
          <w:i/>
          <w:iCs/>
          <w:sz w:val="24"/>
          <w:szCs w:val="24"/>
        </w:rPr>
        <w:t>sensu stricto</w:t>
      </w:r>
      <w:r w:rsidRPr="00E914A4">
        <w:rPr>
          <w:rFonts w:ascii="Cambria" w:eastAsia="Calibri" w:hAnsi="Cambria"/>
          <w:bCs/>
          <w:sz w:val="24"/>
          <w:szCs w:val="24"/>
        </w:rPr>
        <w:t xml:space="preserve">. Aktualnie zmienne otoczenie społeczno-gospodarcze determinuje tworzenie się nowej kategorii – zakładów administracyjnych </w:t>
      </w:r>
      <w:r w:rsidRPr="00E914A4">
        <w:rPr>
          <w:rFonts w:ascii="Cambria" w:eastAsia="Calibri" w:hAnsi="Cambria"/>
          <w:bCs/>
          <w:i/>
          <w:iCs/>
          <w:sz w:val="24"/>
          <w:szCs w:val="24"/>
        </w:rPr>
        <w:t>sui generis</w:t>
      </w:r>
      <w:r w:rsidRPr="00E914A4">
        <w:rPr>
          <w:rFonts w:ascii="Cambria" w:eastAsia="Calibri" w:hAnsi="Cambria"/>
          <w:bCs/>
          <w:sz w:val="24"/>
          <w:szCs w:val="24"/>
        </w:rPr>
        <w:t>, które charakteryzuje mieszany charakter (zakładowo-korporacyjny). Rozbudowany katalog aktywności publicznych uczelni akademickich kształtuje się równolegle z przyznaniem ich organom szerokiego obszaru kompetencji realizowanych za pomocą wielorakich prawnych form działania, generujących różnorodne skutki w sferze instytucjonalnej (publicznoprawnej i prywatnoprawnej).</w:t>
      </w:r>
    </w:p>
    <w:p w14:paraId="1837B97B"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eastAsia="Calibri" w:hAnsi="Cambria"/>
          <w:bCs/>
          <w:sz w:val="24"/>
          <w:szCs w:val="24"/>
        </w:rPr>
        <w:t xml:space="preserve">Odnosząc się do aspektów prawnoorganizacyjnych, </w:t>
      </w:r>
      <w:bookmarkStart w:id="4" w:name="_Hlk88683750"/>
      <w:r w:rsidRPr="00E914A4">
        <w:rPr>
          <w:rFonts w:ascii="Cambria" w:eastAsia="Calibri" w:hAnsi="Cambria"/>
          <w:bCs/>
          <w:sz w:val="24"/>
          <w:szCs w:val="24"/>
        </w:rPr>
        <w:t>wydaje się, że – pomimo podjęcia w p.s.w.n. próby kompleksowego i syntetycznego uregulowania problematyki systemu szkolnictwa wyższego i nauki w jednym akcie prawnym – wciąż nie udało się stworzyć w pełni przejrzystego strukturalnie aktu prawnego, jasno określającego ramy instytucjonalne dla publicznych uczelni akademickich. Analiza przepisów uwidacznia liczne uchybienia w obszarze zachowania reguł prawidłowej legislacji. W przypadku wymiaru prawnoorganizacyjnego w sposób szczególnie jaskrawy są one dostrzegalne w sposobie ukształtowania ustawowych zrębów konstrukcyjnych organów publicznych uczelni akademickich (zwłaszcza co do ich zakresów kompetencyjnych), co docelowo może utrudniać  przejście od autonomii formalnej do rzeczywistej.</w:t>
      </w:r>
      <w:bookmarkEnd w:id="4"/>
    </w:p>
    <w:p w14:paraId="3C15F566"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hAnsi="Cambria"/>
          <w:sz w:val="24"/>
          <w:szCs w:val="24"/>
        </w:rPr>
        <w:t xml:space="preserve">Po piąte, autonomia w wymiarze kształcenia i prowadzenia działalności naukowej – w progresywnym modelu publicznych uczelni akademickich – nadal stanowi atrybut, który powinien urzeczywistniać się w ramach łącznie występujących sfer: kształcenia i prowadzenia badań. Są to obszary konstytuujące fundament tożsamości publicznych uczelni akademickich (niezależnie od tego, że ich progresywność (postępowość) niejako „wymusza” również efektywną realizację „trzeciej misji”). W przyjętej konstrukcji normatywnej dostrzega się regulacje zarówno wzmacniające, jak i osłabiające pozytywne oddziaływania na </w:t>
      </w:r>
      <w:r w:rsidRPr="00E914A4">
        <w:rPr>
          <w:rFonts w:ascii="Cambria" w:hAnsi="Cambria"/>
          <w:sz w:val="24"/>
          <w:szCs w:val="24"/>
        </w:rPr>
        <w:lastRenderedPageBreak/>
        <w:t xml:space="preserve">wymiar autonomii w obszarze kształcenia oraz działalności naukowej, a w konsekwencji – uwzględniając możliwość interakcji w płaszczyźnie wertykalnej – także na autonomię instytucjonalną. </w:t>
      </w:r>
    </w:p>
    <w:p w14:paraId="11D26D45"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hAnsi="Cambria"/>
          <w:bCs/>
          <w:sz w:val="24"/>
          <w:szCs w:val="24"/>
        </w:rPr>
        <w:t>W przypadku wymiaru kształceniowego do symptomów świadczących o jego wzmocnieniu zaliczono</w:t>
      </w:r>
      <w:r w:rsidRPr="00E914A4">
        <w:rPr>
          <w:rFonts w:ascii="Cambria" w:eastAsia="Calibri" w:hAnsi="Cambria"/>
          <w:bCs/>
          <w:sz w:val="24"/>
          <w:szCs w:val="24"/>
        </w:rPr>
        <w:t xml:space="preserve"> </w:t>
      </w:r>
      <w:r w:rsidRPr="00E914A4">
        <w:rPr>
          <w:rFonts w:ascii="Cambria" w:eastAsia="Calibri" w:hAnsi="Cambria"/>
          <w:sz w:val="24"/>
          <w:szCs w:val="24"/>
        </w:rPr>
        <w:t>niewątpliwie m. in. poszerzenie autonomii regulaminowej, zlikwidowanie minimów kadrowych na rzecz wprowadzenia ogólnej regulacji mówiącej o tym, że zajęcia są prowadzone przez nauczycieli akademickich zatrudnionych w danej uczelni, posiadających kompetencje i doświadczenie pozwalające na prawidłową realizację zajęć oraz przez inne osoby, które posiadają takie kompetencje i doświadczenie.</w:t>
      </w:r>
      <w:r w:rsidRPr="00E914A4">
        <w:rPr>
          <w:rFonts w:ascii="Cambria" w:eastAsia="Calibri" w:hAnsi="Cambria"/>
          <w:bCs/>
          <w:sz w:val="24"/>
          <w:szCs w:val="24"/>
        </w:rPr>
        <w:t xml:space="preserve"> </w:t>
      </w:r>
      <w:r w:rsidRPr="00E914A4">
        <w:rPr>
          <w:rFonts w:ascii="Cambria" w:eastAsia="Calibri" w:hAnsi="Cambria"/>
          <w:sz w:val="24"/>
          <w:szCs w:val="24"/>
        </w:rPr>
        <w:t>Wśród ograniczeń autonomii pierwotnej na płaszczyźnie tworzenia przez publiczne uczelnie akademickie studiów na kierunku, poziomie i profilu dostrzeżono m.in. konieczność uzyskania pozwolenia ministra właściwego do spraw szkolnictwa wyższego i nauki czy też zawężenie co do możliwości ubiegania się o pozwolenie na utworzenie studiów na kierunku, poziomie i profilu o tej samej nazwie lub gdy programy określają takie same efekty uczenia się, przyporządkowane do tej samej dyscypliny (nie dotyczy studiów w filii).</w:t>
      </w:r>
      <w:r w:rsidRPr="00E914A4">
        <w:rPr>
          <w:rFonts w:ascii="Cambria" w:eastAsia="Calibri" w:hAnsi="Cambria"/>
          <w:bCs/>
          <w:sz w:val="24"/>
          <w:szCs w:val="24"/>
        </w:rPr>
        <w:t xml:space="preserve"> </w:t>
      </w:r>
    </w:p>
    <w:p w14:paraId="1A1C61F1"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eastAsia="Calibri" w:hAnsi="Cambria"/>
          <w:sz w:val="24"/>
          <w:szCs w:val="24"/>
        </w:rPr>
        <w:t>Dualizm w zakresie skutków oddziaływania na autonomię w sferze kształcenia (tj. występowanie rozwiązań wzmacniających i ograniczających) uwidocznił się również w sferze kształcenia doktorantów w szkołach doktorskich (np. ograniczenie do trzech szkół doktorskich w jednej dyscyplinie). Z kolei wzmocnienie autonomii stanowi potwierdzenie możliwości kumulowania potencjału kształcenia poprzez wspólne prowadzenie szkoły doktorskiej przez uczelnie akademickie, instytuty PAN, instytuty badawcze lub instytuty międzynarodowe, z których każde posiada kategorię naukową A+, A albo B+ w co najmniej jednej dyscyplinie. Podobnie jak w przypadku kształcenia studentów, możliwe jest kształcenie doktorantów we współpracy z innym podmiotem, w szczególności z przedsiębiorcą lub zagraniczną uczelnią lub instytucją naukową. Przepis ten uwypukla dążenie przez ustawodawcę do internacjonalizacji szkół doktorskich oraz budowania gospodarki opartej na wiedzy. W tym kontekście należy ocenić pozytywnie wprowadzoną regulację i jej potencjalny wpływ na wzmocnienie autonomii publicznych uczelni akademickich.</w:t>
      </w:r>
      <w:r w:rsidRPr="00E914A4">
        <w:rPr>
          <w:rFonts w:ascii="Cambria" w:hAnsi="Cambria"/>
          <w:sz w:val="24"/>
          <w:szCs w:val="24"/>
        </w:rPr>
        <w:t xml:space="preserve"> </w:t>
      </w:r>
    </w:p>
    <w:p w14:paraId="3CBDDBEF"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eastAsia="Calibri" w:hAnsi="Cambria"/>
          <w:sz w:val="24"/>
          <w:szCs w:val="24"/>
        </w:rPr>
        <w:t xml:space="preserve">Pośród innych przejawów autonomii w wymiarze kształcenia dostrzeżono przyznanie publicznym uczelniom akademickim swobody w decydowaniu o prowadzeniu studiów na określonym kierunku, poziomie i profilu na podstawie programu studiów. W świetle p.s.w.n. programy studiów (w tym dla studiów podyplomowych i kształcenia specjalistycznego) są ustalane w drodze uchwały senatu. Zakresem kompetencyjnym senatu (błędnie określonym jako obszar zadań) objęto także dokonywanie zmian w programie studiów, w tym ustalanie wymiaru praktyk zawodowych na obniżonym poziomie w przypadku ograniczenia lub zawieszenia funkcjonowania uczelni, mając jednak na względzie konieczność zapewnienia wysokiej jakości kształcenia i umożliwienie osiągnięcia efektów </w:t>
      </w:r>
      <w:r w:rsidRPr="00E914A4">
        <w:rPr>
          <w:rFonts w:ascii="Cambria" w:eastAsia="Calibri" w:hAnsi="Cambria"/>
          <w:sz w:val="24"/>
          <w:szCs w:val="24"/>
        </w:rPr>
        <w:lastRenderedPageBreak/>
        <w:t>uczenia się określonych w programie studiów. Ponownie jednak dość szeroko zakreślona swoboda nie oznacza pełnej dowolności. Przepisy p.s.w.n. w sposób ramowy (choć niestety niejasny) określają np. wymogi, które powinien zawierać prawidłowo ukształtowany program studiów.</w:t>
      </w:r>
      <w:r w:rsidRPr="00E914A4">
        <w:rPr>
          <w:rFonts w:ascii="Cambria" w:hAnsi="Cambria"/>
          <w:sz w:val="24"/>
          <w:szCs w:val="24"/>
        </w:rPr>
        <w:t xml:space="preserve"> </w:t>
      </w:r>
    </w:p>
    <w:p w14:paraId="788FDB1F"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eastAsia="Calibri" w:hAnsi="Cambria"/>
          <w:sz w:val="24"/>
          <w:szCs w:val="24"/>
        </w:rPr>
        <w:t>W procesie formowania obszaru autonomii kształceniowej nie mogło zabraknąć gwarancji dla samodzielności uczelni w sferze podejmowania decyzji co do sposobu i trybu naboru swoich przyszłych destynariuszy, tj. studentów i doktorantów. Odbywa się to przecież w obrębie najbardziej rozpowszechnionej formuły – rekrutacji. Należy wskazać, że ustalanie warunków, trybu oraz terminu jej rozpoczęcia i zakończenia – jako wyraz przyznanej autonomii pierwotnej – należy do kompetencji senatu. Ograniczenie pojawia się jednak na płaszczyźnie autonomii wtórnej, ponieważ ustawa określa warunki, w jakich powinna być przeprowadzona rekrutacja uzupełniająca oraz precyzuje warunki, których spełnienie jest niezbędne do przyjęcia na studia pierwszego stopnia lub jednolite studia magisterskie, a także termin, w którym rekrutacyjna uchwała senacka powinna być udostępniona do wiadomości (choć uchybienie terminu nie stanowi warunku jej ważności). Przejawy autonomii w wymiarze kształcenia, które odnoszą się do aspektów prowadzenia naboru, dostrzegalne są też w sferze rekrutacji doktorantów do szkoły doktorskiej. Odbywa się to z poszanowaniem przyjętych standardów, w drodze konkursu, na zasadach określonych przez senat albo radę naukową.</w:t>
      </w:r>
      <w:r w:rsidRPr="00E914A4">
        <w:rPr>
          <w:rFonts w:ascii="Cambria" w:hAnsi="Cambria"/>
          <w:sz w:val="24"/>
          <w:szCs w:val="24"/>
        </w:rPr>
        <w:t xml:space="preserve"> </w:t>
      </w:r>
      <w:r w:rsidRPr="00E914A4">
        <w:rPr>
          <w:rFonts w:ascii="Cambria" w:eastAsia="Calibri" w:hAnsi="Cambria"/>
          <w:sz w:val="24"/>
          <w:szCs w:val="24"/>
        </w:rPr>
        <w:t xml:space="preserve">Obszarem, który silnie oddziałuje na sferę autonomii w wymiarze kształcenia, jest również ewaluacja jakości kształcenia. Sposób, w jaki jest ona przeprowadzana (ocena programowa i kompleksowa), stanowi istotny punkt odniesienia dla realizacji zasady autonomii publicznych uczelni akademickich. </w:t>
      </w:r>
    </w:p>
    <w:p w14:paraId="163B3CBC"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hAnsi="Cambria"/>
          <w:bCs/>
          <w:sz w:val="24"/>
          <w:szCs w:val="24"/>
        </w:rPr>
        <w:t>Obok kształcenia istotnym obszarem działalności autonomicznych publicznych uczelni akademickich jest prowadzenie działalności naukowej. Obszar ten ma szczególne znaczenie ze względu na fakt, że wraz z kształceniem konstytuuje zręby misji uczelni. Także w tej sferze dostrzegalne jest występowanie narzędzi, które w sposób wyraźny oddziałują na sposób, w jaki publiczne uczelnie akademickie mogą korzystać z przyznanej im swobody w sferze prowadzenia działalności naukowej (m.in. procesy ewaluacji).</w:t>
      </w:r>
      <w:r w:rsidRPr="00E914A4">
        <w:rPr>
          <w:rFonts w:ascii="Cambria" w:eastAsia="Calibri" w:hAnsi="Cambria"/>
          <w:bCs/>
          <w:sz w:val="24"/>
          <w:szCs w:val="24"/>
        </w:rPr>
        <w:t xml:space="preserve"> </w:t>
      </w:r>
      <w:r w:rsidRPr="00E914A4">
        <w:rPr>
          <w:rFonts w:ascii="Cambria" w:eastAsia="Calibri" w:hAnsi="Cambria"/>
          <w:sz w:val="24"/>
          <w:szCs w:val="24"/>
        </w:rPr>
        <w:t xml:space="preserve">Reforma modelu ewaluacji w kierunku „czwartej generacji” w założeniach projektodawców p.s.w.n. miała prowadzić do zobiektywizowania uzyskiwanych ocen, odbiurokratyzowania systemu, a także – poprzez położenie nacisku na jakość i wsparcie doskonałości naukowej w jej wymiarze międzynarodowym – do zniwelowania zjawiska „punktozy”. Z punktu widzenia autonomii działalności naukowej uwskaźnikowienie czy dążenie ku performatywności powinno być stosowane ostrożnie, precyzyjnie i z tendencją do stabilności regulacyjnej. Stąd też wysoki poziom zmienności (nietrwałości) przepisów odnoszących się do tej sfery należy ocenić negatywnie. Zaburza to równowagę w relacji autonomii do zasady rozliczalności; naraża publiczne uczelnie akademickie na zbyt intensywne </w:t>
      </w:r>
      <w:r w:rsidRPr="00E914A4">
        <w:rPr>
          <w:rFonts w:ascii="Cambria" w:eastAsia="Calibri" w:hAnsi="Cambria"/>
          <w:sz w:val="24"/>
          <w:szCs w:val="24"/>
        </w:rPr>
        <w:lastRenderedPageBreak/>
        <w:t>poddawanie się mechanizmom rynkowym, a konsekwencji nawet na symplifikację prowadzonych badań naukowych w ramach działalności naukowej ze względu na rozszerzające się tendencje do uwskaźnikowienia; wiedzie do wdrażania trendów redukcjonistycznych w prowadzonych badaniach, a docelowo – zamiast zindywidualizowania prowadzonej działalności naukowej w duchu autonomii – do jej ograniczenia na rzecz sprostania głównym nurtom społeczno-gospodarczym (niekoniecznie wartościowym i pożądanym przez publiczne uczelnie akademickie).</w:t>
      </w:r>
      <w:r w:rsidRPr="00E914A4">
        <w:rPr>
          <w:rFonts w:ascii="Cambria" w:eastAsia="Calibri" w:hAnsi="Cambria"/>
          <w:bCs/>
          <w:sz w:val="24"/>
          <w:szCs w:val="24"/>
        </w:rPr>
        <w:t xml:space="preserve"> Podniesiono, że o</w:t>
      </w:r>
      <w:r w:rsidRPr="00E914A4">
        <w:rPr>
          <w:rFonts w:ascii="Cambria" w:hAnsi="Cambria"/>
          <w:bCs/>
          <w:sz w:val="24"/>
          <w:szCs w:val="24"/>
        </w:rPr>
        <w:t>prócz wspomnianych instrumentów ewaluacyjnych sfera autonomii działalności naukowej jest aktywnie formowana przynajmniej przez dwie grupy czynników: 1) kierunki badań wyznaczane polityką naukową państwa, która wydaje się dokonywać wręcz ich priorytetyzacji; 2) katalog dodatkowych wymagań (ograniczeń) ze względu na specyfikę – zarówno podmiotową, jak i przedmiotową – w zakresie prowadzonych badań.</w:t>
      </w:r>
    </w:p>
    <w:p w14:paraId="410AE61E"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eastAsia="Calibri" w:hAnsi="Cambria"/>
          <w:bCs/>
          <w:sz w:val="24"/>
          <w:szCs w:val="24"/>
        </w:rPr>
        <w:t>Po szóste zaznaczono, że a</w:t>
      </w:r>
      <w:r w:rsidRPr="00E914A4">
        <w:rPr>
          <w:rFonts w:ascii="Cambria" w:hAnsi="Cambria"/>
          <w:sz w:val="24"/>
          <w:szCs w:val="24"/>
        </w:rPr>
        <w:t xml:space="preserve">utonomia kadrowa prowadzi do wykształcenia się swoistego wzorca akademickiego stosunku pracy. Zwłaszcza jeśli chodzi o grupę nauczycieli akademickich, dostrzegalny jest szeroki zakres odrębności, które uwypuklają ich szczególną pozycję pracowniczą. Głównym instrumentem korzystania z atrybutu autonomii kadrowej jest sposób i zakres kształtowania wewnętrznej polityki kadrowej. </w:t>
      </w:r>
      <w:r w:rsidRPr="00E914A4">
        <w:rPr>
          <w:rFonts w:ascii="Cambria" w:eastAsia="Calibri" w:hAnsi="Cambria"/>
          <w:bCs/>
          <w:sz w:val="24"/>
          <w:szCs w:val="24"/>
        </w:rPr>
        <w:t>Zasadniczo w odniesieniu do autonomii kadrowej polski trend zmian pozytywnie wpisuje się w kontekst europejski. Pomimo dotychczasowego niedofinansowania działalności uczelni publicznych, już w czasie obowiązywania p.s.w. stan autonomii w tym wymiarze oceniono jako wysoki. Z tego punktu widzenia, w świetle zasadniczego wzmocnienia w p.s.w.n. pozostałych, współzależnych obszarów autonomii, należy stwierdzić, że autonomia kadrowa stabilizuje się na wyższym poziomie.</w:t>
      </w:r>
      <w:r w:rsidRPr="00E914A4">
        <w:rPr>
          <w:rFonts w:ascii="Cambria" w:hAnsi="Cambria"/>
          <w:sz w:val="24"/>
          <w:szCs w:val="24"/>
        </w:rPr>
        <w:t xml:space="preserve"> </w:t>
      </w:r>
      <w:r w:rsidRPr="00E914A4">
        <w:rPr>
          <w:rFonts w:ascii="Cambria" w:eastAsia="Calibri" w:hAnsi="Cambria"/>
          <w:sz w:val="24"/>
          <w:szCs w:val="24"/>
        </w:rPr>
        <w:t>Sytuację prawną uczelni publicznych w wymiarze autonomii kadrowej można określić jednak jako heterogeniczną (w szczególności jeśli chodzi o grupę nauczycieli akademickich). Z jednej strony dostrzegalne są rozwiązania, które świadczą o ograniczeniu autonomii uczelni w sferze podejmowania decyzji co do formy, typu i okresu, na jaki jest zawierana umowa o pracę z nauczycielami akademickimi (m.in. brak możliwości stosowania umowy na okres próbny, zakreślenie maksymalnego czasu trwania umowy bądź umów o pracę na czas określony oraz najwyższego wymiaru pensum nauczyciela akademickiego czy też ustawowo narzucone modyfikacje dla stosunku pracy osób będących sędziami TK, SN albo NSA). Z drugiej strony – jak się wydaje w zdecydowanej większości – pojawiają się i takie rozwiązania, które świadczą o poszerzeniu wybranych sfer autonomii kadrowej (m.in. kształtowanie systemu wynagrodzeń czy możliwość określania statutowo dodatkowych, pozaustawowych wymagań do wykonywania zawodu nauczyciela akademickiego bądź tworzenia siatki stanowisk).</w:t>
      </w:r>
      <w:r w:rsidRPr="00E914A4">
        <w:rPr>
          <w:rFonts w:ascii="Cambria" w:hAnsi="Cambria"/>
          <w:sz w:val="24"/>
          <w:szCs w:val="24"/>
        </w:rPr>
        <w:t xml:space="preserve"> </w:t>
      </w:r>
      <w:r w:rsidRPr="00E914A4">
        <w:rPr>
          <w:rFonts w:ascii="Cambria" w:eastAsia="Calibri" w:hAnsi="Cambria"/>
          <w:sz w:val="24"/>
          <w:szCs w:val="24"/>
        </w:rPr>
        <w:t xml:space="preserve">Niejednorodność kształtu autonomii kadrowej (zwłaszcza w odniesieniu do dominującej grupy nauczycieli akademickich) dotyczy jej płaszczyzny instytucjonalnej, ale i płaszczyzny personalnej (pracowniczej). </w:t>
      </w:r>
    </w:p>
    <w:p w14:paraId="76490D06"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eastAsia="Calibri" w:hAnsi="Cambria"/>
          <w:sz w:val="24"/>
          <w:szCs w:val="24"/>
        </w:rPr>
        <w:lastRenderedPageBreak/>
        <w:t>W płaszczyźnie instytucjonalnej zdecydowanym krokiem ku samodzielności w prowadzeniu polityki kadrowej, a zatem ku wzmocnieniu autonomii w wymiarze kadrowym, jest odstąpienie od stworzenia zamkniętego katalogu zunifikowanych stanowisk ściśle powiązanych z grupami pracowniczymi. W efekcie możliwe jest zajmowanie przez pracowników takiego samego stanowiska, ale w innej grupie pracowniczej, modyfikując (i różnicując) w ten sposób zawarte umowy o pracę. Dopuszczenie zróżnicowanej siatki stanowisk, w powiązaniu z określonymi ustawowo grupami nauczycieli akademickich, powoduje z jednej strony wysoki poziom zróżnicowania w krajobrazie pracowniczym uczelni, z drugiej zaś przedstawia dążenie do zindywidualizowania sposobu realizacji misji i strategii przyjętej przez poszczególne podmioty.</w:t>
      </w:r>
      <w:r w:rsidRPr="00E914A4">
        <w:rPr>
          <w:rFonts w:ascii="Cambria" w:eastAsia="Calibri" w:hAnsi="Cambria"/>
          <w:bCs/>
          <w:sz w:val="24"/>
          <w:szCs w:val="24"/>
        </w:rPr>
        <w:t xml:space="preserve"> </w:t>
      </w:r>
      <w:r w:rsidRPr="00E914A4">
        <w:rPr>
          <w:rFonts w:ascii="Cambria" w:eastAsia="Calibri" w:hAnsi="Cambria"/>
          <w:sz w:val="24"/>
          <w:szCs w:val="24"/>
        </w:rPr>
        <w:t>W płaszczyźnie personalnej, analogicznie jak jest to w sferze instytucjonalnej, wzorzec autonomii w odniesieniu do grupy nauczycieli akademickich jest silnie zdywersyfikowany. Z jednej strony pojawiają się elementy ograniczające (np. konieczność uzyskiwania zgody rektora przez nauczyciela akademickiego zatrudnionego w uczelni publicznej jako podstawowym miejscu pracy na podjęcie lub kontynuowanie dodatkowego zatrudnienia u innego pracodawcy prowadzącego działalność dydaktyczną lub naukową, z zastrzeżeniem, że dopuszcza się tylko jeden taki podmiot, czy też informowanie rektora o prowadzonej działalności gospodarczej), z drugiej zaś dodatkowe uprawnienia pracownicze (np. rozbudowany, preferencyjny system urlopów czy też wprowadzenie szeroko komentowanej w doktrynie ochrony trwałości stosunku pracy dla osób będących sędziami TK, SN albo NSA).</w:t>
      </w:r>
    </w:p>
    <w:p w14:paraId="704A5D95"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hAnsi="Cambria"/>
          <w:sz w:val="24"/>
          <w:szCs w:val="24"/>
        </w:rPr>
        <w:t xml:space="preserve">Po siódme wypada dodać, że autonomię instytucjonalną publicznych uczelni akademickich determinuje nie tylko sposób i zakres ukształtowania i oddziaływania jej poszczególnych wymiarów (interakcje w płaszczyźnie wertykalnej), lecz także przyjęta struktura finansowania i zasady gospodarowania powierzonym mieniem. Sposób i zakres korzystania z autonomii instytucjonalnej we wszystkich jej wymiarach w sensie praktycznym jest silnie powiązany z poziomem finansowania. Wspomniana współzależność w zasadzie prowadzi nawet do wytyczenia nienormatywnych (choć rzeczywistych) granic autonomii w wymiarze finansowym. Dla autonomii we wspomnianym wymiarze niezwykle istotne znaczenie mają finansowo-prawne uwarunkowania kształtujące gospodarkę finansową uczelni (w szczególności elastyczność i stabilność finansowania). Wprowadzenie subwencji jako sposobu finansowania zwiększa autonomię w wymiarze finansowym i może sprzyjać zintensyfikowaniu procesów dywersyfikacji instytucjonalnej publicznych uczelni akademickich. </w:t>
      </w:r>
    </w:p>
    <w:p w14:paraId="21DDEFBF"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hAnsi="Cambria"/>
          <w:bCs/>
          <w:sz w:val="24"/>
          <w:szCs w:val="24"/>
        </w:rPr>
        <w:t xml:space="preserve">W wymiarze finansowym, podobnie jak w przypadku innych obszarów aktywności publicznych uczelni akademickich, w sposób wyraźny przeplatają się zarówno rozwiązania stabilizujące, wzmacniające, jak i wyraźnie ograniczające autonomię. Można wyodrębnić dwie, zasadnicze sfery silnie oddziałujące na wspomniany atrybut. Po pierwsze, jest to sfera kształtowania struktury </w:t>
      </w:r>
      <w:r w:rsidRPr="00E914A4">
        <w:rPr>
          <w:rFonts w:ascii="Cambria" w:hAnsi="Cambria"/>
          <w:bCs/>
          <w:sz w:val="24"/>
          <w:szCs w:val="24"/>
        </w:rPr>
        <w:lastRenderedPageBreak/>
        <w:t>finansowania, w ramach której wprowadzono jako podstawowy instrument finansowy – elastyczną z punktu widzenia możliwości redystrybucji publicznych środków finansowych – subwencję, a także instrument pomocniczy (choć niekiedy może stać się wręcz podstawowy) – dotację. Obok takiego sposobu ukształtowania struktury finansowania publicznego istotnymi przejawami autonomii finansowej mogą być przyjęte uwarunkowania w zakresie możliwości pozyskiwania innych, dodatkowych źródeł finansowania. Po drugie, sferą istotnie oddziałującą na autonomię finansową jest również ukształtowany system gospodarowania mieniem (nieruchomym i ruchomym), zarówno w wymiarze przyjętych ograniczeń, jak i występujących preferencji.</w:t>
      </w:r>
      <w:r w:rsidRPr="00E914A4">
        <w:rPr>
          <w:rFonts w:ascii="Cambria" w:hAnsi="Cambria"/>
          <w:sz w:val="24"/>
          <w:szCs w:val="24"/>
        </w:rPr>
        <w:t xml:space="preserve"> </w:t>
      </w:r>
    </w:p>
    <w:p w14:paraId="6B887623"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hAnsi="Cambria"/>
          <w:sz w:val="24"/>
          <w:szCs w:val="24"/>
        </w:rPr>
        <w:t>Wdrożone rozwiązania zasadniczo zwiększają samodzielność w autonomicznym zarządzaniu uczelnią, rozwijając model ewaluacyjny finansowania. Zakłada on efektywne wsparcie o charakterze przedmiotowym, z równoczesnym monitorowaniem i ścisłym rozliczaniem wykorzystania uzyskanych środków, a także wzmocnienie tendencji do dywersyfikacji środków finansowych i integracji z otoczeniem gospodarczym.</w:t>
      </w:r>
      <w:r w:rsidRPr="00E914A4">
        <w:rPr>
          <w:rFonts w:ascii="Cambria" w:eastAsia="Calibri" w:hAnsi="Cambria"/>
          <w:bCs/>
          <w:sz w:val="24"/>
          <w:szCs w:val="24"/>
        </w:rPr>
        <w:t xml:space="preserve"> Z punktu widzenia funkcjonowania publicznych uczelni akademickich (w tym podejmowania przez nie rzeczywiście, instytucjonalnie autonomicznych decyzji) praktyczne znaczenie ma stabilność finansowa. W polskich warunkach nie wydaje się możliwe, aby inne zdywersyfikowane źródła finansowania stały się substytutem finansowania publicznego. Nie oznacza to jednak zasklepienia się w unifikacji strumieni finansowania w kierunku ich „upublicznienia”. Przeciwnie, obserwuje się stały trend polegający na wprowadzaniu do krajowych systemów finansowania szkolnictwa wyższego rozwiązań bardziej konkurencyjnych (jak np. finansowanie doskonałościowe czy projektowe). Na podstawie przepisów p.s.w.n. dostrzegalne są też swoistego rodzaju bodźce powodujące intensyfikację procesów poszukiwania dodatkowych źródeł przychodów (np. w związku z ewolucyjnie malejącą stałą przeniesienia). Co więcej, jako dążenie do wzmocnienia autonomii w wymiarze finansowym utrzymano (aczkolwiek w ograniczonym zakresie) możliwość pobierania przez publiczne uczelnie akademickie opłat o zróżnicowanym charakterze prawnym. Tego rodzaju trend odzwierciedla również stymulowanie aktywności gospodarczej uczelni w otoczeniu. Przepisy p.s.w.n. gwarantują możliwość prowadzenia wyodrębnionej organizacyjnie i finansowo działalności gospodarczej, która także może stanowić źródło pozyskiwania dodatkowych przychodów. Ze względu na szerokie spektrum działalności uczelni publicznych – zarówno w sferze publicznej, jak i w sferze prywatnej – tworzy się więc szeroka przestrzeń do zdobywania środków pozabudżetowych. Mogą one służyć zwiększeniu poziomu łącznego zasobu finansowania publicznych uczelni akademickich. Może to odegrać pomocniczą rolę, w szczególności jeśli uwzględni się pułap kosztów generowanych przez uczelnie i konieczność ich stałego równoważenia, ale też ochronę autonomii instytucjonalnej (np. ochrona przed wdrożeniem specyficznego instrumentu prawnego, jakim jest program naprawczy).</w:t>
      </w:r>
      <w:r w:rsidRPr="00E914A4">
        <w:rPr>
          <w:rFonts w:ascii="Cambria" w:hAnsi="Cambria"/>
          <w:sz w:val="24"/>
          <w:szCs w:val="24"/>
        </w:rPr>
        <w:t xml:space="preserve"> </w:t>
      </w:r>
      <w:r w:rsidRPr="00E914A4">
        <w:rPr>
          <w:rFonts w:ascii="Cambria" w:eastAsia="Calibri" w:hAnsi="Cambria"/>
          <w:bCs/>
          <w:sz w:val="24"/>
          <w:szCs w:val="24"/>
        </w:rPr>
        <w:t xml:space="preserve">W kontekście rozwoju gospodarki opartej na wiedzy i procesu </w:t>
      </w:r>
      <w:r w:rsidRPr="00E914A4">
        <w:rPr>
          <w:rFonts w:ascii="Cambria" w:eastAsia="Calibri" w:hAnsi="Cambria"/>
          <w:bCs/>
          <w:sz w:val="24"/>
          <w:szCs w:val="24"/>
        </w:rPr>
        <w:lastRenderedPageBreak/>
        <w:t xml:space="preserve">dywersyfikacji instytucjonalno-finansowej na aprobatę zasługuje nie tylko uelastycznienie procesu redystrybucji subwencyjnych środków publicznych, lecz także wprowadzenie mechanizmu zróżnicowania finansowania w oparciu o ustanowione programy doskonałościowe. Konstrukcja może – jak było to zakładane – wpłynąć na zintensyfikowanie projakościowych działań uczelni, a tym samym przyczynić się do koncentracji potencjału badawczego i do wzmocnienia konkurencyjnej pozycji międzynarodowej polskich uczelni. </w:t>
      </w:r>
    </w:p>
    <w:p w14:paraId="046447F4"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eastAsia="Calibri" w:hAnsi="Cambria"/>
          <w:bCs/>
          <w:sz w:val="24"/>
          <w:szCs w:val="24"/>
        </w:rPr>
        <w:t>O ile sama idea utrwalenia subwencyjnego, elastycznego finansowania w ramach podstawowego strumienia subwencyjnego na tle rozwijających się nurtów progresji uczelnianej niewątpliwie jest słuszna, o tyle sposób praktycznej recepcji tego rozwiązania może budzić szereg zastrzeżeń. Dotyczy to zarówno metodologii finansowania subwencyjnego, w szczególności przejrzystości (i jednoznaczności) w zakresie trybu rozdzielania (a nawet zwiększania) środków, jak i przyjętego kształtu wzoru algorytmicznego. Przyjęcie jako podstawowego subwencyjnego trybu finansowania ze swej istoty jest więc korzystne z punktu autonomizacji procesów prowadzenia wewnętrznej gospodarki finansowej, pod warunkiem że równolegle spełnione są inne warunki, w szczególności dotyczące jakości warstwy normatywnej. W przeciwnym razie dochodzić będzie jedynie do wzmocnienia autonomii w ujęciu formalnym zamiast do stabilizowania autonomii rzeczywistej. Przy utrzymaniu tak szerokiego zakresu odpowiedzialności uczelni publicznych z tytułu podejmowanej działalności powinno się dążyć do uformowania katalogu przejrzystych i jednoznacznych regulacji, które nie będą generować niejasności kierujących organy zarządzające w stronę przyjmowania zachowawczych postaw i symplifikacji podejmowanych działań.</w:t>
      </w:r>
    </w:p>
    <w:p w14:paraId="64070258"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eastAsia="Calibri" w:hAnsi="Cambria"/>
          <w:bCs/>
          <w:sz w:val="24"/>
          <w:szCs w:val="24"/>
        </w:rPr>
        <w:t>Podsumowując, w</w:t>
      </w:r>
      <w:r w:rsidRPr="00E914A4">
        <w:rPr>
          <w:rFonts w:ascii="Cambria" w:hAnsi="Cambria"/>
          <w:sz w:val="24"/>
          <w:szCs w:val="24"/>
        </w:rPr>
        <w:t>e wszystkich wymiarach autonomii instytucjonalnej (prawnoorganizacyjnym, kształcenia, działalności naukowej, kadrowym, finansowym) obok partykularnych uwarunkowań normatywnych, które wpływają na stabilizację, wzmocnienie albo ograniczenie autonomii, pojawiają się zagadnienia wspólne (właściwe dla wszystkich z nich), które negatywnie oddziałują na urealnienie rzeczywistej autonomii instytucjonalnej. Należą do nich przede wszystkim liczne uchybienia w warstwie techniki legislacyjnej</w:t>
      </w:r>
      <w:bookmarkStart w:id="5" w:name="_Hlk88693320"/>
      <w:r w:rsidRPr="00E914A4">
        <w:rPr>
          <w:rFonts w:ascii="Cambria" w:hAnsi="Cambria"/>
          <w:sz w:val="24"/>
          <w:szCs w:val="24"/>
        </w:rPr>
        <w:t xml:space="preserve">. </w:t>
      </w:r>
      <w:r w:rsidRPr="00E914A4">
        <w:rPr>
          <w:rFonts w:ascii="Cambria" w:hAnsi="Cambria"/>
          <w:bCs/>
          <w:sz w:val="24"/>
          <w:szCs w:val="24"/>
        </w:rPr>
        <w:t xml:space="preserve">Pomimo podjęcia próby całościowego i syntetycznego uregulowania problematyki systemu szkolnictwa wyższego i nauki w jednym akcie prawnym, wydaje się, że wciąż nie udało się stworzyć w pełni przejrzystego strukturalnie aktu prawnego, określającego jasne ramy instytucjonalne dla publicznych uczelni akademickich. W tym kontekście istotnym (i zarazem podstawowym) mankamentem legislacyjnym, który odbija swe piętno na poszczególnych przejawach autonomii instytucjonalnej, jest odstąpienie od stworzenia tzw. słowniczka ustawowego, który objaśniałby pojęcia używane przez ustawodawcę w ramach całego aktu prawnego. Obok prawidłowości zredagowania poszczególnych jednostek tekstu normatywnego kluczowe znaczenie ma bowiem także zachowanie spójnej jego konstrukcji jako całości. Dopiero wtedy powstają warunki normatywne, które </w:t>
      </w:r>
      <w:r w:rsidRPr="00E914A4">
        <w:rPr>
          <w:rFonts w:ascii="Cambria" w:hAnsi="Cambria"/>
          <w:bCs/>
          <w:sz w:val="24"/>
          <w:szCs w:val="24"/>
        </w:rPr>
        <w:lastRenderedPageBreak/>
        <w:t>sprzyjają właściwej interpretacji, a w konsekwencji prawidłowości subsumpcji norm prawnych zakodowanych w przepisach do określonych stanów faktycznych oraz wzmocnieniu autonomii rzeczywistej. Obok innych mankamentów należy wspomnieć m.in. problemy interpretacyjne w zakresie Preambuły do p.s.w.n., brak konsekwencji terminologicznej, wadliwy sposób formułowania definicji ustawowych, nadmierne (i nieuzasadnione) posługiwanie się określeniami nieostrymi oraz klauzulami generalnymi, niewłaściwe metody konstruowania przepisów upoważniających ministra właściwego do spraw szkolnictwa wyższego i nauki do wydawania rozporządzeń.</w:t>
      </w:r>
    </w:p>
    <w:p w14:paraId="56EDA51A" w14:textId="77777777" w:rsid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hAnsi="Cambria"/>
          <w:bCs/>
          <w:sz w:val="24"/>
          <w:szCs w:val="24"/>
        </w:rPr>
        <w:t>Niemniej jednak, mając na uwadze współczesne, europejskie trendy transformacji autonomii progresywnych uczelni akademickich, należy zauważyć, że przeobrażenia zachodzące w Polsce wpisują się w trwający proces rekonstrukcji</w:t>
      </w:r>
      <w:r w:rsidRPr="00E914A4">
        <w:rPr>
          <w:rFonts w:ascii="Cambria" w:hAnsi="Cambria"/>
          <w:sz w:val="24"/>
          <w:szCs w:val="24"/>
        </w:rPr>
        <w:t>. Polską reformę w jej ogólnym zarysie trzeba ocenić zasadniczo pozytywnie. Przyjęte w p.s.w.n. rozwiązania wydają się stanowić nową ścieżkę,</w:t>
      </w:r>
      <w:r w:rsidRPr="00E914A4">
        <w:rPr>
          <w:rFonts w:ascii="Cambria" w:eastAsia="Calibri" w:hAnsi="Cambria"/>
          <w:sz w:val="24"/>
          <w:szCs w:val="24"/>
        </w:rPr>
        <w:t xml:space="preserve"> na której sprawny i efektywny rozwój uczelni akademickich powiązano z zasadniczym wzmocnieniem autonomii instytucjonalnej i wprowadzeniem mechanizmów wspierających bardziej efektywne zarządzanie (m.in. poprzez odbiurokratyzowanie, selektywną deregulację).</w:t>
      </w:r>
      <w:r w:rsidRPr="00E914A4">
        <w:rPr>
          <w:rFonts w:ascii="Cambria" w:hAnsi="Cambria"/>
          <w:sz w:val="24"/>
          <w:szCs w:val="24"/>
        </w:rPr>
        <w:t xml:space="preserve"> </w:t>
      </w:r>
      <w:r w:rsidRPr="00E914A4">
        <w:rPr>
          <w:rFonts w:ascii="Cambria" w:eastAsia="Calibri" w:hAnsi="Cambria"/>
          <w:sz w:val="24"/>
          <w:szCs w:val="24"/>
        </w:rPr>
        <w:t>Mimo że dostrzegalne są liczne mankamenty (o zróżnicowanym charakterze), przeprowadzonej reformie nie można odmówić waloru kompleksowości, przełomowości, wdrożenia rozwiązań strategicznych opartych na szerokim dialogu z udziałem zainteresowanych stron.</w:t>
      </w:r>
      <w:r w:rsidRPr="00E914A4">
        <w:rPr>
          <w:rFonts w:ascii="Cambria" w:hAnsi="Cambria"/>
          <w:sz w:val="24"/>
          <w:szCs w:val="24"/>
        </w:rPr>
        <w:t xml:space="preserve"> </w:t>
      </w:r>
      <w:r w:rsidRPr="00E914A4">
        <w:rPr>
          <w:rFonts w:ascii="Cambria" w:hAnsi="Cambria"/>
          <w:bCs/>
          <w:sz w:val="24"/>
          <w:szCs w:val="24"/>
        </w:rPr>
        <w:t xml:space="preserve">Jakość przyjętej regulacji (zarówno p.s.w.n., jak i szeregu innych regulacji o charakterze </w:t>
      </w:r>
      <w:r w:rsidRPr="00E914A4">
        <w:rPr>
          <w:rFonts w:ascii="Cambria" w:hAnsi="Cambria"/>
          <w:bCs/>
          <w:i/>
          <w:iCs/>
          <w:sz w:val="24"/>
          <w:szCs w:val="24"/>
        </w:rPr>
        <w:t>lex specialis</w:t>
      </w:r>
      <w:r w:rsidRPr="00E914A4">
        <w:rPr>
          <w:rFonts w:ascii="Cambria" w:hAnsi="Cambria"/>
          <w:bCs/>
          <w:sz w:val="24"/>
          <w:szCs w:val="24"/>
        </w:rPr>
        <w:t>) odbija jednak swoje piętno na praktycznej recepcji autonomii rzeczywistej, niekiedy uwypuklając jedynie jej wymiar formalny.</w:t>
      </w:r>
      <w:r w:rsidRPr="00E914A4">
        <w:rPr>
          <w:rFonts w:ascii="Cambria" w:hAnsi="Cambria"/>
          <w:sz w:val="24"/>
          <w:szCs w:val="24"/>
        </w:rPr>
        <w:t xml:space="preserve"> </w:t>
      </w:r>
    </w:p>
    <w:p w14:paraId="4BF45A04" w14:textId="47B3C732" w:rsidR="00E755C4" w:rsidRPr="00392823" w:rsidRDefault="00E755C4" w:rsidP="00392823">
      <w:pPr>
        <w:spacing w:after="120" w:line="276" w:lineRule="auto"/>
        <w:ind w:left="708" w:firstLine="708"/>
        <w:jc w:val="both"/>
        <w:rPr>
          <w:rFonts w:ascii="Cambria" w:hAnsi="Cambria" w:cs="Times New Roman"/>
          <w:b/>
          <w:bCs/>
          <w:sz w:val="24"/>
          <w:szCs w:val="24"/>
        </w:rPr>
      </w:pPr>
      <w:r w:rsidRPr="00E914A4">
        <w:rPr>
          <w:rFonts w:ascii="Cambria" w:hAnsi="Cambria"/>
          <w:bCs/>
          <w:sz w:val="24"/>
          <w:szCs w:val="24"/>
        </w:rPr>
        <w:t>Na pełną ocenę realizacji w p.s.w.n. konstytucyjnie umocowanej zasady autonomii (w szczególności w relacji do przepisów p.s.w.) składa się wszechstronna weryfikacja przejawów autonomii we wszystkich pięciu jej wymiarach instytucjonalnych (prawnoorganizacyjnym, kształcenia, działalności naukowej, kadrowym, finansowym). Dopiero suma wniosków ze wszystkich tych obszarów może składać się na kompleksowy obraz sposobu i zakresu urzeczywistnienia autonomii publicznych uczelni akademickich w polskim porządku prawnym. Dokonana według tego klucza ocena nie może być jednorodna. We wszystkich wymiarach autonomii można bowiem dostrzec zarówno symptomy stabilizacji, istotnego jej wzmocnienia, jak i ograniczenia. W tym kontekście nasuwa się stwierdzenie, że reforma skutkująca wprowadzeniem p.s.w.n. w obecnym kształcie normatywnym nie stanowi jeszcze punktu docelowego. W zrównoważonym modelu progresywnym powinno się dążyć do osiągnięcia stanu, w którym w sposób normatywnie jak najpełniejszy może dojść do urzeczywistnienia się autonomii instytucjonalnej w jej wymiarze formalnym i rzeczywistym. Potwierdza to niewątpliwie stwierdzenie o dynamicznym, stale rekonstruowanym charakterze atrybutu, jaki stanowi autonomia publicznych uczelni akademickich.</w:t>
      </w:r>
    </w:p>
    <w:bookmarkEnd w:id="5"/>
    <w:p w14:paraId="73B7A318" w14:textId="77777777" w:rsidR="00701168" w:rsidRPr="007F42BD" w:rsidRDefault="00701168" w:rsidP="00770CF9">
      <w:pPr>
        <w:pStyle w:val="Akapitzlist"/>
        <w:spacing w:after="120" w:line="276" w:lineRule="auto"/>
        <w:ind w:left="1778"/>
        <w:jc w:val="both"/>
        <w:rPr>
          <w:rFonts w:ascii="Cambria" w:hAnsi="Cambria" w:cs="Times New Roman"/>
          <w:b/>
          <w:bCs/>
          <w:color w:val="FF0000"/>
          <w:sz w:val="24"/>
          <w:szCs w:val="24"/>
        </w:rPr>
      </w:pPr>
    </w:p>
    <w:p w14:paraId="4E33FA4B" w14:textId="2EE46D1D" w:rsidR="0082666B" w:rsidRPr="0082666B" w:rsidRDefault="00701168" w:rsidP="0082666B">
      <w:pPr>
        <w:pStyle w:val="Akapitzlist"/>
        <w:numPr>
          <w:ilvl w:val="0"/>
          <w:numId w:val="6"/>
        </w:numPr>
        <w:spacing w:after="120" w:line="276" w:lineRule="auto"/>
        <w:jc w:val="both"/>
        <w:rPr>
          <w:rFonts w:ascii="Cambria" w:hAnsi="Cambria" w:cs="Times New Roman"/>
          <w:b/>
          <w:bCs/>
          <w:color w:val="FF0000"/>
          <w:sz w:val="24"/>
          <w:szCs w:val="24"/>
        </w:rPr>
      </w:pPr>
      <w:r w:rsidRPr="007F42BD">
        <w:rPr>
          <w:rFonts w:ascii="Cambria" w:hAnsi="Cambria" w:cs="Times New Roman"/>
          <w:b/>
          <w:bCs/>
          <w:sz w:val="24"/>
          <w:szCs w:val="24"/>
        </w:rPr>
        <w:t>Omówienie pozostałych osiągnieć naukowo-badawczych</w:t>
      </w:r>
    </w:p>
    <w:p w14:paraId="0C3AAC5B" w14:textId="77777777" w:rsidR="0082666B" w:rsidRPr="0082666B" w:rsidRDefault="0082666B" w:rsidP="0082666B">
      <w:pPr>
        <w:pStyle w:val="Akapitzlist"/>
        <w:spacing w:after="120" w:line="276" w:lineRule="auto"/>
        <w:ind w:left="1440"/>
        <w:jc w:val="both"/>
        <w:rPr>
          <w:rFonts w:ascii="Cambria" w:hAnsi="Cambria" w:cs="Times New Roman"/>
          <w:b/>
          <w:bCs/>
          <w:color w:val="FF0000"/>
          <w:sz w:val="24"/>
          <w:szCs w:val="24"/>
        </w:rPr>
      </w:pPr>
    </w:p>
    <w:p w14:paraId="2B7E42B9" w14:textId="70C90942" w:rsidR="0068401E" w:rsidRPr="001E3174" w:rsidRDefault="0082666B" w:rsidP="001E3174">
      <w:pPr>
        <w:pStyle w:val="Akapitzlist"/>
        <w:spacing w:after="120" w:line="276" w:lineRule="auto"/>
        <w:jc w:val="both"/>
        <w:rPr>
          <w:rFonts w:ascii="Cambria" w:eastAsia="Times New Roman" w:hAnsi="Cambria"/>
          <w:sz w:val="24"/>
          <w:szCs w:val="24"/>
          <w:lang w:eastAsia="pl-PL"/>
        </w:rPr>
      </w:pPr>
      <w:r w:rsidRPr="007F42BD">
        <w:rPr>
          <w:rFonts w:ascii="Cambria" w:hAnsi="Cambria" w:cs="Times New Roman"/>
          <w:b/>
          <w:bCs/>
          <w:sz w:val="24"/>
          <w:szCs w:val="24"/>
        </w:rPr>
        <w:t>Szczegółowy wykaz osiągnięć o charakterze naukow</w:t>
      </w:r>
      <w:r>
        <w:rPr>
          <w:rFonts w:ascii="Cambria" w:hAnsi="Cambria" w:cs="Times New Roman"/>
          <w:b/>
          <w:bCs/>
          <w:sz w:val="24"/>
          <w:szCs w:val="24"/>
        </w:rPr>
        <w:t>o - badawczym</w:t>
      </w:r>
      <w:r w:rsidRPr="007F42BD">
        <w:rPr>
          <w:rFonts w:ascii="Cambria" w:hAnsi="Cambria" w:cs="Times New Roman"/>
          <w:b/>
          <w:bCs/>
          <w:sz w:val="24"/>
          <w:szCs w:val="24"/>
        </w:rPr>
        <w:t xml:space="preserve"> (także z uwzględnieniem aktywności obejmującej więcej niż jedną uczelnię, instytucję naukową, w szczególności zagraniczn</w:t>
      </w:r>
      <w:r>
        <w:rPr>
          <w:rFonts w:ascii="Cambria" w:hAnsi="Cambria" w:cs="Times New Roman"/>
          <w:b/>
          <w:bCs/>
          <w:sz w:val="24"/>
          <w:szCs w:val="24"/>
        </w:rPr>
        <w:t>ą</w:t>
      </w:r>
      <w:r w:rsidRPr="007F42BD">
        <w:rPr>
          <w:rFonts w:ascii="Cambria" w:hAnsi="Cambria" w:cs="Times New Roman"/>
          <w:b/>
          <w:bCs/>
          <w:sz w:val="24"/>
          <w:szCs w:val="24"/>
        </w:rPr>
        <w:t>)</w:t>
      </w:r>
      <w:r w:rsidRPr="007F42BD">
        <w:rPr>
          <w:rFonts w:ascii="Cambria" w:hAnsi="Cambria" w:cs="Times New Roman"/>
          <w:sz w:val="24"/>
          <w:szCs w:val="24"/>
        </w:rPr>
        <w:t xml:space="preserve"> został przedstawiony w </w:t>
      </w:r>
      <w:r w:rsidRPr="007F42BD">
        <w:rPr>
          <w:rFonts w:ascii="Cambria" w:hAnsi="Cambria" w:cs="Times New Roman"/>
          <w:b/>
          <w:bCs/>
          <w:sz w:val="24"/>
          <w:szCs w:val="24"/>
        </w:rPr>
        <w:t>Załączniku nr 4</w:t>
      </w:r>
      <w:r w:rsidRPr="007F42BD">
        <w:rPr>
          <w:rFonts w:ascii="Cambria" w:hAnsi="Cambria" w:cs="Times New Roman"/>
          <w:sz w:val="24"/>
          <w:szCs w:val="24"/>
        </w:rPr>
        <w:t xml:space="preserve"> do wniosku o przeprowadzenie postępowania w sprawie nadania stopnia doktora habilitowanego (</w:t>
      </w:r>
      <w:r w:rsidRPr="007F42BD">
        <w:rPr>
          <w:rFonts w:ascii="Cambria" w:hAnsi="Cambria" w:cs="Times New Roman"/>
          <w:i/>
          <w:iCs/>
          <w:sz w:val="24"/>
          <w:szCs w:val="24"/>
        </w:rPr>
        <w:t>Wykaz osiągnięć naukowych albo artystycznych, stanowiących znaczny wkład w rozwój określonej dyscypliny</w:t>
      </w:r>
      <w:r w:rsidRPr="007F42BD">
        <w:rPr>
          <w:rFonts w:ascii="Cambria" w:hAnsi="Cambria" w:cs="Times New Roman"/>
          <w:sz w:val="24"/>
          <w:szCs w:val="24"/>
        </w:rPr>
        <w:t>).</w:t>
      </w:r>
      <w:r w:rsidR="006F648A">
        <w:rPr>
          <w:rFonts w:ascii="Cambria" w:hAnsi="Cambria" w:cs="Times New Roman"/>
          <w:sz w:val="24"/>
          <w:szCs w:val="24"/>
        </w:rPr>
        <w:t xml:space="preserve"> </w:t>
      </w:r>
      <w:r w:rsidR="006F648A" w:rsidRPr="006F648A">
        <w:rPr>
          <w:rFonts w:ascii="Cambria" w:hAnsi="Cambria" w:cs="Times New Roman"/>
          <w:sz w:val="24"/>
          <w:szCs w:val="24"/>
          <w:u w:val="single"/>
        </w:rPr>
        <w:t xml:space="preserve">Łącznie </w:t>
      </w:r>
      <w:r w:rsidR="006F648A" w:rsidRPr="006F648A">
        <w:rPr>
          <w:rFonts w:ascii="Cambria" w:eastAsia="Times New Roman" w:hAnsi="Cambria"/>
          <w:sz w:val="24"/>
          <w:szCs w:val="24"/>
          <w:u w:val="single"/>
          <w:lang w:eastAsia="pl-PL"/>
        </w:rPr>
        <w:t>wskazano</w:t>
      </w:r>
      <w:r w:rsidR="006F648A" w:rsidRPr="006F648A">
        <w:rPr>
          <w:rFonts w:ascii="Cambria" w:eastAsia="Times New Roman" w:hAnsi="Cambria"/>
          <w:sz w:val="24"/>
          <w:szCs w:val="24"/>
          <w:lang w:eastAsia="pl-PL"/>
        </w:rPr>
        <w:t>:</w:t>
      </w:r>
      <w:r w:rsidR="006F648A" w:rsidRPr="002B441F">
        <w:rPr>
          <w:rFonts w:ascii="Cambria" w:eastAsia="Times New Roman" w:hAnsi="Cambria"/>
          <w:b/>
          <w:bCs/>
          <w:sz w:val="24"/>
          <w:szCs w:val="24"/>
          <w:lang w:eastAsia="pl-PL"/>
        </w:rPr>
        <w:t xml:space="preserve"> 56 opublikowanych pozycji</w:t>
      </w:r>
      <w:r w:rsidR="006F648A" w:rsidRPr="002B441F">
        <w:rPr>
          <w:rFonts w:ascii="Cambria" w:eastAsia="Times New Roman" w:hAnsi="Cambria"/>
          <w:sz w:val="24"/>
          <w:szCs w:val="24"/>
          <w:lang w:eastAsia="pl-PL"/>
        </w:rPr>
        <w:t xml:space="preserve"> (4 recenzowane monografie naukowe, 31 artykułów w czasopismach naukowych, 21 rozdziałów w recenzowanych monografiach naukowych) oraz </w:t>
      </w:r>
      <w:r w:rsidR="006F648A" w:rsidRPr="002B441F">
        <w:rPr>
          <w:rFonts w:ascii="Cambria" w:eastAsia="Times New Roman" w:hAnsi="Cambria"/>
          <w:b/>
          <w:bCs/>
          <w:sz w:val="24"/>
          <w:szCs w:val="24"/>
          <w:lang w:eastAsia="pl-PL"/>
        </w:rPr>
        <w:t xml:space="preserve">8 pozycji oddanych do druku </w:t>
      </w:r>
      <w:r w:rsidR="006F648A" w:rsidRPr="002B441F">
        <w:rPr>
          <w:rFonts w:ascii="Cambria" w:eastAsia="Times New Roman" w:hAnsi="Cambria"/>
          <w:sz w:val="24"/>
          <w:szCs w:val="24"/>
          <w:lang w:eastAsia="pl-PL"/>
        </w:rPr>
        <w:t xml:space="preserve">(5 artykułów w czasopismach naukowych oraz 3 rozdziały w recenzowanych monografiach naukowych), </w:t>
      </w:r>
      <w:r w:rsidR="006F648A" w:rsidRPr="002B441F">
        <w:rPr>
          <w:rFonts w:ascii="Cambria" w:eastAsia="Times New Roman" w:hAnsi="Cambria"/>
          <w:b/>
          <w:bCs/>
          <w:sz w:val="24"/>
          <w:szCs w:val="24"/>
          <w:lang w:eastAsia="pl-PL"/>
        </w:rPr>
        <w:t>3 redakcje naukowe</w:t>
      </w:r>
      <w:r w:rsidR="006F648A" w:rsidRPr="002B441F">
        <w:rPr>
          <w:rFonts w:ascii="Cambria" w:eastAsia="Times New Roman" w:hAnsi="Cambria"/>
          <w:sz w:val="24"/>
          <w:szCs w:val="24"/>
          <w:lang w:eastAsia="pl-PL"/>
        </w:rPr>
        <w:t xml:space="preserve"> recenzowanych monografii naukowych. </w:t>
      </w:r>
      <w:r w:rsidR="006F648A" w:rsidRPr="006F648A">
        <w:rPr>
          <w:rFonts w:ascii="Cambria" w:eastAsia="Times New Roman" w:hAnsi="Cambria"/>
          <w:sz w:val="24"/>
          <w:szCs w:val="24"/>
          <w:lang w:eastAsia="pl-PL"/>
        </w:rPr>
        <w:t xml:space="preserve">Wykazano czynny udział: w </w:t>
      </w:r>
      <w:r w:rsidR="006F648A" w:rsidRPr="006F648A">
        <w:rPr>
          <w:rFonts w:ascii="Cambria" w:eastAsia="Times New Roman" w:hAnsi="Cambria"/>
          <w:b/>
          <w:bCs/>
          <w:sz w:val="24"/>
          <w:szCs w:val="24"/>
          <w:lang w:eastAsia="pl-PL"/>
        </w:rPr>
        <w:t>52 konferencjach naukowych</w:t>
      </w:r>
      <w:r w:rsidR="006F648A" w:rsidRPr="006F648A">
        <w:rPr>
          <w:rFonts w:ascii="Cambria" w:eastAsia="Times New Roman" w:hAnsi="Cambria"/>
          <w:sz w:val="24"/>
          <w:szCs w:val="24"/>
          <w:lang w:eastAsia="pl-PL"/>
        </w:rPr>
        <w:t xml:space="preserve"> (26 konferencji międzynarodowych i 26 konferencji krajowych, w tym w 5 konferencjach w komitetach organizacyjnych i naukowych)</w:t>
      </w:r>
      <w:r w:rsidR="006F648A">
        <w:rPr>
          <w:rFonts w:ascii="Cambria" w:eastAsia="Times New Roman" w:hAnsi="Cambria"/>
          <w:sz w:val="24"/>
          <w:szCs w:val="24"/>
          <w:lang w:eastAsia="pl-PL"/>
        </w:rPr>
        <w:t xml:space="preserve"> oraz uczestnictwo w </w:t>
      </w:r>
      <w:r w:rsidR="006F648A" w:rsidRPr="00DB5655">
        <w:rPr>
          <w:rFonts w:ascii="Cambria" w:hAnsi="Cambria" w:cs="Times New Roman"/>
          <w:b/>
          <w:bCs/>
          <w:sz w:val="24"/>
          <w:szCs w:val="24"/>
        </w:rPr>
        <w:t>pracach zespołów badawczych realizujących projekty finansowane w drodze konkursów krajowych lub zagranicznych</w:t>
      </w:r>
      <w:r w:rsidR="001E3174">
        <w:rPr>
          <w:rFonts w:ascii="Cambria" w:hAnsi="Cambria" w:cs="Times New Roman"/>
          <w:b/>
          <w:bCs/>
          <w:sz w:val="24"/>
          <w:szCs w:val="24"/>
        </w:rPr>
        <w:t xml:space="preserve"> oraz innych zespołach</w:t>
      </w:r>
      <w:r w:rsidR="006F648A">
        <w:rPr>
          <w:rFonts w:ascii="Cambria" w:hAnsi="Cambria" w:cs="Times New Roman"/>
          <w:b/>
          <w:bCs/>
          <w:sz w:val="24"/>
          <w:szCs w:val="24"/>
        </w:rPr>
        <w:t xml:space="preserve">, </w:t>
      </w:r>
      <w:r w:rsidR="006F648A" w:rsidRPr="00DB5655">
        <w:rPr>
          <w:rFonts w:ascii="Cambria" w:hAnsi="Cambria" w:cs="Times New Roman"/>
          <w:b/>
          <w:bCs/>
          <w:sz w:val="24"/>
          <w:szCs w:val="24"/>
        </w:rPr>
        <w:t>odbytych stażach w instytucjach naukowych</w:t>
      </w:r>
      <w:r w:rsidR="001E3174">
        <w:rPr>
          <w:rFonts w:ascii="Cambria" w:hAnsi="Cambria" w:cs="Times New Roman"/>
          <w:b/>
          <w:bCs/>
          <w:sz w:val="24"/>
          <w:szCs w:val="24"/>
        </w:rPr>
        <w:t xml:space="preserve"> (krajowych i zagranicznych) oraz </w:t>
      </w:r>
      <w:r w:rsidR="001E3174" w:rsidRPr="00DB5655">
        <w:rPr>
          <w:rFonts w:ascii="Cambria" w:hAnsi="Cambria" w:cs="Times New Roman"/>
          <w:b/>
          <w:bCs/>
          <w:sz w:val="24"/>
          <w:szCs w:val="24"/>
        </w:rPr>
        <w:t xml:space="preserve">w programach europejskich </w:t>
      </w:r>
      <w:r w:rsidR="001E3174">
        <w:rPr>
          <w:rFonts w:ascii="Cambria" w:hAnsi="Cambria" w:cs="Times New Roman"/>
          <w:b/>
          <w:bCs/>
          <w:sz w:val="24"/>
          <w:szCs w:val="24"/>
        </w:rPr>
        <w:t>i</w:t>
      </w:r>
      <w:r w:rsidR="001E3174" w:rsidRPr="00DB5655">
        <w:rPr>
          <w:rFonts w:ascii="Cambria" w:hAnsi="Cambria" w:cs="Times New Roman"/>
          <w:b/>
          <w:bCs/>
          <w:sz w:val="24"/>
          <w:szCs w:val="24"/>
        </w:rPr>
        <w:t xml:space="preserve"> innych programach międzynarodowych</w:t>
      </w:r>
      <w:r w:rsidR="001E3174">
        <w:rPr>
          <w:rFonts w:ascii="Cambria" w:hAnsi="Cambria" w:cs="Times New Roman"/>
          <w:b/>
          <w:bCs/>
          <w:sz w:val="24"/>
          <w:szCs w:val="24"/>
        </w:rPr>
        <w:t xml:space="preserve"> </w:t>
      </w:r>
      <w:r w:rsidR="001E3174">
        <w:rPr>
          <w:rFonts w:ascii="Cambria" w:hAnsi="Cambria" w:cs="Times New Roman"/>
          <w:sz w:val="24"/>
          <w:szCs w:val="24"/>
        </w:rPr>
        <w:t xml:space="preserve">(w szczególności cz. II </w:t>
      </w:r>
      <w:r w:rsidR="001E3174" w:rsidRPr="007F42BD">
        <w:rPr>
          <w:rFonts w:ascii="Cambria" w:hAnsi="Cambria" w:cs="Times New Roman"/>
          <w:i/>
          <w:iCs/>
          <w:sz w:val="24"/>
          <w:szCs w:val="24"/>
        </w:rPr>
        <w:t>Wykaz</w:t>
      </w:r>
      <w:r w:rsidR="001E3174">
        <w:rPr>
          <w:rFonts w:ascii="Cambria" w:hAnsi="Cambria" w:cs="Times New Roman"/>
          <w:i/>
          <w:iCs/>
          <w:sz w:val="24"/>
          <w:szCs w:val="24"/>
        </w:rPr>
        <w:t>u</w:t>
      </w:r>
      <w:r w:rsidR="001E3174" w:rsidRPr="007F42BD">
        <w:rPr>
          <w:rFonts w:ascii="Cambria" w:hAnsi="Cambria" w:cs="Times New Roman"/>
          <w:i/>
          <w:iCs/>
          <w:sz w:val="24"/>
          <w:szCs w:val="24"/>
        </w:rPr>
        <w:t xml:space="preserve"> osiągnięć naukowych albo artystycznych, stanowiących znaczny wkład w rozwój określonej dyscypliny</w:t>
      </w:r>
      <w:r w:rsidR="001E3174">
        <w:rPr>
          <w:rFonts w:ascii="Cambria" w:hAnsi="Cambria" w:cs="Times New Roman"/>
          <w:sz w:val="24"/>
          <w:szCs w:val="24"/>
        </w:rPr>
        <w:t>).</w:t>
      </w:r>
    </w:p>
    <w:p w14:paraId="70E4EA2E" w14:textId="2E0D262E" w:rsidR="0082666B" w:rsidRDefault="0082666B" w:rsidP="0082666B">
      <w:pPr>
        <w:pStyle w:val="Akapitzlist"/>
        <w:spacing w:after="0" w:line="240" w:lineRule="auto"/>
        <w:ind w:firstLine="696"/>
        <w:jc w:val="both"/>
        <w:rPr>
          <w:rFonts w:ascii="Cambria" w:hAnsi="Cambria" w:cs="Times New Roman"/>
          <w:sz w:val="24"/>
          <w:szCs w:val="24"/>
        </w:rPr>
      </w:pPr>
      <w:r w:rsidRPr="007F42BD">
        <w:rPr>
          <w:rFonts w:ascii="Cambria" w:hAnsi="Cambria" w:cs="Times New Roman"/>
          <w:sz w:val="24"/>
          <w:szCs w:val="24"/>
        </w:rPr>
        <w:t xml:space="preserve">Ze względu na szeroko zakrojoną działalność naukową (krajową i zagraniczną) i występowanie zróżnicowanych osiągnięć w tym zakresie, wypada w szczególności wskazać na występowanie </w:t>
      </w:r>
      <w:r w:rsidRPr="007F42BD">
        <w:rPr>
          <w:rFonts w:ascii="Cambria" w:hAnsi="Cambria" w:cs="Times New Roman"/>
          <w:b/>
          <w:bCs/>
          <w:sz w:val="24"/>
          <w:szCs w:val="24"/>
        </w:rPr>
        <w:t>kilku podstawowych obszarów zainteresowań badawczych</w:t>
      </w:r>
      <w:r w:rsidRPr="007F42BD">
        <w:rPr>
          <w:rFonts w:ascii="Cambria" w:hAnsi="Cambria" w:cs="Times New Roman"/>
          <w:sz w:val="24"/>
          <w:szCs w:val="24"/>
        </w:rPr>
        <w:t>, które odzwierciedlają kierunki (sfery), w jakich podejmowano aktywność</w:t>
      </w:r>
      <w:r>
        <w:rPr>
          <w:rFonts w:ascii="Cambria" w:hAnsi="Cambria" w:cs="Times New Roman"/>
          <w:sz w:val="24"/>
          <w:szCs w:val="24"/>
        </w:rPr>
        <w:t xml:space="preserve"> (także z uwzględnieniem aktywności międzyuniwersyteckiej krajowej i zagranicznej)</w:t>
      </w:r>
      <w:r w:rsidRPr="007F42BD">
        <w:rPr>
          <w:rFonts w:ascii="Cambria" w:hAnsi="Cambria" w:cs="Times New Roman"/>
          <w:sz w:val="24"/>
          <w:szCs w:val="24"/>
        </w:rPr>
        <w:t>:</w:t>
      </w:r>
    </w:p>
    <w:p w14:paraId="35C66F6E" w14:textId="77777777" w:rsidR="0082666B" w:rsidRPr="007F42BD" w:rsidRDefault="0082666B" w:rsidP="0082666B">
      <w:pPr>
        <w:pStyle w:val="Akapitzlist"/>
        <w:spacing w:after="0" w:line="240" w:lineRule="auto"/>
        <w:ind w:firstLine="696"/>
        <w:jc w:val="both"/>
        <w:rPr>
          <w:rFonts w:ascii="Cambria" w:hAnsi="Cambria" w:cs="Times New Roman"/>
          <w:sz w:val="24"/>
          <w:szCs w:val="24"/>
        </w:rPr>
      </w:pPr>
    </w:p>
    <w:p w14:paraId="18F8C845" w14:textId="77777777" w:rsidR="0082666B" w:rsidRPr="007F42BD" w:rsidRDefault="0082666B" w:rsidP="0082666B">
      <w:pPr>
        <w:pStyle w:val="Akapitzlist"/>
        <w:numPr>
          <w:ilvl w:val="0"/>
          <w:numId w:val="18"/>
        </w:numPr>
        <w:spacing w:after="0" w:line="240" w:lineRule="auto"/>
        <w:jc w:val="both"/>
        <w:rPr>
          <w:rFonts w:ascii="Cambria" w:hAnsi="Cambria" w:cs="Times New Roman"/>
          <w:sz w:val="24"/>
          <w:szCs w:val="24"/>
        </w:rPr>
      </w:pPr>
      <w:r w:rsidRPr="007F42BD">
        <w:rPr>
          <w:rFonts w:ascii="Cambria" w:hAnsi="Cambria" w:cs="Times New Roman"/>
          <w:b/>
          <w:bCs/>
          <w:sz w:val="24"/>
          <w:szCs w:val="24"/>
        </w:rPr>
        <w:t>Organizacja i funkcjonowanie systemu szkolnictwa wyższego i nauki</w:t>
      </w:r>
      <w:r w:rsidRPr="007F42BD">
        <w:rPr>
          <w:rFonts w:ascii="Cambria" w:hAnsi="Cambria" w:cs="Times New Roman"/>
          <w:sz w:val="24"/>
          <w:szCs w:val="24"/>
        </w:rPr>
        <w:t>;</w:t>
      </w:r>
      <w:r>
        <w:rPr>
          <w:rFonts w:ascii="Cambria" w:hAnsi="Cambria" w:cs="Times New Roman"/>
          <w:sz w:val="24"/>
          <w:szCs w:val="24"/>
        </w:rPr>
        <w:t xml:space="preserve"> </w:t>
      </w:r>
    </w:p>
    <w:p w14:paraId="2EBB8F5D" w14:textId="1269761A" w:rsidR="0082666B" w:rsidRPr="00F866F3" w:rsidRDefault="0082666B" w:rsidP="00F866F3">
      <w:pPr>
        <w:pStyle w:val="Akapitzlist"/>
        <w:numPr>
          <w:ilvl w:val="0"/>
          <w:numId w:val="18"/>
        </w:numPr>
        <w:jc w:val="both"/>
        <w:rPr>
          <w:rFonts w:ascii="Cambria" w:hAnsi="Cambria" w:cs="Times New Roman"/>
          <w:b/>
          <w:bCs/>
          <w:sz w:val="24"/>
          <w:szCs w:val="24"/>
        </w:rPr>
      </w:pPr>
      <w:r w:rsidRPr="007F42BD">
        <w:rPr>
          <w:rFonts w:ascii="Cambria" w:hAnsi="Cambria" w:cs="Times New Roman"/>
          <w:b/>
          <w:bCs/>
          <w:sz w:val="24"/>
          <w:szCs w:val="24"/>
        </w:rPr>
        <w:t xml:space="preserve">Prawo pracy (zwłaszcza akademickie) </w:t>
      </w:r>
      <w:r w:rsidRPr="007F42BD">
        <w:rPr>
          <w:rFonts w:ascii="Cambria" w:hAnsi="Cambria" w:cs="Times New Roman"/>
          <w:sz w:val="24"/>
          <w:szCs w:val="24"/>
        </w:rPr>
        <w:t>z uwzględnieniem aktualnych wyzwań pandemicznych (COVID-19) oraz związków międzygałęziowych (perspektywa prawnoautorska i podatkowa);</w:t>
      </w:r>
    </w:p>
    <w:p w14:paraId="1427EEEE" w14:textId="72E4824F" w:rsidR="0082666B" w:rsidRPr="00FC0F82" w:rsidRDefault="0082666B" w:rsidP="00F866F3">
      <w:pPr>
        <w:pStyle w:val="Akapitzlist"/>
        <w:numPr>
          <w:ilvl w:val="0"/>
          <w:numId w:val="18"/>
        </w:numPr>
        <w:spacing w:after="0" w:line="240" w:lineRule="auto"/>
        <w:jc w:val="both"/>
        <w:rPr>
          <w:rFonts w:ascii="Cambria" w:hAnsi="Cambria" w:cs="Times New Roman"/>
          <w:b/>
          <w:bCs/>
          <w:sz w:val="24"/>
          <w:szCs w:val="24"/>
        </w:rPr>
      </w:pPr>
      <w:r w:rsidRPr="007F42BD">
        <w:rPr>
          <w:rFonts w:ascii="Cambria" w:hAnsi="Cambria" w:cs="Times New Roman"/>
          <w:b/>
          <w:bCs/>
          <w:sz w:val="24"/>
          <w:szCs w:val="24"/>
        </w:rPr>
        <w:t xml:space="preserve">Organizacja i funkcjonowanie prawniczych samorządów zawodowych oraz wykonywanie profesji prawniczych </w:t>
      </w:r>
      <w:r w:rsidRPr="007F42BD">
        <w:rPr>
          <w:rFonts w:ascii="Cambria" w:hAnsi="Cambria" w:cs="Times New Roman"/>
          <w:sz w:val="24"/>
          <w:szCs w:val="24"/>
        </w:rPr>
        <w:t>(z uwzględnieniem perspektywy prawnoporównawczej);</w:t>
      </w:r>
      <w:r>
        <w:rPr>
          <w:rFonts w:ascii="Cambria" w:hAnsi="Cambria" w:cs="Times New Roman"/>
          <w:sz w:val="24"/>
          <w:szCs w:val="24"/>
        </w:rPr>
        <w:t xml:space="preserve"> </w:t>
      </w:r>
    </w:p>
    <w:p w14:paraId="0A586796" w14:textId="51A150C5" w:rsidR="0082666B" w:rsidRPr="007F42BD" w:rsidRDefault="0082666B" w:rsidP="00F866F3">
      <w:pPr>
        <w:pStyle w:val="Akapitzlist"/>
        <w:numPr>
          <w:ilvl w:val="0"/>
          <w:numId w:val="18"/>
        </w:numPr>
        <w:spacing w:after="0" w:line="240" w:lineRule="auto"/>
        <w:jc w:val="both"/>
        <w:rPr>
          <w:rFonts w:ascii="Cambria" w:hAnsi="Cambria" w:cs="Times New Roman"/>
          <w:sz w:val="24"/>
          <w:szCs w:val="24"/>
        </w:rPr>
      </w:pPr>
      <w:r w:rsidRPr="007F42BD">
        <w:rPr>
          <w:rFonts w:ascii="Cambria" w:eastAsia="Times New Roman" w:hAnsi="Cambria"/>
          <w:b/>
          <w:bCs/>
          <w:sz w:val="24"/>
          <w:szCs w:val="24"/>
          <w:lang w:eastAsia="pl-PL"/>
        </w:rPr>
        <w:t>Prawo medyczne</w:t>
      </w:r>
      <w:r w:rsidR="006A2ACC">
        <w:rPr>
          <w:rFonts w:ascii="Cambria" w:eastAsia="Times New Roman" w:hAnsi="Cambria"/>
          <w:sz w:val="24"/>
          <w:szCs w:val="24"/>
          <w:lang w:eastAsia="pl-PL"/>
        </w:rPr>
        <w:t xml:space="preserve"> (</w:t>
      </w:r>
      <w:r w:rsidRPr="007F42BD">
        <w:rPr>
          <w:rFonts w:ascii="Cambria" w:eastAsia="Times New Roman" w:hAnsi="Cambria"/>
          <w:sz w:val="24"/>
          <w:szCs w:val="24"/>
          <w:lang w:eastAsia="pl-PL"/>
        </w:rPr>
        <w:t>w szczególności system preferencji podatkowych w kontekście świadczenia wybranych usług medycznych</w:t>
      </w:r>
      <w:r w:rsidR="006A2ACC">
        <w:rPr>
          <w:rFonts w:ascii="Cambria" w:eastAsia="Times New Roman" w:hAnsi="Cambria"/>
          <w:sz w:val="24"/>
          <w:szCs w:val="24"/>
          <w:lang w:eastAsia="pl-PL"/>
        </w:rPr>
        <w:t>)</w:t>
      </w:r>
      <w:r w:rsidRPr="007F42BD">
        <w:rPr>
          <w:rFonts w:ascii="Cambria" w:eastAsia="Times New Roman" w:hAnsi="Cambria"/>
          <w:sz w:val="24"/>
          <w:szCs w:val="24"/>
          <w:lang w:eastAsia="pl-PL"/>
        </w:rPr>
        <w:t xml:space="preserve">; </w:t>
      </w:r>
      <w:r w:rsidRPr="007F42BD">
        <w:rPr>
          <w:rFonts w:ascii="Cambria" w:eastAsia="Times New Roman" w:hAnsi="Cambria"/>
          <w:color w:val="FF0000"/>
          <w:sz w:val="24"/>
          <w:szCs w:val="24"/>
          <w:lang w:eastAsia="pl-PL"/>
        </w:rPr>
        <w:t xml:space="preserve"> </w:t>
      </w:r>
    </w:p>
    <w:p w14:paraId="6691BD40" w14:textId="06E507B5" w:rsidR="0082666B" w:rsidRPr="00D16AF0" w:rsidRDefault="0082666B" w:rsidP="00F866F3">
      <w:pPr>
        <w:pStyle w:val="Akapitzlist"/>
        <w:numPr>
          <w:ilvl w:val="0"/>
          <w:numId w:val="18"/>
        </w:numPr>
        <w:spacing w:after="0" w:line="240" w:lineRule="auto"/>
        <w:jc w:val="both"/>
        <w:rPr>
          <w:rFonts w:ascii="Cambria" w:hAnsi="Cambria" w:cs="Times New Roman"/>
          <w:sz w:val="24"/>
          <w:szCs w:val="24"/>
        </w:rPr>
      </w:pPr>
      <w:r w:rsidRPr="007F42BD">
        <w:rPr>
          <w:rFonts w:ascii="Cambria" w:hAnsi="Cambria" w:cs="Times New Roman"/>
          <w:b/>
          <w:bCs/>
          <w:sz w:val="24"/>
          <w:szCs w:val="24"/>
        </w:rPr>
        <w:t>Prawo finansów publicznych i prawo podatkowe</w:t>
      </w:r>
      <w:r w:rsidRPr="007F42BD">
        <w:rPr>
          <w:rFonts w:ascii="Cambria" w:hAnsi="Cambria" w:cs="Times New Roman"/>
          <w:sz w:val="24"/>
          <w:szCs w:val="24"/>
        </w:rPr>
        <w:t>, w szczególności w kontekście działalności prowadzonej przez jednostki szkolnictwa wyższego i nauki, świadczenia pomocy prawnej, oraz prowadzenia działalności o charakterze twórczym</w:t>
      </w:r>
      <w:r>
        <w:rPr>
          <w:rFonts w:ascii="Cambria" w:hAnsi="Cambria" w:cs="Times New Roman"/>
          <w:sz w:val="24"/>
          <w:szCs w:val="24"/>
        </w:rPr>
        <w:t>;</w:t>
      </w:r>
      <w:r w:rsidRPr="004E368A">
        <w:rPr>
          <w:rFonts w:ascii="Cambria" w:hAnsi="Cambria" w:cs="Times New Roman"/>
          <w:sz w:val="24"/>
          <w:szCs w:val="24"/>
        </w:rPr>
        <w:t xml:space="preserve"> </w:t>
      </w:r>
    </w:p>
    <w:p w14:paraId="45EBB7AC" w14:textId="6B32BF0A" w:rsidR="00F866F3" w:rsidRPr="00F866F3" w:rsidRDefault="0082666B" w:rsidP="00F866F3">
      <w:pPr>
        <w:pStyle w:val="Akapitzlist"/>
        <w:numPr>
          <w:ilvl w:val="0"/>
          <w:numId w:val="18"/>
        </w:numPr>
        <w:spacing w:after="0" w:line="240" w:lineRule="auto"/>
        <w:jc w:val="both"/>
        <w:rPr>
          <w:rFonts w:ascii="Cambria" w:eastAsia="Times New Roman" w:hAnsi="Cambria"/>
          <w:bCs/>
          <w:sz w:val="24"/>
          <w:szCs w:val="24"/>
          <w:lang w:eastAsia="pl-PL"/>
        </w:rPr>
      </w:pPr>
      <w:r w:rsidRPr="007F42BD">
        <w:rPr>
          <w:rFonts w:ascii="Cambria" w:hAnsi="Cambria" w:cs="Times New Roman"/>
          <w:b/>
          <w:bCs/>
          <w:sz w:val="24"/>
          <w:szCs w:val="24"/>
        </w:rPr>
        <w:lastRenderedPageBreak/>
        <w:t xml:space="preserve">Gwarancje stron w postępowaniu </w:t>
      </w:r>
      <w:r w:rsidR="006A2ACC">
        <w:rPr>
          <w:rFonts w:ascii="Cambria" w:hAnsi="Cambria" w:cs="Times New Roman"/>
          <w:b/>
          <w:bCs/>
          <w:sz w:val="24"/>
          <w:szCs w:val="24"/>
        </w:rPr>
        <w:t>sądowym</w:t>
      </w:r>
      <w:r w:rsidRPr="007F42BD">
        <w:rPr>
          <w:rFonts w:ascii="Cambria" w:hAnsi="Cambria" w:cs="Times New Roman"/>
          <w:b/>
          <w:bCs/>
          <w:sz w:val="24"/>
          <w:szCs w:val="24"/>
        </w:rPr>
        <w:t xml:space="preserve"> i </w:t>
      </w:r>
      <w:r w:rsidR="006A2ACC">
        <w:rPr>
          <w:rFonts w:ascii="Cambria" w:hAnsi="Cambria" w:cs="Times New Roman"/>
          <w:b/>
          <w:bCs/>
          <w:sz w:val="24"/>
          <w:szCs w:val="24"/>
        </w:rPr>
        <w:t>pozasądowym</w:t>
      </w:r>
      <w:r w:rsidRPr="007F42BD">
        <w:rPr>
          <w:rFonts w:ascii="Cambria" w:hAnsi="Cambria" w:cs="Times New Roman"/>
          <w:b/>
          <w:bCs/>
          <w:sz w:val="24"/>
          <w:szCs w:val="24"/>
        </w:rPr>
        <w:t xml:space="preserve">, z uwzględnieniem elementów prawa międzynarodowego i nowych technologii </w:t>
      </w:r>
      <w:r w:rsidRPr="006A2ACC">
        <w:rPr>
          <w:rFonts w:ascii="Cambria" w:hAnsi="Cambria" w:cs="Times New Roman"/>
          <w:sz w:val="24"/>
          <w:szCs w:val="24"/>
        </w:rPr>
        <w:t>(zwłaszcza w kontekście bezpieczeństwa publicznego);</w:t>
      </w:r>
      <w:r>
        <w:rPr>
          <w:rFonts w:ascii="Cambria" w:hAnsi="Cambria" w:cs="Times New Roman"/>
          <w:b/>
          <w:bCs/>
          <w:sz w:val="24"/>
          <w:szCs w:val="24"/>
        </w:rPr>
        <w:t xml:space="preserve"> </w:t>
      </w:r>
    </w:p>
    <w:p w14:paraId="3AFDEF90" w14:textId="77777777" w:rsidR="00F866F3" w:rsidRDefault="00F866F3" w:rsidP="00F866F3">
      <w:pPr>
        <w:spacing w:after="0" w:line="240" w:lineRule="auto"/>
        <w:jc w:val="both"/>
        <w:rPr>
          <w:rFonts w:ascii="Cambria" w:eastAsia="Times New Roman" w:hAnsi="Cambria"/>
          <w:b/>
          <w:bCs/>
          <w:sz w:val="24"/>
          <w:szCs w:val="24"/>
          <w:lang w:eastAsia="pl-PL"/>
        </w:rPr>
      </w:pPr>
    </w:p>
    <w:p w14:paraId="707D5F56" w14:textId="3ADC2AF9" w:rsidR="0082666B" w:rsidRPr="00F866F3" w:rsidRDefault="0082666B" w:rsidP="00F866F3">
      <w:pPr>
        <w:spacing w:after="0" w:line="240" w:lineRule="auto"/>
        <w:jc w:val="both"/>
        <w:rPr>
          <w:rFonts w:ascii="Cambria" w:eastAsia="Times New Roman" w:hAnsi="Cambria"/>
          <w:bCs/>
          <w:sz w:val="24"/>
          <w:szCs w:val="24"/>
          <w:lang w:eastAsia="pl-PL"/>
        </w:rPr>
      </w:pPr>
      <w:r w:rsidRPr="00F866F3">
        <w:rPr>
          <w:rFonts w:ascii="Cambria" w:eastAsia="Times New Roman" w:hAnsi="Cambria"/>
          <w:b/>
          <w:bCs/>
          <w:sz w:val="24"/>
          <w:szCs w:val="24"/>
          <w:lang w:eastAsia="pl-PL"/>
        </w:rPr>
        <w:t>Ad. 1</w:t>
      </w:r>
      <w:r w:rsidR="00F866F3">
        <w:rPr>
          <w:rFonts w:ascii="Cambria" w:eastAsia="Times New Roman" w:hAnsi="Cambria"/>
          <w:b/>
          <w:bCs/>
          <w:sz w:val="24"/>
          <w:szCs w:val="24"/>
          <w:lang w:eastAsia="pl-PL"/>
        </w:rPr>
        <w:t>)</w:t>
      </w:r>
      <w:r w:rsidRPr="00F866F3">
        <w:rPr>
          <w:rFonts w:ascii="Cambria" w:eastAsia="Times New Roman" w:hAnsi="Cambria"/>
          <w:b/>
          <w:bCs/>
          <w:sz w:val="24"/>
          <w:szCs w:val="24"/>
          <w:lang w:eastAsia="pl-PL"/>
        </w:rPr>
        <w:t xml:space="preserve"> Organizacja i funkcjonowanie systemu szkolnictwa wyższego i nauki</w:t>
      </w:r>
    </w:p>
    <w:p w14:paraId="14BF4EFF" w14:textId="77777777" w:rsidR="0082666B" w:rsidRPr="005C06CC" w:rsidRDefault="0082666B" w:rsidP="0082666B">
      <w:pPr>
        <w:spacing w:after="0" w:line="240" w:lineRule="auto"/>
        <w:jc w:val="both"/>
        <w:rPr>
          <w:rFonts w:ascii="Cambria" w:eastAsia="Times New Roman" w:hAnsi="Cambria"/>
          <w:bCs/>
          <w:sz w:val="24"/>
          <w:szCs w:val="24"/>
          <w:lang w:eastAsia="pl-PL"/>
        </w:rPr>
      </w:pPr>
    </w:p>
    <w:p w14:paraId="0A463DB8" w14:textId="48E8DD26" w:rsidR="0082666B" w:rsidRDefault="002E7DBC" w:rsidP="0082666B">
      <w:pPr>
        <w:spacing w:after="0" w:line="240" w:lineRule="auto"/>
        <w:jc w:val="both"/>
        <w:rPr>
          <w:rFonts w:ascii="Cambria" w:eastAsia="Times New Roman" w:hAnsi="Cambria"/>
          <w:bCs/>
          <w:sz w:val="24"/>
          <w:szCs w:val="24"/>
          <w:lang w:eastAsia="pl-PL"/>
        </w:rPr>
      </w:pPr>
      <w:r>
        <w:rPr>
          <w:rFonts w:ascii="Cambria" w:eastAsia="Times New Roman" w:hAnsi="Cambria"/>
          <w:bCs/>
          <w:sz w:val="24"/>
          <w:szCs w:val="24"/>
          <w:lang w:eastAsia="pl-PL"/>
        </w:rPr>
        <w:t xml:space="preserve">Problematykę związaną z </w:t>
      </w:r>
      <w:r w:rsidR="0082666B" w:rsidRPr="005C06CC">
        <w:rPr>
          <w:rFonts w:ascii="Cambria" w:eastAsia="Times New Roman" w:hAnsi="Cambria"/>
          <w:bCs/>
          <w:sz w:val="24"/>
          <w:szCs w:val="24"/>
          <w:lang w:eastAsia="pl-PL"/>
        </w:rPr>
        <w:t>niniejszym obszar</w:t>
      </w:r>
      <w:r w:rsidR="00353080">
        <w:rPr>
          <w:rFonts w:ascii="Cambria" w:eastAsia="Times New Roman" w:hAnsi="Cambria"/>
          <w:bCs/>
          <w:sz w:val="24"/>
          <w:szCs w:val="24"/>
          <w:lang w:eastAsia="pl-PL"/>
        </w:rPr>
        <w:t>em</w:t>
      </w:r>
      <w:r w:rsidR="0082666B" w:rsidRPr="005C06CC">
        <w:rPr>
          <w:rFonts w:ascii="Cambria" w:eastAsia="Times New Roman" w:hAnsi="Cambria"/>
          <w:bCs/>
          <w:sz w:val="24"/>
          <w:szCs w:val="24"/>
          <w:lang w:eastAsia="pl-PL"/>
        </w:rPr>
        <w:t xml:space="preserve"> badawczym </w:t>
      </w:r>
      <w:r w:rsidR="00353080">
        <w:rPr>
          <w:rFonts w:ascii="Cambria" w:eastAsia="Times New Roman" w:hAnsi="Cambria"/>
          <w:bCs/>
          <w:sz w:val="24"/>
          <w:szCs w:val="24"/>
          <w:lang w:eastAsia="pl-PL"/>
        </w:rPr>
        <w:t>rozwinięto w</w:t>
      </w:r>
      <w:r w:rsidR="0082666B" w:rsidRPr="005C06CC">
        <w:rPr>
          <w:rFonts w:ascii="Cambria" w:eastAsia="Times New Roman" w:hAnsi="Cambria"/>
          <w:bCs/>
          <w:sz w:val="24"/>
          <w:szCs w:val="24"/>
          <w:lang w:eastAsia="pl-PL"/>
        </w:rPr>
        <w:t xml:space="preserve"> publikacj</w:t>
      </w:r>
      <w:r w:rsidR="00353080">
        <w:rPr>
          <w:rFonts w:ascii="Cambria" w:eastAsia="Times New Roman" w:hAnsi="Cambria"/>
          <w:bCs/>
          <w:sz w:val="24"/>
          <w:szCs w:val="24"/>
          <w:lang w:eastAsia="pl-PL"/>
        </w:rPr>
        <w:t>ach</w:t>
      </w:r>
      <w:r w:rsidR="0082666B" w:rsidRPr="005C06CC">
        <w:rPr>
          <w:rFonts w:ascii="Cambria" w:eastAsia="Times New Roman" w:hAnsi="Cambria"/>
          <w:bCs/>
          <w:sz w:val="24"/>
          <w:szCs w:val="24"/>
          <w:lang w:eastAsia="pl-PL"/>
        </w:rPr>
        <w:t xml:space="preserve"> o charakterze</w:t>
      </w:r>
      <w:r w:rsidR="00353080">
        <w:rPr>
          <w:rFonts w:ascii="Cambria" w:eastAsia="Times New Roman" w:hAnsi="Cambria"/>
          <w:bCs/>
          <w:sz w:val="24"/>
          <w:szCs w:val="24"/>
          <w:lang w:eastAsia="pl-PL"/>
        </w:rPr>
        <w:t xml:space="preserve">: recenzowanej monografii naukowej, </w:t>
      </w:r>
      <w:r w:rsidR="0082666B" w:rsidRPr="005C06CC">
        <w:rPr>
          <w:rFonts w:ascii="Cambria" w:eastAsia="Times New Roman" w:hAnsi="Cambria"/>
          <w:bCs/>
          <w:sz w:val="24"/>
          <w:szCs w:val="24"/>
          <w:lang w:eastAsia="pl-PL"/>
        </w:rPr>
        <w:t xml:space="preserve">artykułów </w:t>
      </w:r>
      <w:r w:rsidR="0082666B">
        <w:rPr>
          <w:rFonts w:ascii="Cambria" w:eastAsia="Times New Roman" w:hAnsi="Cambria"/>
          <w:bCs/>
          <w:sz w:val="24"/>
          <w:szCs w:val="24"/>
          <w:lang w:eastAsia="pl-PL"/>
        </w:rPr>
        <w:t xml:space="preserve">w czasopismach </w:t>
      </w:r>
      <w:r w:rsidR="0082666B" w:rsidRPr="005C06CC">
        <w:rPr>
          <w:rFonts w:ascii="Cambria" w:eastAsia="Times New Roman" w:hAnsi="Cambria"/>
          <w:bCs/>
          <w:sz w:val="24"/>
          <w:szCs w:val="24"/>
          <w:lang w:eastAsia="pl-PL"/>
        </w:rPr>
        <w:t xml:space="preserve">naukowych, rozdziałów w </w:t>
      </w:r>
      <w:r w:rsidR="0082666B">
        <w:rPr>
          <w:rFonts w:ascii="Cambria" w:eastAsia="Times New Roman" w:hAnsi="Cambria"/>
          <w:bCs/>
          <w:sz w:val="24"/>
          <w:szCs w:val="24"/>
          <w:lang w:eastAsia="pl-PL"/>
        </w:rPr>
        <w:t xml:space="preserve">recenzowanych </w:t>
      </w:r>
      <w:r w:rsidR="0082666B" w:rsidRPr="005C06CC">
        <w:rPr>
          <w:rFonts w:ascii="Cambria" w:eastAsia="Times New Roman" w:hAnsi="Cambria"/>
          <w:bCs/>
          <w:sz w:val="24"/>
          <w:szCs w:val="24"/>
          <w:lang w:eastAsia="pl-PL"/>
        </w:rPr>
        <w:t>monografiach</w:t>
      </w:r>
      <w:r w:rsidR="00353080">
        <w:rPr>
          <w:rFonts w:ascii="Cambria" w:eastAsia="Times New Roman" w:hAnsi="Cambria"/>
          <w:bCs/>
          <w:sz w:val="24"/>
          <w:szCs w:val="24"/>
          <w:lang w:eastAsia="pl-PL"/>
        </w:rPr>
        <w:t xml:space="preserve"> naukowych</w:t>
      </w:r>
      <w:r w:rsidR="0082666B" w:rsidRPr="005C06CC">
        <w:rPr>
          <w:rFonts w:ascii="Cambria" w:eastAsia="Times New Roman" w:hAnsi="Cambria"/>
          <w:bCs/>
          <w:sz w:val="24"/>
          <w:szCs w:val="24"/>
          <w:lang w:eastAsia="pl-PL"/>
        </w:rPr>
        <w:t>, tj.:</w:t>
      </w:r>
    </w:p>
    <w:p w14:paraId="2878DF36" w14:textId="4017DD61" w:rsidR="00353080" w:rsidRDefault="00353080" w:rsidP="0082666B">
      <w:pPr>
        <w:spacing w:after="0" w:line="240" w:lineRule="auto"/>
        <w:jc w:val="both"/>
        <w:rPr>
          <w:rFonts w:ascii="Cambria" w:eastAsia="Times New Roman" w:hAnsi="Cambria"/>
          <w:bCs/>
          <w:sz w:val="24"/>
          <w:szCs w:val="24"/>
          <w:lang w:eastAsia="pl-PL"/>
        </w:rPr>
      </w:pPr>
    </w:p>
    <w:p w14:paraId="43BA6E58" w14:textId="592D6F71" w:rsidR="0082666B" w:rsidRPr="00260865" w:rsidRDefault="00353080" w:rsidP="0038603B">
      <w:pPr>
        <w:pStyle w:val="Akapitzlist"/>
        <w:numPr>
          <w:ilvl w:val="0"/>
          <w:numId w:val="31"/>
        </w:numPr>
        <w:spacing w:after="120" w:line="276" w:lineRule="auto"/>
        <w:ind w:hanging="357"/>
        <w:contextualSpacing w:val="0"/>
        <w:jc w:val="both"/>
        <w:rPr>
          <w:rFonts w:ascii="Cambria" w:eastAsia="Times New Roman" w:hAnsi="Cambria"/>
          <w:bCs/>
          <w:sz w:val="24"/>
          <w:szCs w:val="24"/>
          <w:u w:val="single"/>
          <w:lang w:eastAsia="pl-PL"/>
        </w:rPr>
      </w:pPr>
      <w:r>
        <w:rPr>
          <w:rFonts w:ascii="Cambria" w:eastAsia="Times New Roman" w:hAnsi="Cambria"/>
          <w:bCs/>
          <w:sz w:val="24"/>
          <w:szCs w:val="24"/>
          <w:u w:val="single"/>
          <w:lang w:eastAsia="pl-PL"/>
        </w:rPr>
        <w:t xml:space="preserve">Recenzowana monografia naukowa: </w:t>
      </w:r>
    </w:p>
    <w:p w14:paraId="62281024" w14:textId="5A41C28E" w:rsidR="0082666B" w:rsidRPr="00353080" w:rsidRDefault="0082666B" w:rsidP="0038603B">
      <w:pPr>
        <w:numPr>
          <w:ilvl w:val="0"/>
          <w:numId w:val="23"/>
        </w:numPr>
        <w:spacing w:after="120" w:line="276" w:lineRule="auto"/>
        <w:ind w:left="360" w:hanging="357"/>
        <w:jc w:val="both"/>
        <w:rPr>
          <w:rFonts w:ascii="Cambria" w:eastAsia="Times New Roman" w:hAnsi="Cambria"/>
          <w:i/>
          <w:iCs/>
          <w:sz w:val="24"/>
          <w:szCs w:val="24"/>
          <w:lang w:eastAsia="pl-PL"/>
        </w:rPr>
      </w:pPr>
      <w:r w:rsidRPr="005C06CC">
        <w:rPr>
          <w:rFonts w:ascii="Cambria" w:eastAsia="Times New Roman" w:hAnsi="Cambria"/>
          <w:i/>
          <w:iCs/>
          <w:sz w:val="24"/>
          <w:szCs w:val="24"/>
          <w:lang w:eastAsia="pl-PL"/>
        </w:rPr>
        <w:t>Autonomia publicznych uczelni akademickich w Polsce,</w:t>
      </w:r>
      <w:r w:rsidRPr="005C06CC">
        <w:rPr>
          <w:rFonts w:ascii="Cambria" w:eastAsia="Times New Roman" w:hAnsi="Cambria"/>
          <w:sz w:val="24"/>
          <w:szCs w:val="24"/>
          <w:lang w:eastAsia="pl-PL"/>
        </w:rPr>
        <w:t xml:space="preserve"> Wydawnictwo UMCS, Lublin 2022, ISBN 978-83-227-9620-7, ss. 764 </w:t>
      </w:r>
      <w:r w:rsidRPr="005C06CC">
        <w:rPr>
          <w:rFonts w:ascii="Cambria" w:eastAsia="Times New Roman" w:hAnsi="Cambria"/>
          <w:i/>
          <w:iCs/>
          <w:sz w:val="24"/>
          <w:szCs w:val="24"/>
          <w:lang w:eastAsia="pl-PL"/>
        </w:rPr>
        <w:t xml:space="preserve">(rozprawa habilitacyjna – zgłoszona jako </w:t>
      </w:r>
      <w:r w:rsidRPr="005C06CC">
        <w:rPr>
          <w:rFonts w:ascii="Cambria" w:hAnsi="Cambria"/>
          <w:i/>
          <w:iCs/>
          <w:sz w:val="24"/>
          <w:szCs w:val="24"/>
        </w:rPr>
        <w:t>osiągnięcie, o którym mowa w art. 219 ust. 1 pkt 2 lit. a ustawy z dnia 20 lipca 2018 r. Prawo o szkolnictwie wyższym i nauce (tekst jedn. Dz. U. z 2022 r., poz. 574 ze zm.);</w:t>
      </w:r>
    </w:p>
    <w:p w14:paraId="06F14BE7" w14:textId="2D7B6235" w:rsidR="0068401E" w:rsidRPr="00F67BF8" w:rsidRDefault="00353080" w:rsidP="0038603B">
      <w:pPr>
        <w:pStyle w:val="Akapitzlist"/>
        <w:numPr>
          <w:ilvl w:val="0"/>
          <w:numId w:val="31"/>
        </w:numPr>
        <w:spacing w:after="120" w:line="276" w:lineRule="auto"/>
        <w:ind w:hanging="357"/>
        <w:contextualSpacing w:val="0"/>
        <w:jc w:val="both"/>
        <w:rPr>
          <w:rFonts w:ascii="Cambria" w:eastAsia="Times New Roman" w:hAnsi="Cambria"/>
          <w:i/>
          <w:iCs/>
          <w:sz w:val="24"/>
          <w:szCs w:val="24"/>
          <w:lang w:eastAsia="pl-PL"/>
        </w:rPr>
      </w:pPr>
      <w:r w:rsidRPr="00A56946">
        <w:rPr>
          <w:rFonts w:ascii="Cambria" w:eastAsia="Times New Roman" w:hAnsi="Cambria"/>
          <w:sz w:val="24"/>
          <w:szCs w:val="24"/>
          <w:u w:val="single"/>
          <w:lang w:eastAsia="pl-PL"/>
        </w:rPr>
        <w:t>Artykuły w czas</w:t>
      </w:r>
      <w:r w:rsidR="00A56946" w:rsidRPr="00A56946">
        <w:rPr>
          <w:rFonts w:ascii="Cambria" w:eastAsia="Times New Roman" w:hAnsi="Cambria"/>
          <w:sz w:val="24"/>
          <w:szCs w:val="24"/>
          <w:u w:val="single"/>
          <w:lang w:eastAsia="pl-PL"/>
        </w:rPr>
        <w:t>opismach naukowych</w:t>
      </w:r>
      <w:r w:rsidR="00A56946">
        <w:rPr>
          <w:rFonts w:ascii="Cambria" w:eastAsia="Times New Roman" w:hAnsi="Cambria"/>
          <w:sz w:val="24"/>
          <w:szCs w:val="24"/>
          <w:lang w:eastAsia="pl-PL"/>
        </w:rPr>
        <w:t>:</w:t>
      </w:r>
    </w:p>
    <w:p w14:paraId="281F5B0F" w14:textId="2445F383" w:rsidR="0068401E" w:rsidRDefault="00A56946" w:rsidP="0038603B">
      <w:pPr>
        <w:pStyle w:val="Akapitzlist"/>
        <w:numPr>
          <w:ilvl w:val="0"/>
          <w:numId w:val="32"/>
        </w:numPr>
        <w:spacing w:after="120" w:line="276" w:lineRule="auto"/>
        <w:ind w:left="357" w:hanging="357"/>
        <w:contextualSpacing w:val="0"/>
        <w:jc w:val="both"/>
        <w:rPr>
          <w:rFonts w:ascii="Cambria" w:eastAsia="Times New Roman" w:hAnsi="Cambria"/>
          <w:sz w:val="24"/>
          <w:szCs w:val="24"/>
          <w:lang w:val="en-GB" w:eastAsia="pl-PL"/>
        </w:rPr>
      </w:pPr>
      <w:r w:rsidRPr="0068401E">
        <w:rPr>
          <w:rFonts w:ascii="Cambria" w:eastAsia="Times New Roman" w:hAnsi="Cambria"/>
          <w:i/>
          <w:iCs/>
          <w:sz w:val="24"/>
          <w:szCs w:val="24"/>
          <w:lang w:val="en-GB" w:eastAsia="pl-PL"/>
        </w:rPr>
        <w:t>The Idea of Universitas Studiorum in View of the Principle Guidelines of the Act 2.0. Some Reflections on the Mission of the Contemporary University</w:t>
      </w:r>
      <w:r w:rsidRPr="0068401E">
        <w:rPr>
          <w:rFonts w:ascii="Cambria" w:eastAsia="Times New Roman" w:hAnsi="Cambria"/>
          <w:sz w:val="24"/>
          <w:szCs w:val="24"/>
          <w:lang w:val="en-GB" w:eastAsia="pl-PL"/>
        </w:rPr>
        <w:t xml:space="preserve"> (współautor: P. Smoleń), </w:t>
      </w:r>
      <w:r w:rsidRPr="0068401E">
        <w:rPr>
          <w:rFonts w:ascii="Cambria" w:eastAsia="Times New Roman" w:hAnsi="Cambria"/>
          <w:i/>
          <w:iCs/>
          <w:sz w:val="24"/>
          <w:szCs w:val="24"/>
          <w:lang w:val="en-GB" w:eastAsia="pl-PL"/>
        </w:rPr>
        <w:t>„</w:t>
      </w:r>
      <w:r w:rsidRPr="0068401E">
        <w:rPr>
          <w:rFonts w:ascii="Cambria" w:eastAsia="Times New Roman" w:hAnsi="Cambria"/>
          <w:sz w:val="24"/>
          <w:szCs w:val="24"/>
          <w:lang w:val="en-GB" w:eastAsia="pl-PL"/>
        </w:rPr>
        <w:t xml:space="preserve">Roczniki Humanistyczne” 2021, vol. 69, nr 2, s. 213-242, DOI: </w:t>
      </w:r>
      <w:hyperlink r:id="rId9" w:history="1">
        <w:r w:rsidR="0068401E" w:rsidRPr="00CD51CD">
          <w:rPr>
            <w:rStyle w:val="Hipercze"/>
            <w:rFonts w:ascii="Cambria" w:eastAsia="Times New Roman" w:hAnsi="Cambria"/>
            <w:sz w:val="24"/>
            <w:szCs w:val="24"/>
            <w:lang w:val="en-GB" w:eastAsia="pl-PL"/>
          </w:rPr>
          <w:t>https://doi.org/10.18290/rh21692-9</w:t>
        </w:r>
      </w:hyperlink>
      <w:r w:rsidRPr="0068401E">
        <w:rPr>
          <w:rFonts w:ascii="Cambria" w:eastAsia="Times New Roman" w:hAnsi="Cambria"/>
          <w:sz w:val="24"/>
          <w:szCs w:val="24"/>
          <w:lang w:val="en-GB" w:eastAsia="pl-PL"/>
        </w:rPr>
        <w:t>;</w:t>
      </w:r>
    </w:p>
    <w:p w14:paraId="73519EE4" w14:textId="322D61B6" w:rsidR="0068401E" w:rsidRDefault="00A56946" w:rsidP="0038603B">
      <w:pPr>
        <w:pStyle w:val="Akapitzlist"/>
        <w:numPr>
          <w:ilvl w:val="0"/>
          <w:numId w:val="32"/>
        </w:numPr>
        <w:spacing w:after="120" w:line="276" w:lineRule="auto"/>
        <w:ind w:left="357" w:hanging="357"/>
        <w:contextualSpacing w:val="0"/>
        <w:jc w:val="both"/>
        <w:rPr>
          <w:rFonts w:ascii="Cambria" w:eastAsia="Times New Roman" w:hAnsi="Cambria"/>
          <w:sz w:val="24"/>
          <w:szCs w:val="24"/>
          <w:lang w:val="en-GB" w:eastAsia="pl-PL"/>
        </w:rPr>
      </w:pPr>
      <w:r w:rsidRPr="0068401E">
        <w:rPr>
          <w:rFonts w:ascii="Cambria" w:eastAsia="Times New Roman" w:hAnsi="Cambria"/>
          <w:i/>
          <w:iCs/>
          <w:sz w:val="24"/>
          <w:szCs w:val="24"/>
          <w:lang w:val="en-GB" w:eastAsia="pl-PL"/>
        </w:rPr>
        <w:t>Security of public funding and transformation of contemporary European universities</w:t>
      </w:r>
      <w:r w:rsidRPr="0068401E">
        <w:rPr>
          <w:rFonts w:ascii="Cambria" w:eastAsia="Times New Roman" w:hAnsi="Cambria"/>
          <w:sz w:val="24"/>
          <w:szCs w:val="24"/>
          <w:lang w:val="en-GB" w:eastAsia="pl-PL"/>
        </w:rPr>
        <w:t xml:space="preserve"> (współautor: P. Smoleń), </w:t>
      </w:r>
      <w:r w:rsidRPr="0068401E">
        <w:rPr>
          <w:rFonts w:ascii="Cambria" w:eastAsia="Times New Roman" w:hAnsi="Cambria"/>
          <w:i/>
          <w:iCs/>
          <w:sz w:val="24"/>
          <w:szCs w:val="24"/>
          <w:lang w:val="en-GB" w:eastAsia="pl-PL"/>
        </w:rPr>
        <w:t>„</w:t>
      </w:r>
      <w:r w:rsidRPr="0068401E">
        <w:rPr>
          <w:rFonts w:ascii="Cambria" w:eastAsia="Times New Roman" w:hAnsi="Cambria"/>
          <w:sz w:val="24"/>
          <w:szCs w:val="24"/>
          <w:lang w:val="en-GB" w:eastAsia="pl-PL"/>
        </w:rPr>
        <w:t xml:space="preserve">Teka Komisji Prawniczej PAN Oddział w Lublinie” 2021, vol. XIV, nr 1, s. 397-411, </w:t>
      </w:r>
      <w:hyperlink r:id="rId10" w:history="1">
        <w:r w:rsidR="0068401E" w:rsidRPr="00CD51CD">
          <w:rPr>
            <w:rStyle w:val="Hipercze"/>
            <w:rFonts w:ascii="Cambria" w:eastAsia="Times New Roman" w:hAnsi="Cambria"/>
            <w:sz w:val="24"/>
            <w:szCs w:val="24"/>
            <w:lang w:val="en-GB" w:eastAsia="pl-PL"/>
          </w:rPr>
          <w:t>https://doi.org/10.32084/tekapr.2021.14.1-33</w:t>
        </w:r>
      </w:hyperlink>
      <w:r w:rsidRPr="0068401E">
        <w:rPr>
          <w:rFonts w:ascii="Cambria" w:eastAsia="Times New Roman" w:hAnsi="Cambria"/>
          <w:sz w:val="24"/>
          <w:szCs w:val="24"/>
          <w:lang w:val="en-GB" w:eastAsia="pl-PL"/>
        </w:rPr>
        <w:t>;</w:t>
      </w:r>
    </w:p>
    <w:p w14:paraId="480B7A54" w14:textId="77777777" w:rsidR="000D00D1" w:rsidRDefault="00A56946" w:rsidP="0038603B">
      <w:pPr>
        <w:pStyle w:val="Akapitzlist"/>
        <w:numPr>
          <w:ilvl w:val="0"/>
          <w:numId w:val="32"/>
        </w:numPr>
        <w:spacing w:after="120" w:line="276" w:lineRule="auto"/>
        <w:ind w:left="357" w:hanging="357"/>
        <w:contextualSpacing w:val="0"/>
        <w:jc w:val="both"/>
        <w:rPr>
          <w:rFonts w:ascii="Cambria" w:eastAsia="Times New Roman" w:hAnsi="Cambria"/>
          <w:sz w:val="24"/>
          <w:szCs w:val="24"/>
          <w:lang w:eastAsia="pl-PL"/>
        </w:rPr>
      </w:pPr>
      <w:r w:rsidRPr="0068401E">
        <w:rPr>
          <w:rFonts w:ascii="Cambria" w:eastAsia="Times New Roman" w:hAnsi="Cambria"/>
          <w:i/>
          <w:iCs/>
          <w:sz w:val="24"/>
          <w:szCs w:val="24"/>
          <w:lang w:eastAsia="pl-PL"/>
        </w:rPr>
        <w:t>Kontrowersje wokół statusu prawnego i finansowania działalności Katolickiego Uniwersytetu Lubelskiego Jana Pawła II</w:t>
      </w:r>
      <w:r w:rsidRPr="0068401E">
        <w:rPr>
          <w:rFonts w:ascii="Cambria" w:eastAsia="Times New Roman" w:hAnsi="Cambria"/>
          <w:sz w:val="24"/>
          <w:szCs w:val="24"/>
          <w:lang w:eastAsia="pl-PL"/>
        </w:rPr>
        <w:t xml:space="preserve"> (współautor: P. Smoleń), „Teka Komisji Prawniczej PAN Oddział w Lublinie” 2019, vol. XII, nr 1, s. 283-299, </w:t>
      </w:r>
      <w:hyperlink r:id="rId11" w:history="1">
        <w:r w:rsidR="0068401E" w:rsidRPr="00CD51CD">
          <w:rPr>
            <w:rStyle w:val="Hipercze"/>
            <w:rFonts w:ascii="Cambria" w:eastAsia="Times New Roman" w:hAnsi="Cambria"/>
            <w:sz w:val="24"/>
            <w:szCs w:val="24"/>
            <w:lang w:eastAsia="pl-PL"/>
          </w:rPr>
          <w:t>https://doi.org/10.32084/tekapr.2019.12.1-21</w:t>
        </w:r>
      </w:hyperlink>
      <w:r w:rsidRPr="0068401E">
        <w:rPr>
          <w:rFonts w:ascii="Cambria" w:eastAsia="Times New Roman" w:hAnsi="Cambria"/>
          <w:sz w:val="24"/>
          <w:szCs w:val="24"/>
          <w:lang w:eastAsia="pl-PL"/>
        </w:rPr>
        <w:t>;</w:t>
      </w:r>
    </w:p>
    <w:p w14:paraId="7C9B01E8" w14:textId="250BD539" w:rsidR="000D00D1" w:rsidRPr="00260865" w:rsidRDefault="0068401E" w:rsidP="0038603B">
      <w:pPr>
        <w:pStyle w:val="Akapitzlist"/>
        <w:numPr>
          <w:ilvl w:val="0"/>
          <w:numId w:val="32"/>
        </w:numPr>
        <w:spacing w:after="120" w:line="276" w:lineRule="auto"/>
        <w:ind w:left="357" w:hanging="357"/>
        <w:contextualSpacing w:val="0"/>
        <w:jc w:val="both"/>
        <w:rPr>
          <w:rFonts w:ascii="Cambria" w:eastAsia="Times New Roman" w:hAnsi="Cambria"/>
          <w:sz w:val="24"/>
          <w:szCs w:val="24"/>
          <w:lang w:val="en-GB" w:eastAsia="pl-PL"/>
        </w:rPr>
      </w:pPr>
      <w:r w:rsidRPr="000D00D1">
        <w:rPr>
          <w:rFonts w:ascii="Cambria" w:eastAsia="Times New Roman" w:hAnsi="Cambria"/>
          <w:i/>
          <w:iCs/>
          <w:sz w:val="24"/>
          <w:szCs w:val="24"/>
          <w:lang w:val="en-GB" w:eastAsia="pl-PL"/>
        </w:rPr>
        <w:t xml:space="preserve">Evolution of modern standards of academic freedoms in Poland </w:t>
      </w:r>
      <w:r w:rsidRPr="000D00D1">
        <w:rPr>
          <w:rFonts w:ascii="Cambria" w:eastAsia="Times New Roman" w:hAnsi="Cambria"/>
          <w:sz w:val="24"/>
          <w:szCs w:val="24"/>
          <w:lang w:val="en-GB" w:eastAsia="pl-PL"/>
        </w:rPr>
        <w:t xml:space="preserve">(współautor: P. Smoleń), </w:t>
      </w:r>
      <w:r w:rsidRPr="000D00D1">
        <w:rPr>
          <w:rFonts w:ascii="Cambria" w:eastAsia="Times New Roman" w:hAnsi="Cambria"/>
          <w:i/>
          <w:iCs/>
          <w:sz w:val="24"/>
          <w:szCs w:val="24"/>
          <w:lang w:val="en-GB" w:eastAsia="pl-PL"/>
        </w:rPr>
        <w:t>„</w:t>
      </w:r>
      <w:r w:rsidRPr="000D00D1">
        <w:rPr>
          <w:rFonts w:ascii="Cambria" w:eastAsia="Times New Roman" w:hAnsi="Cambria"/>
          <w:sz w:val="24"/>
          <w:szCs w:val="24"/>
          <w:lang w:val="en-GB" w:eastAsia="pl-PL"/>
        </w:rPr>
        <w:t>Roczniki Humanistyczne” 2024, vol. 72, nr 1 (oddane do druku);</w:t>
      </w:r>
    </w:p>
    <w:p w14:paraId="68F2C0D5" w14:textId="77777777" w:rsidR="000D00D1" w:rsidRDefault="0068401E" w:rsidP="0038603B">
      <w:pPr>
        <w:pStyle w:val="Akapitzlist"/>
        <w:numPr>
          <w:ilvl w:val="0"/>
          <w:numId w:val="31"/>
        </w:numPr>
        <w:spacing w:after="120" w:line="276" w:lineRule="auto"/>
        <w:contextualSpacing w:val="0"/>
        <w:jc w:val="both"/>
        <w:rPr>
          <w:rFonts w:ascii="Cambria" w:eastAsia="Times New Roman" w:hAnsi="Cambria"/>
          <w:sz w:val="24"/>
          <w:szCs w:val="24"/>
          <w:lang w:eastAsia="pl-PL"/>
        </w:rPr>
      </w:pPr>
      <w:r w:rsidRPr="0068401E">
        <w:rPr>
          <w:rFonts w:ascii="Cambria" w:eastAsia="Times New Roman" w:hAnsi="Cambria"/>
          <w:sz w:val="24"/>
          <w:szCs w:val="24"/>
          <w:u w:val="single"/>
          <w:lang w:eastAsia="pl-PL"/>
        </w:rPr>
        <w:t>Rozdziały w recenzowanych monografiach naukowych</w:t>
      </w:r>
      <w:r>
        <w:rPr>
          <w:rFonts w:ascii="Cambria" w:eastAsia="Times New Roman" w:hAnsi="Cambria"/>
          <w:sz w:val="24"/>
          <w:szCs w:val="24"/>
          <w:lang w:eastAsia="pl-PL"/>
        </w:rPr>
        <w:t>:</w:t>
      </w:r>
    </w:p>
    <w:p w14:paraId="0557FA3E" w14:textId="77777777" w:rsidR="000D00D1" w:rsidRDefault="0082666B" w:rsidP="0038603B">
      <w:pPr>
        <w:pStyle w:val="Akapitzlist"/>
        <w:numPr>
          <w:ilvl w:val="0"/>
          <w:numId w:val="33"/>
        </w:numPr>
        <w:spacing w:after="120" w:line="276" w:lineRule="auto"/>
        <w:ind w:left="357" w:hanging="357"/>
        <w:contextualSpacing w:val="0"/>
        <w:jc w:val="both"/>
        <w:rPr>
          <w:rFonts w:ascii="Cambria" w:eastAsia="Times New Roman" w:hAnsi="Cambria"/>
          <w:sz w:val="24"/>
          <w:szCs w:val="24"/>
          <w:lang w:eastAsia="pl-PL"/>
        </w:rPr>
      </w:pPr>
      <w:r w:rsidRPr="000D00D1">
        <w:rPr>
          <w:rFonts w:ascii="Cambria" w:eastAsia="Times New Roman" w:hAnsi="Cambria"/>
          <w:i/>
          <w:iCs/>
          <w:sz w:val="24"/>
          <w:szCs w:val="24"/>
          <w:lang w:eastAsia="pl-PL"/>
        </w:rPr>
        <w:t>Wspólnota akademicka uczelni postępowej. Wyzwania i zagrożenia dla jej wewnątrzinstytucjonalnej integralności</w:t>
      </w:r>
      <w:r w:rsidRPr="000D00D1">
        <w:rPr>
          <w:rFonts w:ascii="Cambria" w:eastAsia="Times New Roman" w:hAnsi="Cambria"/>
          <w:sz w:val="24"/>
          <w:szCs w:val="24"/>
          <w:lang w:eastAsia="pl-PL"/>
        </w:rPr>
        <w:t xml:space="preserve">, [w:] </w:t>
      </w:r>
      <w:r w:rsidRPr="000D00D1">
        <w:rPr>
          <w:rFonts w:ascii="Cambria" w:eastAsia="Times New Roman" w:hAnsi="Cambria"/>
          <w:i/>
          <w:iCs/>
          <w:sz w:val="24"/>
          <w:szCs w:val="24"/>
          <w:lang w:eastAsia="pl-PL"/>
        </w:rPr>
        <w:t>Wybrane problemy badań bezpieczeństwa z perspektywy młodych naukowców</w:t>
      </w:r>
      <w:r w:rsidRPr="000D00D1">
        <w:rPr>
          <w:rFonts w:ascii="Cambria" w:eastAsia="Times New Roman" w:hAnsi="Cambria"/>
          <w:sz w:val="24"/>
          <w:szCs w:val="24"/>
          <w:lang w:eastAsia="pl-PL"/>
        </w:rPr>
        <w:t>, tom 1, red. R. Szynowski, Dąbrowa Górnicza 2022, Wydawnictwo Naukowe Akademii WSB, ISBN 978-83-66794-77-1, s. 207-220;</w:t>
      </w:r>
    </w:p>
    <w:p w14:paraId="2592E0F7" w14:textId="4ECC0E93" w:rsidR="000D00D1" w:rsidRPr="000D00D1" w:rsidRDefault="0082666B" w:rsidP="0038603B">
      <w:pPr>
        <w:pStyle w:val="Akapitzlist"/>
        <w:numPr>
          <w:ilvl w:val="0"/>
          <w:numId w:val="33"/>
        </w:numPr>
        <w:spacing w:after="120" w:line="276" w:lineRule="auto"/>
        <w:ind w:left="357" w:hanging="357"/>
        <w:contextualSpacing w:val="0"/>
        <w:jc w:val="both"/>
        <w:rPr>
          <w:rFonts w:ascii="Cambria" w:eastAsia="Times New Roman" w:hAnsi="Cambria"/>
          <w:sz w:val="24"/>
          <w:szCs w:val="24"/>
          <w:lang w:eastAsia="pl-PL"/>
        </w:rPr>
      </w:pPr>
      <w:r w:rsidRPr="000D00D1">
        <w:rPr>
          <w:rFonts w:ascii="Cambria" w:eastAsia="Times New Roman" w:hAnsi="Cambria"/>
          <w:i/>
          <w:iCs/>
          <w:sz w:val="24"/>
          <w:szCs w:val="24"/>
          <w:lang w:eastAsia="pl-PL"/>
        </w:rPr>
        <w:t>System preferencji dla „uczelni publicznych 2.0”. Kilka uwag w czasie pandemii COVID-19</w:t>
      </w:r>
      <w:r w:rsidRPr="000D00D1">
        <w:rPr>
          <w:rFonts w:ascii="Cambria" w:eastAsia="Times New Roman" w:hAnsi="Cambria"/>
          <w:sz w:val="24"/>
          <w:szCs w:val="24"/>
          <w:lang w:eastAsia="pl-PL"/>
        </w:rPr>
        <w:t xml:space="preserve">, [w:] </w:t>
      </w:r>
      <w:r w:rsidRPr="000D00D1">
        <w:rPr>
          <w:rFonts w:ascii="Cambria" w:eastAsia="Times New Roman" w:hAnsi="Cambria"/>
          <w:i/>
          <w:iCs/>
          <w:sz w:val="24"/>
          <w:szCs w:val="24"/>
          <w:lang w:eastAsia="pl-PL"/>
        </w:rPr>
        <w:t>System ochrony praw człowieka w Polsce w czasie wyzwań pandemicznych</w:t>
      </w:r>
      <w:r w:rsidRPr="000D00D1">
        <w:rPr>
          <w:rFonts w:ascii="Cambria" w:eastAsia="Times New Roman" w:hAnsi="Cambria"/>
          <w:sz w:val="24"/>
          <w:szCs w:val="24"/>
          <w:lang w:eastAsia="pl-PL"/>
        </w:rPr>
        <w:t>. Tom 3, red. J. Jaskiernia, K. Spryszak, Toruń 2022, Wydawnictwo Adam Marszałek, ISBN: 978-83-8180-541-4, s. 633-651;</w:t>
      </w:r>
    </w:p>
    <w:p w14:paraId="66829296" w14:textId="77777777" w:rsidR="000D00D1" w:rsidRDefault="0082666B" w:rsidP="0038603B">
      <w:pPr>
        <w:pStyle w:val="Akapitzlist"/>
        <w:numPr>
          <w:ilvl w:val="0"/>
          <w:numId w:val="33"/>
        </w:numPr>
        <w:spacing w:after="120" w:line="276" w:lineRule="auto"/>
        <w:ind w:left="357" w:hanging="357"/>
        <w:contextualSpacing w:val="0"/>
        <w:jc w:val="both"/>
        <w:rPr>
          <w:rFonts w:ascii="Cambria" w:eastAsia="Times New Roman" w:hAnsi="Cambria"/>
          <w:sz w:val="24"/>
          <w:szCs w:val="24"/>
          <w:lang w:eastAsia="pl-PL"/>
        </w:rPr>
      </w:pPr>
      <w:r w:rsidRPr="000D00D1">
        <w:rPr>
          <w:rFonts w:ascii="Cambria" w:eastAsia="Times New Roman" w:hAnsi="Cambria"/>
          <w:i/>
          <w:iCs/>
          <w:sz w:val="24"/>
          <w:szCs w:val="24"/>
          <w:lang w:val="en-GB" w:eastAsia="pl-PL"/>
        </w:rPr>
        <w:t>Redefinition of Goals and Tasks of the Progressive University. Contemporary Challenges and Threats for Poland</w:t>
      </w:r>
      <w:r w:rsidRPr="000D00D1">
        <w:rPr>
          <w:rFonts w:ascii="Cambria" w:eastAsia="Times New Roman" w:hAnsi="Cambria"/>
          <w:sz w:val="24"/>
          <w:szCs w:val="24"/>
          <w:lang w:val="en-GB" w:eastAsia="pl-PL"/>
        </w:rPr>
        <w:t xml:space="preserve">, [w:] </w:t>
      </w:r>
      <w:r w:rsidRPr="000D00D1">
        <w:rPr>
          <w:rFonts w:ascii="Cambria" w:eastAsia="Times New Roman" w:hAnsi="Cambria"/>
          <w:i/>
          <w:iCs/>
          <w:sz w:val="24"/>
          <w:szCs w:val="24"/>
          <w:lang w:val="en-GB" w:eastAsia="pl-PL"/>
        </w:rPr>
        <w:t xml:space="preserve">Globalizacja vs. Glokalizacja. </w:t>
      </w:r>
      <w:r w:rsidRPr="000D00D1">
        <w:rPr>
          <w:rFonts w:ascii="Cambria" w:eastAsia="Times New Roman" w:hAnsi="Cambria"/>
          <w:i/>
          <w:iCs/>
          <w:sz w:val="24"/>
          <w:szCs w:val="24"/>
          <w:lang w:eastAsia="pl-PL"/>
        </w:rPr>
        <w:t xml:space="preserve">Świat i Polska w czasach </w:t>
      </w:r>
      <w:r w:rsidRPr="000D00D1">
        <w:rPr>
          <w:rFonts w:ascii="Cambria" w:eastAsia="Times New Roman" w:hAnsi="Cambria"/>
          <w:i/>
          <w:iCs/>
          <w:sz w:val="24"/>
          <w:szCs w:val="24"/>
          <w:lang w:eastAsia="pl-PL"/>
        </w:rPr>
        <w:lastRenderedPageBreak/>
        <w:t>nowożytnych i najnowszych</w:t>
      </w:r>
      <w:r w:rsidRPr="000D00D1">
        <w:rPr>
          <w:rFonts w:ascii="Cambria" w:eastAsia="Times New Roman" w:hAnsi="Cambria"/>
          <w:sz w:val="24"/>
          <w:szCs w:val="24"/>
          <w:lang w:eastAsia="pl-PL"/>
        </w:rPr>
        <w:t>, red. M. Świstak, Łódź - Kielce 2021, ArchaeGraph, ISBN: 978-83-67074-30-8, s. 115-130;</w:t>
      </w:r>
    </w:p>
    <w:p w14:paraId="2C288916" w14:textId="77777777" w:rsidR="000D00D1" w:rsidRDefault="0082666B" w:rsidP="0038603B">
      <w:pPr>
        <w:pStyle w:val="Akapitzlist"/>
        <w:numPr>
          <w:ilvl w:val="0"/>
          <w:numId w:val="33"/>
        </w:numPr>
        <w:spacing w:after="120" w:line="276" w:lineRule="auto"/>
        <w:ind w:left="357" w:hanging="357"/>
        <w:contextualSpacing w:val="0"/>
        <w:jc w:val="both"/>
        <w:rPr>
          <w:rFonts w:ascii="Cambria" w:eastAsia="Times New Roman" w:hAnsi="Cambria"/>
          <w:sz w:val="24"/>
          <w:szCs w:val="24"/>
          <w:lang w:eastAsia="pl-PL"/>
        </w:rPr>
      </w:pPr>
      <w:r w:rsidRPr="000D00D1">
        <w:rPr>
          <w:rFonts w:ascii="Cambria" w:eastAsia="Times New Roman" w:hAnsi="Cambria"/>
          <w:i/>
          <w:iCs/>
          <w:sz w:val="24"/>
          <w:szCs w:val="24"/>
          <w:lang w:eastAsia="pl-PL"/>
        </w:rPr>
        <w:t>Konceptualizacja misji współczesnej uczelni. Uwagi na tle przepisów Prawa o szkolnictwie wyższym i nauce</w:t>
      </w:r>
      <w:r w:rsidRPr="000D00D1">
        <w:rPr>
          <w:rFonts w:ascii="Cambria" w:eastAsia="Times New Roman" w:hAnsi="Cambria"/>
          <w:sz w:val="24"/>
          <w:szCs w:val="24"/>
          <w:lang w:eastAsia="pl-PL"/>
        </w:rPr>
        <w:t xml:space="preserve">, [w:] </w:t>
      </w:r>
      <w:r w:rsidRPr="000D00D1">
        <w:rPr>
          <w:rFonts w:ascii="Cambria" w:eastAsia="Times New Roman" w:hAnsi="Cambria"/>
          <w:i/>
          <w:iCs/>
          <w:sz w:val="24"/>
          <w:szCs w:val="24"/>
          <w:lang w:eastAsia="pl-PL"/>
        </w:rPr>
        <w:t>Prawo i administracja. W poszukiwaniu optymalnych rozwiązań</w:t>
      </w:r>
      <w:r w:rsidRPr="000D00D1">
        <w:rPr>
          <w:rFonts w:ascii="Cambria" w:eastAsia="Times New Roman" w:hAnsi="Cambria"/>
          <w:sz w:val="24"/>
          <w:szCs w:val="24"/>
          <w:lang w:eastAsia="pl-PL"/>
        </w:rPr>
        <w:t>, red. M. Stanisławska, W. Zaborowski, Łódź - Kielce 2021, ArchaeGraph, ISBN: 978-83-66709-67-6, s. 275-287;</w:t>
      </w:r>
    </w:p>
    <w:p w14:paraId="6413D26E" w14:textId="77777777" w:rsidR="000D00D1" w:rsidRDefault="0082666B" w:rsidP="0038603B">
      <w:pPr>
        <w:pStyle w:val="Akapitzlist"/>
        <w:numPr>
          <w:ilvl w:val="0"/>
          <w:numId w:val="33"/>
        </w:numPr>
        <w:spacing w:after="120" w:line="276" w:lineRule="auto"/>
        <w:ind w:left="357" w:hanging="357"/>
        <w:contextualSpacing w:val="0"/>
        <w:jc w:val="both"/>
        <w:rPr>
          <w:rFonts w:ascii="Cambria" w:eastAsia="Times New Roman" w:hAnsi="Cambria"/>
          <w:sz w:val="24"/>
          <w:szCs w:val="24"/>
          <w:lang w:eastAsia="pl-PL"/>
        </w:rPr>
      </w:pPr>
      <w:r w:rsidRPr="000D00D1">
        <w:rPr>
          <w:rFonts w:ascii="Cambria" w:eastAsia="Times New Roman" w:hAnsi="Cambria"/>
          <w:i/>
          <w:iCs/>
          <w:sz w:val="24"/>
          <w:szCs w:val="24"/>
          <w:lang w:eastAsia="pl-PL"/>
        </w:rPr>
        <w:t>Konstrukt instytucjonalny uczelni publicznej. Główne założenia reformy 2.0</w:t>
      </w:r>
      <w:r w:rsidRPr="000D00D1">
        <w:rPr>
          <w:rFonts w:ascii="Cambria" w:eastAsia="Times New Roman" w:hAnsi="Cambria"/>
          <w:sz w:val="24"/>
          <w:szCs w:val="24"/>
          <w:lang w:eastAsia="pl-PL"/>
        </w:rPr>
        <w:t xml:space="preserve">, [w:] </w:t>
      </w:r>
      <w:r w:rsidRPr="000D00D1">
        <w:rPr>
          <w:rFonts w:ascii="Cambria" w:eastAsia="Times New Roman" w:hAnsi="Cambria"/>
          <w:i/>
          <w:iCs/>
          <w:sz w:val="24"/>
          <w:szCs w:val="24"/>
          <w:lang w:eastAsia="pl-PL"/>
        </w:rPr>
        <w:t>Ekonomia i zarządzanie wobec wyzwań współczesnego świata</w:t>
      </w:r>
      <w:r w:rsidRPr="000D00D1">
        <w:rPr>
          <w:rFonts w:ascii="Cambria" w:eastAsia="Times New Roman" w:hAnsi="Cambria"/>
          <w:sz w:val="24"/>
          <w:szCs w:val="24"/>
          <w:lang w:eastAsia="pl-PL"/>
        </w:rPr>
        <w:t>, red. M. Tomczyk, K. Kwiecień, Łódź – Kielce 2021, ArchaeGraph, ISBN: 978-83-66709-66-9, s. 257-270;</w:t>
      </w:r>
    </w:p>
    <w:p w14:paraId="1E04539D" w14:textId="77777777" w:rsidR="000D00D1" w:rsidRDefault="0082666B" w:rsidP="0038603B">
      <w:pPr>
        <w:pStyle w:val="Akapitzlist"/>
        <w:numPr>
          <w:ilvl w:val="0"/>
          <w:numId w:val="33"/>
        </w:numPr>
        <w:spacing w:after="120" w:line="276" w:lineRule="auto"/>
        <w:ind w:left="357" w:hanging="357"/>
        <w:contextualSpacing w:val="0"/>
        <w:jc w:val="both"/>
        <w:rPr>
          <w:rFonts w:ascii="Cambria" w:eastAsia="Times New Roman" w:hAnsi="Cambria"/>
          <w:sz w:val="24"/>
          <w:szCs w:val="24"/>
          <w:lang w:eastAsia="pl-PL"/>
        </w:rPr>
      </w:pPr>
      <w:r w:rsidRPr="000D00D1">
        <w:rPr>
          <w:rFonts w:ascii="Cambria" w:eastAsia="Times New Roman" w:hAnsi="Cambria"/>
          <w:i/>
          <w:iCs/>
          <w:sz w:val="24"/>
          <w:szCs w:val="24"/>
          <w:lang w:eastAsia="pl-PL"/>
        </w:rPr>
        <w:t>Procesy konsolidacji „Uniwersytetu 2.0” na tle globalnych europejskich trendów w szkolnictwie wyższym. Wybrana problematyka</w:t>
      </w:r>
      <w:r w:rsidRPr="000D00D1">
        <w:rPr>
          <w:rFonts w:ascii="Cambria" w:eastAsia="Times New Roman" w:hAnsi="Cambria"/>
          <w:sz w:val="24"/>
          <w:szCs w:val="24"/>
          <w:lang w:eastAsia="pl-PL"/>
        </w:rPr>
        <w:t xml:space="preserve">, [w:] </w:t>
      </w:r>
      <w:r w:rsidRPr="000D00D1">
        <w:rPr>
          <w:rFonts w:ascii="Cambria" w:eastAsia="Times New Roman" w:hAnsi="Cambria"/>
          <w:i/>
          <w:iCs/>
          <w:sz w:val="24"/>
          <w:szCs w:val="24"/>
          <w:lang w:eastAsia="pl-PL"/>
        </w:rPr>
        <w:t>Globalizacja vs. Glokalizacja. Europa i Polska w czasach nowożytnych i najnowszych</w:t>
      </w:r>
      <w:r w:rsidRPr="000D00D1">
        <w:rPr>
          <w:rFonts w:ascii="Cambria" w:eastAsia="Times New Roman" w:hAnsi="Cambria"/>
          <w:sz w:val="24"/>
          <w:szCs w:val="24"/>
          <w:lang w:eastAsia="pl-PL"/>
        </w:rPr>
        <w:t>, red. S. Osojca – Kozłowska, Łódź-Kielce 2021, ArchaeGraph, ISBN 978-83-67074-10-0, s. 87-95;</w:t>
      </w:r>
    </w:p>
    <w:p w14:paraId="12AB0415" w14:textId="77777777" w:rsidR="000D00D1" w:rsidRPr="000D00D1" w:rsidRDefault="00F866F3" w:rsidP="0038603B">
      <w:pPr>
        <w:pStyle w:val="Akapitzlist"/>
        <w:numPr>
          <w:ilvl w:val="0"/>
          <w:numId w:val="33"/>
        </w:numPr>
        <w:spacing w:after="120" w:line="276" w:lineRule="auto"/>
        <w:ind w:left="357" w:hanging="357"/>
        <w:contextualSpacing w:val="0"/>
        <w:jc w:val="both"/>
        <w:rPr>
          <w:rFonts w:ascii="Cambria" w:eastAsia="Times New Roman" w:hAnsi="Cambria"/>
          <w:sz w:val="24"/>
          <w:szCs w:val="24"/>
          <w:lang w:eastAsia="pl-PL"/>
        </w:rPr>
      </w:pPr>
      <w:r w:rsidRPr="000D00D1">
        <w:rPr>
          <w:rFonts w:ascii="Cambria" w:hAnsi="Cambria"/>
          <w:i/>
          <w:iCs/>
          <w:sz w:val="24"/>
          <w:szCs w:val="24"/>
        </w:rPr>
        <w:t xml:space="preserve">Uczelnie publiczne jako jednostki systemu szkolnictwa wyższego i nauki. Kilka uwag prawnoorganizacyjnych w czasie pandemii wirusa SARS-CoV-2 </w:t>
      </w:r>
      <w:r w:rsidRPr="000D00D1">
        <w:rPr>
          <w:rFonts w:ascii="Cambria" w:hAnsi="Cambria"/>
          <w:sz w:val="24"/>
          <w:szCs w:val="24"/>
        </w:rPr>
        <w:t>(oddane do druku - monografia pokonferencyjna Studenckiego Koła Naukowego Prawników – wydanie październik 2022)</w:t>
      </w:r>
      <w:r w:rsidRPr="000D00D1">
        <w:rPr>
          <w:rFonts w:ascii="Cambria" w:eastAsia="Times New Roman" w:hAnsi="Cambria"/>
          <w:i/>
          <w:iCs/>
          <w:sz w:val="24"/>
          <w:szCs w:val="24"/>
          <w:lang w:eastAsia="pl-PL"/>
        </w:rPr>
        <w:t>;</w:t>
      </w:r>
    </w:p>
    <w:p w14:paraId="44C4627E" w14:textId="68116990" w:rsidR="00F866F3" w:rsidRPr="000D00D1" w:rsidRDefault="00F866F3" w:rsidP="0038603B">
      <w:pPr>
        <w:pStyle w:val="Akapitzlist"/>
        <w:numPr>
          <w:ilvl w:val="0"/>
          <w:numId w:val="33"/>
        </w:numPr>
        <w:spacing w:after="120" w:line="276" w:lineRule="auto"/>
        <w:ind w:left="357" w:hanging="357"/>
        <w:contextualSpacing w:val="0"/>
        <w:jc w:val="both"/>
        <w:rPr>
          <w:rFonts w:ascii="Cambria" w:eastAsia="Times New Roman" w:hAnsi="Cambria"/>
          <w:sz w:val="24"/>
          <w:szCs w:val="24"/>
          <w:lang w:eastAsia="pl-PL"/>
        </w:rPr>
      </w:pPr>
      <w:r w:rsidRPr="000D00D1">
        <w:rPr>
          <w:rFonts w:ascii="Times New Roman" w:eastAsia="Times New Roman" w:hAnsi="Times New Roman"/>
          <w:bCs/>
          <w:i/>
          <w:iCs/>
          <w:sz w:val="24"/>
          <w:szCs w:val="24"/>
          <w:lang w:val="en-GB" w:eastAsia="pl-PL"/>
        </w:rPr>
        <w:t xml:space="preserve">Public universities facing pandemic challenges. </w:t>
      </w:r>
      <w:r w:rsidRPr="000D00D1">
        <w:rPr>
          <w:rFonts w:ascii="Times New Roman" w:eastAsia="Times New Roman" w:hAnsi="Times New Roman"/>
          <w:bCs/>
          <w:i/>
          <w:iCs/>
          <w:sz w:val="24"/>
          <w:szCs w:val="24"/>
          <w:lang w:eastAsia="pl-PL"/>
        </w:rPr>
        <w:t xml:space="preserve">Selected issues, </w:t>
      </w:r>
      <w:r w:rsidRPr="000D00D1">
        <w:rPr>
          <w:rFonts w:ascii="Times New Roman" w:eastAsia="Times New Roman" w:hAnsi="Times New Roman"/>
          <w:bCs/>
          <w:sz w:val="24"/>
          <w:szCs w:val="24"/>
          <w:lang w:eastAsia="pl-PL"/>
        </w:rPr>
        <w:t xml:space="preserve">[w:] </w:t>
      </w:r>
      <w:r w:rsidRPr="000D00D1">
        <w:rPr>
          <w:rFonts w:ascii="Times New Roman" w:eastAsia="Times New Roman" w:hAnsi="Times New Roman"/>
          <w:bCs/>
          <w:i/>
          <w:iCs/>
          <w:sz w:val="24"/>
          <w:szCs w:val="24"/>
          <w:lang w:eastAsia="pl-PL"/>
        </w:rPr>
        <w:t>System ochrony praw człowieka drugiej generacji wobec nowych wyzwań cywilizacyjnych</w:t>
      </w:r>
      <w:r w:rsidRPr="000D00D1">
        <w:rPr>
          <w:rFonts w:ascii="Times New Roman" w:eastAsia="Times New Roman" w:hAnsi="Times New Roman"/>
          <w:bCs/>
          <w:sz w:val="24"/>
          <w:szCs w:val="24"/>
          <w:lang w:eastAsia="pl-PL"/>
        </w:rPr>
        <w:t>, red. J. Jaskiernia, K. Spryszak, Wydawnictwo Adam Marszałek, Kielce 2022 (</w:t>
      </w:r>
      <w:r w:rsidR="000D00D1">
        <w:rPr>
          <w:rFonts w:ascii="Times New Roman" w:eastAsia="Times New Roman" w:hAnsi="Times New Roman"/>
          <w:bCs/>
          <w:sz w:val="24"/>
          <w:szCs w:val="24"/>
          <w:lang w:eastAsia="pl-PL"/>
        </w:rPr>
        <w:t xml:space="preserve">oddane do druku - </w:t>
      </w:r>
      <w:r w:rsidRPr="000D00D1">
        <w:rPr>
          <w:rFonts w:ascii="Times New Roman" w:eastAsia="Times New Roman" w:hAnsi="Times New Roman"/>
          <w:bCs/>
          <w:sz w:val="24"/>
          <w:szCs w:val="24"/>
          <w:lang w:eastAsia="pl-PL"/>
        </w:rPr>
        <w:t>monografia pokonferencyjna – planowany druk 12.2022);</w:t>
      </w:r>
    </w:p>
    <w:p w14:paraId="66B6AE3E" w14:textId="2C9480CB" w:rsidR="0082666B" w:rsidRPr="005C06CC" w:rsidRDefault="0082666B" w:rsidP="0082666B">
      <w:pPr>
        <w:spacing w:after="0" w:line="240" w:lineRule="auto"/>
        <w:ind w:firstLine="708"/>
        <w:jc w:val="both"/>
        <w:rPr>
          <w:rFonts w:ascii="Cambria" w:eastAsia="Times New Roman" w:hAnsi="Cambria"/>
          <w:bCs/>
          <w:sz w:val="24"/>
          <w:szCs w:val="24"/>
          <w:lang w:eastAsia="pl-PL"/>
        </w:rPr>
      </w:pPr>
      <w:r w:rsidRPr="005C06CC">
        <w:rPr>
          <w:rFonts w:ascii="Cambria" w:eastAsia="Times New Roman" w:hAnsi="Cambria"/>
          <w:bCs/>
          <w:sz w:val="24"/>
          <w:szCs w:val="24"/>
        </w:rPr>
        <w:t>Obszar badawczy związany z organizacją i funkcjonowaniem jednostek systemu szkolnictwa wyższego i nauki tworzy bardzo szeroką sferę do naukowej eksploracji. Obejmuje nie tylko elementy instytucjonalne (konstrukcyjne) związane ze specyficznym charakterem podmiotów współtworzących</w:t>
      </w:r>
      <w:r>
        <w:rPr>
          <w:rFonts w:ascii="Cambria" w:eastAsia="Times New Roman" w:hAnsi="Cambria"/>
          <w:bCs/>
          <w:sz w:val="24"/>
          <w:szCs w:val="24"/>
        </w:rPr>
        <w:t xml:space="preserve"> system szkolnictwa wyższego i nauki</w:t>
      </w:r>
      <w:r w:rsidRPr="005C06CC">
        <w:rPr>
          <w:rFonts w:ascii="Cambria" w:eastAsia="Times New Roman" w:hAnsi="Cambria"/>
          <w:bCs/>
          <w:sz w:val="24"/>
          <w:szCs w:val="24"/>
        </w:rPr>
        <w:t xml:space="preserve">, ale i ideowe (zwłaszcza w kontekście </w:t>
      </w:r>
      <w:r>
        <w:rPr>
          <w:rFonts w:ascii="Cambria" w:eastAsia="Times New Roman" w:hAnsi="Cambria"/>
          <w:bCs/>
          <w:sz w:val="24"/>
          <w:szCs w:val="24"/>
        </w:rPr>
        <w:t xml:space="preserve">rekonstrukcji </w:t>
      </w:r>
      <w:r w:rsidRPr="005C06CC">
        <w:rPr>
          <w:rFonts w:ascii="Cambria" w:eastAsia="Times New Roman" w:hAnsi="Cambria"/>
          <w:bCs/>
          <w:sz w:val="24"/>
          <w:szCs w:val="24"/>
        </w:rPr>
        <w:t xml:space="preserve">wzorca </w:t>
      </w:r>
      <w:r>
        <w:rPr>
          <w:rFonts w:ascii="Cambria" w:eastAsia="Times New Roman" w:hAnsi="Cambria"/>
          <w:bCs/>
          <w:sz w:val="24"/>
          <w:szCs w:val="24"/>
        </w:rPr>
        <w:t>uniwersyteckiego</w:t>
      </w:r>
      <w:r w:rsidRPr="005C06CC">
        <w:rPr>
          <w:rFonts w:ascii="Cambria" w:eastAsia="Times New Roman" w:hAnsi="Cambria"/>
          <w:bCs/>
          <w:sz w:val="24"/>
          <w:szCs w:val="24"/>
        </w:rPr>
        <w:t>).</w:t>
      </w:r>
      <w:r>
        <w:rPr>
          <w:rFonts w:ascii="Cambria" w:eastAsia="Times New Roman" w:hAnsi="Cambria"/>
          <w:bCs/>
          <w:sz w:val="24"/>
          <w:szCs w:val="24"/>
        </w:rPr>
        <w:t xml:space="preserve"> </w:t>
      </w:r>
      <w:r w:rsidRPr="005C06CC">
        <w:rPr>
          <w:rFonts w:ascii="Cambria" w:eastAsia="Times New Roman" w:hAnsi="Cambria"/>
          <w:bCs/>
          <w:sz w:val="24"/>
          <w:szCs w:val="24"/>
        </w:rPr>
        <w:t xml:space="preserve">Geneza instytucji uniwersytetu w modelu europejskim sięga co najmniej czasu Średniowiecza (jeśli nie nawet Starożytności, kiedy to również można upatrywać jego prawzorów). Trudności z odkodowaniem uniwersyteckiego konstruktu ideowego potęguje jego genotypiczna zmienność, adaptowalność do </w:t>
      </w:r>
      <w:r w:rsidR="006A2ACC">
        <w:rPr>
          <w:rFonts w:ascii="Cambria" w:eastAsia="Times New Roman" w:hAnsi="Cambria"/>
          <w:bCs/>
          <w:sz w:val="24"/>
          <w:szCs w:val="24"/>
        </w:rPr>
        <w:t>transformujących</w:t>
      </w:r>
      <w:r w:rsidRPr="005C06CC">
        <w:rPr>
          <w:rFonts w:ascii="Cambria" w:eastAsia="Times New Roman" w:hAnsi="Cambria"/>
          <w:bCs/>
          <w:sz w:val="24"/>
          <w:szCs w:val="24"/>
        </w:rPr>
        <w:t xml:space="preserve"> warunków społeczno – gospodarczych. Wydaje się, iż obecnie trwa kolejny etap wyzwań wynikających z postępującego, wielowymiarowego procesu weryfikacji modelu </w:t>
      </w:r>
      <w:r w:rsidRPr="005C06CC">
        <w:rPr>
          <w:rFonts w:ascii="Cambria" w:eastAsia="Times New Roman" w:hAnsi="Cambria"/>
          <w:bCs/>
          <w:sz w:val="24"/>
          <w:szCs w:val="24"/>
          <w:lang w:eastAsia="pl-PL"/>
        </w:rPr>
        <w:t xml:space="preserve">uniwersytetu klasycznego W. von Humboldta. Zarysowuje się tendencja, która pokazuje, że po powszechnej recepcji idei uniwersytetu przedsiębiorczego, uniwersytet europejski staje przed koniecznością adaptacji do gospodarki opartej na wiedzy i rozwoju nowych technologii, co skutkuje kształtowaniem się nowego </w:t>
      </w:r>
      <w:r>
        <w:rPr>
          <w:rFonts w:ascii="Cambria" w:eastAsia="Times New Roman" w:hAnsi="Cambria"/>
          <w:bCs/>
          <w:sz w:val="24"/>
          <w:szCs w:val="24"/>
          <w:lang w:eastAsia="pl-PL"/>
        </w:rPr>
        <w:t>modelu</w:t>
      </w:r>
      <w:r w:rsidRPr="005C06CC">
        <w:rPr>
          <w:rFonts w:ascii="Cambria" w:eastAsia="Times New Roman" w:hAnsi="Cambria"/>
          <w:bCs/>
          <w:sz w:val="24"/>
          <w:szCs w:val="24"/>
          <w:lang w:eastAsia="pl-PL"/>
        </w:rPr>
        <w:t xml:space="preserve"> – „uniwersytetu progresywnego”. Intensywność oddziaływań mechanizmów rynkowych, zmienność potrzeb społeczno-gospodarczych determinują trajektorię uniwersyteckich transformacji. Powoduje to permanentną niestabilność (a zarazem napięcie) pomiędzy konserwatyzmem a dążeniem do postępu. Trwające zmagania na tej płaszczyźnie uwidoczniły się również w kierunkach działań reformatorskich podejmowanych wobec polskich uczelni. </w:t>
      </w:r>
    </w:p>
    <w:p w14:paraId="09476681" w14:textId="77777777" w:rsidR="0082666B" w:rsidRPr="005C06CC" w:rsidRDefault="0082666B" w:rsidP="0082666B">
      <w:pPr>
        <w:spacing w:after="0" w:line="240" w:lineRule="auto"/>
        <w:ind w:firstLine="708"/>
        <w:jc w:val="both"/>
        <w:rPr>
          <w:rFonts w:ascii="Cambria" w:eastAsia="Times New Roman" w:hAnsi="Cambria"/>
          <w:bCs/>
          <w:sz w:val="24"/>
          <w:szCs w:val="24"/>
          <w:lang w:val="en-GB" w:eastAsia="pl-PL"/>
        </w:rPr>
      </w:pPr>
      <w:r w:rsidRPr="005C06CC">
        <w:rPr>
          <w:rFonts w:ascii="Cambria" w:eastAsia="Times New Roman" w:hAnsi="Cambria"/>
          <w:bCs/>
          <w:sz w:val="24"/>
          <w:szCs w:val="24"/>
          <w:lang w:eastAsia="pl-PL"/>
        </w:rPr>
        <w:t xml:space="preserve">W analizowanym obszarze badawczym, wśród celów badawczych wskazać wypada podjęcie próby oceny i weryfikacji głównych założeń (a następnie efektów </w:t>
      </w:r>
      <w:r w:rsidRPr="005C06CC">
        <w:rPr>
          <w:rFonts w:ascii="Cambria" w:eastAsia="Times New Roman" w:hAnsi="Cambria"/>
          <w:bCs/>
          <w:sz w:val="24"/>
          <w:szCs w:val="24"/>
          <w:lang w:eastAsia="pl-PL"/>
        </w:rPr>
        <w:lastRenderedPageBreak/>
        <w:t>recepcji) ostatnich, kompleksowych zmian legislacyjnych - tzw. reformy 2.0 (zwłaszcza z punktu widzenia kierunku ewolucji modelu uczelni na tle współczesnych trendów i zagrożeń  w przestrzeni europejskiej</w:t>
      </w:r>
      <w:r>
        <w:rPr>
          <w:rFonts w:ascii="Cambria" w:eastAsia="Times New Roman" w:hAnsi="Cambria"/>
          <w:bCs/>
          <w:sz w:val="24"/>
          <w:szCs w:val="24"/>
          <w:lang w:eastAsia="pl-PL"/>
        </w:rPr>
        <w:t>)</w:t>
      </w:r>
      <w:r w:rsidRPr="005C06CC">
        <w:rPr>
          <w:rFonts w:ascii="Cambria" w:eastAsia="Times New Roman" w:hAnsi="Cambria"/>
          <w:bCs/>
          <w:sz w:val="24"/>
          <w:szCs w:val="24"/>
          <w:lang w:eastAsia="pl-PL"/>
        </w:rPr>
        <w:t xml:space="preserve">. W tym kontekście, nie można było pominąć problematyki dotyczącej współczesnej misji uczelni i miejsca, jakie w jej krajobrazie zajmuje wspólnota akademicka. Wspomnianą tematykę rozwinięto zwłaszcza w publikacjach: </w:t>
      </w:r>
      <w:r w:rsidRPr="005C06CC">
        <w:rPr>
          <w:rFonts w:ascii="Cambria" w:eastAsia="Times New Roman" w:hAnsi="Cambria"/>
          <w:i/>
          <w:iCs/>
          <w:sz w:val="24"/>
          <w:szCs w:val="24"/>
          <w:lang w:eastAsia="pl-PL"/>
        </w:rPr>
        <w:t>Wspólnota akademicka uczelni postępowej. Wyzwania i zagrożenia dla jej wewnątrzinstytucjonalnej integralności</w:t>
      </w:r>
      <w:r w:rsidRPr="005C06CC">
        <w:rPr>
          <w:rFonts w:ascii="Cambria" w:eastAsia="Times New Roman" w:hAnsi="Cambria"/>
          <w:sz w:val="24"/>
          <w:szCs w:val="24"/>
          <w:lang w:eastAsia="pl-PL"/>
        </w:rPr>
        <w:t xml:space="preserve">, [w:] </w:t>
      </w:r>
      <w:r w:rsidRPr="005C06CC">
        <w:rPr>
          <w:rFonts w:ascii="Cambria" w:eastAsia="Times New Roman" w:hAnsi="Cambria"/>
          <w:i/>
          <w:iCs/>
          <w:sz w:val="24"/>
          <w:szCs w:val="24"/>
          <w:lang w:eastAsia="pl-PL"/>
        </w:rPr>
        <w:t>Wybrane problemy badań bezpieczeństwa z perspektywy młodych naukowców</w:t>
      </w:r>
      <w:r w:rsidRPr="005C06CC">
        <w:rPr>
          <w:rFonts w:ascii="Cambria" w:eastAsia="Times New Roman" w:hAnsi="Cambria"/>
          <w:sz w:val="24"/>
          <w:szCs w:val="24"/>
          <w:lang w:eastAsia="pl-PL"/>
        </w:rPr>
        <w:t xml:space="preserve">, tom 1, red. </w:t>
      </w:r>
      <w:r w:rsidRPr="005C06CC">
        <w:rPr>
          <w:rFonts w:ascii="Cambria" w:eastAsia="Times New Roman" w:hAnsi="Cambria"/>
          <w:sz w:val="24"/>
          <w:szCs w:val="24"/>
          <w:lang w:val="en-GB" w:eastAsia="pl-PL"/>
        </w:rPr>
        <w:t xml:space="preserve">R. Szynowski, Dąbrowa Górnicza 2022, Wydawnictwo Naukowe Akademii WSB, ISBN 978-83-66794-77-1, s. 207-220; </w:t>
      </w:r>
      <w:r w:rsidRPr="005C06CC">
        <w:rPr>
          <w:rFonts w:ascii="Cambria" w:eastAsia="Times New Roman" w:hAnsi="Cambria"/>
          <w:bCs/>
          <w:i/>
          <w:iCs/>
          <w:sz w:val="24"/>
          <w:szCs w:val="24"/>
          <w:lang w:val="en-GB" w:eastAsia="pl-PL"/>
        </w:rPr>
        <w:t>Redefinition of Goals and Tasks of the Progressive University. Contemporary Challenges and Threats for Poland</w:t>
      </w:r>
      <w:r w:rsidRPr="005C06CC">
        <w:rPr>
          <w:rFonts w:ascii="Cambria" w:eastAsia="Times New Roman" w:hAnsi="Cambria"/>
          <w:bCs/>
          <w:sz w:val="24"/>
          <w:szCs w:val="24"/>
          <w:lang w:val="en-GB" w:eastAsia="pl-PL"/>
        </w:rPr>
        <w:t xml:space="preserve">, [w:] </w:t>
      </w:r>
      <w:r w:rsidRPr="005C06CC">
        <w:rPr>
          <w:rFonts w:ascii="Cambria" w:eastAsia="Times New Roman" w:hAnsi="Cambria"/>
          <w:bCs/>
          <w:i/>
          <w:iCs/>
          <w:sz w:val="24"/>
          <w:szCs w:val="24"/>
          <w:lang w:val="en-GB" w:eastAsia="pl-PL"/>
        </w:rPr>
        <w:t xml:space="preserve">Globalizacja vs. Glokalizacja. </w:t>
      </w:r>
      <w:r w:rsidRPr="005C06CC">
        <w:rPr>
          <w:rFonts w:ascii="Cambria" w:eastAsia="Times New Roman" w:hAnsi="Cambria"/>
          <w:bCs/>
          <w:i/>
          <w:iCs/>
          <w:sz w:val="24"/>
          <w:szCs w:val="24"/>
          <w:lang w:eastAsia="pl-PL"/>
        </w:rPr>
        <w:t>Świat i Polska w czasach nowożytnych i najnowszych</w:t>
      </w:r>
      <w:r w:rsidRPr="005C06CC">
        <w:rPr>
          <w:rFonts w:ascii="Cambria" w:eastAsia="Times New Roman" w:hAnsi="Cambria"/>
          <w:bCs/>
          <w:sz w:val="24"/>
          <w:szCs w:val="24"/>
          <w:lang w:eastAsia="pl-PL"/>
        </w:rPr>
        <w:t xml:space="preserve">, red. M. Świstak, Łódź - Kielce 2021, </w:t>
      </w:r>
      <w:r w:rsidRPr="009E32AA">
        <w:rPr>
          <w:rFonts w:ascii="Cambria" w:eastAsia="Times New Roman" w:hAnsi="Cambria"/>
          <w:bCs/>
          <w:sz w:val="24"/>
          <w:szCs w:val="24"/>
          <w:lang w:eastAsia="pl-PL"/>
        </w:rPr>
        <w:t>ArchaeGraph</w:t>
      </w:r>
      <w:r>
        <w:rPr>
          <w:rFonts w:ascii="Cambria" w:eastAsia="Times New Roman" w:hAnsi="Cambria"/>
          <w:bCs/>
          <w:sz w:val="24"/>
          <w:szCs w:val="24"/>
          <w:lang w:eastAsia="pl-PL"/>
        </w:rPr>
        <w:t xml:space="preserve">, </w:t>
      </w:r>
      <w:r w:rsidRPr="005C06CC">
        <w:rPr>
          <w:rFonts w:ascii="Cambria" w:eastAsia="Times New Roman" w:hAnsi="Cambria"/>
          <w:bCs/>
          <w:sz w:val="24"/>
          <w:szCs w:val="24"/>
          <w:lang w:eastAsia="pl-PL"/>
        </w:rPr>
        <w:t xml:space="preserve">ISBN: 978-83-67074-30-8, s. 115-130; </w:t>
      </w:r>
      <w:r w:rsidRPr="005C06CC">
        <w:rPr>
          <w:rFonts w:ascii="Cambria" w:eastAsia="Times New Roman" w:hAnsi="Cambria"/>
          <w:bCs/>
          <w:i/>
          <w:iCs/>
          <w:sz w:val="24"/>
          <w:szCs w:val="24"/>
          <w:lang w:eastAsia="pl-PL"/>
        </w:rPr>
        <w:t>Konceptualizacja misji współczesnej uczelni. Uwagi na tle przepisów Prawa o szkolnictwie wyższym i nauce</w:t>
      </w:r>
      <w:r w:rsidRPr="005C06CC">
        <w:rPr>
          <w:rFonts w:ascii="Cambria" w:eastAsia="Times New Roman" w:hAnsi="Cambria"/>
          <w:bCs/>
          <w:sz w:val="24"/>
          <w:szCs w:val="24"/>
          <w:lang w:eastAsia="pl-PL"/>
        </w:rPr>
        <w:t xml:space="preserve">, [w:] </w:t>
      </w:r>
      <w:r w:rsidRPr="005C06CC">
        <w:rPr>
          <w:rFonts w:ascii="Cambria" w:eastAsia="Times New Roman" w:hAnsi="Cambria"/>
          <w:bCs/>
          <w:i/>
          <w:iCs/>
          <w:sz w:val="24"/>
          <w:szCs w:val="24"/>
          <w:lang w:eastAsia="pl-PL"/>
        </w:rPr>
        <w:t xml:space="preserve">Prawo i administracja. </w:t>
      </w:r>
      <w:r w:rsidRPr="005C06CC">
        <w:rPr>
          <w:rFonts w:ascii="Cambria" w:eastAsia="Times New Roman" w:hAnsi="Cambria"/>
          <w:bCs/>
          <w:i/>
          <w:iCs/>
          <w:sz w:val="24"/>
          <w:szCs w:val="24"/>
          <w:lang w:val="en-GB" w:eastAsia="pl-PL"/>
        </w:rPr>
        <w:t>W poszukiwaniu optymalnych rozwiązań</w:t>
      </w:r>
      <w:r w:rsidRPr="005C06CC">
        <w:rPr>
          <w:rFonts w:ascii="Cambria" w:eastAsia="Times New Roman" w:hAnsi="Cambria"/>
          <w:bCs/>
          <w:sz w:val="24"/>
          <w:szCs w:val="24"/>
          <w:lang w:val="en-GB" w:eastAsia="pl-PL"/>
        </w:rPr>
        <w:t xml:space="preserve">, red. M. Stanisławska, W. Zaborowski, Łódź - Kielce 2021, </w:t>
      </w:r>
      <w:r w:rsidRPr="00EC274F">
        <w:rPr>
          <w:rFonts w:ascii="Cambria" w:eastAsia="Times New Roman" w:hAnsi="Cambria"/>
          <w:bCs/>
          <w:sz w:val="24"/>
          <w:szCs w:val="24"/>
          <w:lang w:val="en-GB" w:eastAsia="pl-PL"/>
        </w:rPr>
        <w:t>ArchaeGraph</w:t>
      </w:r>
      <w:r>
        <w:rPr>
          <w:rFonts w:ascii="Cambria" w:eastAsia="Times New Roman" w:hAnsi="Cambria"/>
          <w:bCs/>
          <w:sz w:val="24"/>
          <w:szCs w:val="24"/>
          <w:lang w:val="en-GB" w:eastAsia="pl-PL"/>
        </w:rPr>
        <w:t xml:space="preserve">, </w:t>
      </w:r>
      <w:r w:rsidRPr="005C06CC">
        <w:rPr>
          <w:rFonts w:ascii="Cambria" w:eastAsia="Times New Roman" w:hAnsi="Cambria"/>
          <w:bCs/>
          <w:sz w:val="24"/>
          <w:szCs w:val="24"/>
          <w:lang w:val="en-GB" w:eastAsia="pl-PL"/>
        </w:rPr>
        <w:t xml:space="preserve">ISBN: 978-83-66709-67-6, s. 275-287; </w:t>
      </w:r>
      <w:r w:rsidRPr="005C06CC">
        <w:rPr>
          <w:rFonts w:ascii="Cambria" w:eastAsia="Times New Roman" w:hAnsi="Cambria"/>
          <w:bCs/>
          <w:i/>
          <w:iCs/>
          <w:sz w:val="24"/>
          <w:szCs w:val="24"/>
          <w:lang w:val="en-GB" w:eastAsia="pl-PL"/>
        </w:rPr>
        <w:t xml:space="preserve">The Idea of Universitas Studiorum in View of the Principle Guidelines of the Act 2.0. Some Reflections on the Mission of the Contemporary University </w:t>
      </w:r>
      <w:r w:rsidRPr="005C06CC">
        <w:rPr>
          <w:rFonts w:ascii="Cambria" w:eastAsia="Times New Roman" w:hAnsi="Cambria"/>
          <w:bCs/>
          <w:sz w:val="24"/>
          <w:szCs w:val="24"/>
          <w:lang w:val="en-GB" w:eastAsia="pl-PL"/>
        </w:rPr>
        <w:t xml:space="preserve">(współautor: P. Smoleń), „Roczniki Humanistyczne” 2021, vol. 69, nr 2, s. 213-242, DOI: https://doi.org/10.18290/rh21692-9; </w:t>
      </w:r>
      <w:r w:rsidRPr="005C06CC">
        <w:rPr>
          <w:rFonts w:ascii="Cambria" w:eastAsia="Times New Roman" w:hAnsi="Cambria"/>
          <w:bCs/>
          <w:i/>
          <w:iCs/>
          <w:sz w:val="24"/>
          <w:szCs w:val="24"/>
          <w:lang w:val="en-GB" w:eastAsia="pl-PL"/>
        </w:rPr>
        <w:t>Evolution of modern standards of academic freedoms in Poland</w:t>
      </w:r>
      <w:r w:rsidRPr="005C06CC">
        <w:rPr>
          <w:rFonts w:ascii="Cambria" w:eastAsia="Times New Roman" w:hAnsi="Cambria"/>
          <w:bCs/>
          <w:sz w:val="24"/>
          <w:szCs w:val="24"/>
          <w:lang w:val="en-GB" w:eastAsia="pl-PL"/>
        </w:rPr>
        <w:t xml:space="preserve"> (współautor: P. Smoleń), „Roczniki Humanistyczne” 2024, vol. 72, nr 1 (oddane do druku). </w:t>
      </w:r>
    </w:p>
    <w:p w14:paraId="13341E82" w14:textId="25D71747" w:rsidR="0082666B" w:rsidRPr="005C06CC" w:rsidRDefault="0082666B" w:rsidP="0082666B">
      <w:pPr>
        <w:spacing w:after="0" w:line="240" w:lineRule="auto"/>
        <w:ind w:firstLine="708"/>
        <w:jc w:val="both"/>
        <w:rPr>
          <w:rFonts w:ascii="Cambria" w:eastAsia="Times New Roman" w:hAnsi="Cambria"/>
          <w:bCs/>
          <w:sz w:val="24"/>
          <w:szCs w:val="24"/>
          <w:lang w:eastAsia="pl-PL"/>
        </w:rPr>
      </w:pPr>
      <w:r w:rsidRPr="005C06CC">
        <w:rPr>
          <w:rFonts w:ascii="Cambria" w:eastAsia="Times New Roman" w:hAnsi="Cambria"/>
          <w:bCs/>
          <w:sz w:val="24"/>
          <w:szCs w:val="24"/>
          <w:lang w:eastAsia="pl-PL"/>
        </w:rPr>
        <w:t xml:space="preserve">W ramach przeprowadzonych badań </w:t>
      </w:r>
      <w:r w:rsidR="00AC748B">
        <w:rPr>
          <w:rFonts w:ascii="Cambria" w:eastAsia="Times New Roman" w:hAnsi="Cambria"/>
          <w:bCs/>
          <w:sz w:val="24"/>
          <w:szCs w:val="24"/>
          <w:lang w:eastAsia="pl-PL"/>
        </w:rPr>
        <w:t>postawiono</w:t>
      </w:r>
      <w:r>
        <w:rPr>
          <w:rFonts w:ascii="Cambria" w:eastAsia="Times New Roman" w:hAnsi="Cambria"/>
          <w:bCs/>
          <w:sz w:val="24"/>
          <w:szCs w:val="24"/>
          <w:lang w:eastAsia="pl-PL"/>
        </w:rPr>
        <w:t xml:space="preserve"> kilka tez. P</w:t>
      </w:r>
      <w:r w:rsidRPr="005C06CC">
        <w:rPr>
          <w:rFonts w:ascii="Cambria" w:eastAsia="Times New Roman" w:hAnsi="Cambria"/>
          <w:bCs/>
          <w:sz w:val="24"/>
          <w:szCs w:val="24"/>
          <w:lang w:eastAsia="pl-PL"/>
        </w:rPr>
        <w:t xml:space="preserve">o pierwsze, że uczelnie w polskim systemie szkolnictwa wyższego i nauki wciąż zajmują (i powinny zajmować) kluczowe miejsce. Nie ustają także w czynieniu wysiłków w celu zachowania nie tylko należnej sobie pozycji prawnoorganizacyjnej, ale i finansowej (co jest niezmiernie trudne pośród wielu innych, konkurencyjnych celów politycznych i społecznych). Stanowiąc organizm żywy, wciąż poddawane są próbie czasu (ze względu na zmiany historyczne, polityczne i społeczno-gospodarcze). Po drugie, pomimo upływu tak długiego czasu i zmieniających się okoliczności </w:t>
      </w:r>
      <w:r>
        <w:rPr>
          <w:rFonts w:ascii="Cambria" w:eastAsia="Times New Roman" w:hAnsi="Cambria"/>
          <w:bCs/>
          <w:sz w:val="24"/>
          <w:szCs w:val="24"/>
          <w:lang w:eastAsia="pl-PL"/>
        </w:rPr>
        <w:t xml:space="preserve">i trwających rekonstrukcji, </w:t>
      </w:r>
      <w:r w:rsidRPr="005C06CC">
        <w:rPr>
          <w:rFonts w:ascii="Cambria" w:eastAsia="Times New Roman" w:hAnsi="Cambria"/>
          <w:bCs/>
          <w:sz w:val="24"/>
          <w:szCs w:val="24"/>
          <w:lang w:eastAsia="pl-PL"/>
        </w:rPr>
        <w:t>klasyczne wzorce wciąż stanowią punkt odniesienia w prowadzonym dyskursie na temat ich przyszłości. Przeprowadzona analiza zróżnicowanych poglądów doktryny tak krajowej, jak i zagranicznej pozw</w:t>
      </w:r>
      <w:r>
        <w:rPr>
          <w:rFonts w:ascii="Cambria" w:eastAsia="Times New Roman" w:hAnsi="Cambria"/>
          <w:bCs/>
          <w:sz w:val="24"/>
          <w:szCs w:val="24"/>
          <w:lang w:eastAsia="pl-PL"/>
        </w:rPr>
        <w:t>oliła</w:t>
      </w:r>
      <w:r w:rsidRPr="005C06CC">
        <w:rPr>
          <w:rFonts w:ascii="Cambria" w:eastAsia="Times New Roman" w:hAnsi="Cambria"/>
          <w:bCs/>
          <w:sz w:val="24"/>
          <w:szCs w:val="24"/>
          <w:lang w:eastAsia="pl-PL"/>
        </w:rPr>
        <w:t xml:space="preserve"> postawić tezę, że powinno się poszukiwać rozwiązania będącego swoistym złotym środkiem. Binarność stanowisk (od zanegowania nowoczesności po przyjęcie biznesowego podejścia odrzucającego aspekty wspólnotowości tkwiące w klasycznym, humboldtowskim wzorcu) nie stanowi odpowiedzi na wyzwania współczesności takie jak: demokratyzacja, globalizacja (a zarazem także regionalizacja), polaryzacja, marginalizacja, fragmentaryzacja (a zarazem i konsolidacja) oraz internacjonalizacja (</w:t>
      </w:r>
      <w:r>
        <w:rPr>
          <w:rFonts w:ascii="Cambria" w:eastAsia="Times New Roman" w:hAnsi="Cambria"/>
          <w:bCs/>
          <w:sz w:val="24"/>
          <w:szCs w:val="24"/>
          <w:lang w:eastAsia="pl-PL"/>
        </w:rPr>
        <w:t xml:space="preserve">problematykę rozwinięto zwłaszcza w publikacji pt. </w:t>
      </w:r>
      <w:r w:rsidRPr="005C06CC">
        <w:rPr>
          <w:rFonts w:ascii="Cambria" w:eastAsia="Times New Roman" w:hAnsi="Cambria"/>
          <w:bCs/>
          <w:i/>
          <w:iCs/>
          <w:sz w:val="24"/>
          <w:szCs w:val="24"/>
          <w:lang w:eastAsia="pl-PL"/>
        </w:rPr>
        <w:t>Procesy konsolidacji „Uniwersytetu 2.0” na tle globalnych europejskich trendów w szkolnictwie wyższym. Wybrana problematyka</w:t>
      </w:r>
      <w:r w:rsidRPr="005C06CC">
        <w:rPr>
          <w:rFonts w:ascii="Cambria" w:eastAsia="Times New Roman" w:hAnsi="Cambria"/>
          <w:bCs/>
          <w:sz w:val="24"/>
          <w:szCs w:val="24"/>
          <w:lang w:eastAsia="pl-PL"/>
        </w:rPr>
        <w:t xml:space="preserve">, [w:] </w:t>
      </w:r>
      <w:r w:rsidRPr="005C06CC">
        <w:rPr>
          <w:rFonts w:ascii="Cambria" w:eastAsia="Times New Roman" w:hAnsi="Cambria"/>
          <w:bCs/>
          <w:i/>
          <w:iCs/>
          <w:sz w:val="24"/>
          <w:szCs w:val="24"/>
          <w:lang w:eastAsia="pl-PL"/>
        </w:rPr>
        <w:t>Globalizacja vs. Glokalizacja. Europa i Polska w czasach nowożytnych i najnowszych</w:t>
      </w:r>
      <w:r w:rsidRPr="005C06CC">
        <w:rPr>
          <w:rFonts w:ascii="Cambria" w:eastAsia="Times New Roman" w:hAnsi="Cambria"/>
          <w:bCs/>
          <w:sz w:val="24"/>
          <w:szCs w:val="24"/>
          <w:lang w:eastAsia="pl-PL"/>
        </w:rPr>
        <w:t xml:space="preserve">, red. S. Osojca – Kozłowska, Łódź-Kielce 2021, </w:t>
      </w:r>
      <w:r w:rsidRPr="008A76B0">
        <w:rPr>
          <w:rFonts w:ascii="Cambria" w:eastAsia="Times New Roman" w:hAnsi="Cambria"/>
          <w:bCs/>
          <w:sz w:val="24"/>
          <w:szCs w:val="24"/>
          <w:lang w:eastAsia="pl-PL"/>
        </w:rPr>
        <w:t>ArchaeGraph</w:t>
      </w:r>
      <w:r>
        <w:rPr>
          <w:rFonts w:ascii="Cambria" w:eastAsia="Times New Roman" w:hAnsi="Cambria"/>
          <w:bCs/>
          <w:sz w:val="24"/>
          <w:szCs w:val="24"/>
          <w:lang w:eastAsia="pl-PL"/>
        </w:rPr>
        <w:t xml:space="preserve">, </w:t>
      </w:r>
      <w:r w:rsidRPr="005C06CC">
        <w:rPr>
          <w:rFonts w:ascii="Cambria" w:eastAsia="Times New Roman" w:hAnsi="Cambria"/>
          <w:bCs/>
          <w:sz w:val="24"/>
          <w:szCs w:val="24"/>
          <w:lang w:eastAsia="pl-PL"/>
        </w:rPr>
        <w:t>ISBN 978-83-67074-10-0, s. 87-95).</w:t>
      </w:r>
    </w:p>
    <w:p w14:paraId="51832B2E" w14:textId="77777777" w:rsidR="0082666B" w:rsidRPr="005C06CC" w:rsidRDefault="0082666B" w:rsidP="0082666B">
      <w:pPr>
        <w:spacing w:after="0" w:line="240" w:lineRule="auto"/>
        <w:ind w:firstLine="708"/>
        <w:jc w:val="both"/>
        <w:rPr>
          <w:rFonts w:ascii="Cambria" w:eastAsia="Times New Roman" w:hAnsi="Cambria"/>
          <w:bCs/>
          <w:sz w:val="24"/>
          <w:szCs w:val="24"/>
          <w:lang w:eastAsia="pl-PL"/>
        </w:rPr>
      </w:pPr>
      <w:r w:rsidRPr="005C06CC">
        <w:rPr>
          <w:rFonts w:ascii="Cambria" w:eastAsia="Times New Roman" w:hAnsi="Cambria"/>
          <w:bCs/>
          <w:sz w:val="24"/>
          <w:szCs w:val="24"/>
          <w:lang w:eastAsia="pl-PL"/>
        </w:rPr>
        <w:t xml:space="preserve">Uczelnie, chcąc utrzymać swoją szczególną pozycję w społeczeństwie, powinny przeprowadzić redefinicję swoich celów, sposobu ich realizacji, na nowo określając ramy kształtujące ich tożsamość (także w aspekcie wspólnotowym). Niezbędne zatem okazało się przyjęcie postawy badawczej, zmierzającej do ukazania kierunków ewolucji uczelni od modelu wspólnoty nauczanych i nauczających do modelu korporacyjnego na tle kontekstu historyczno-ideowego i normatywnego przepisów ustawy z dnia 20 lipca 2018 r. Prawo o szkolnictwie wyższym i nauce (tekst jedn. Dz. U. z 2022 r., poz. 574 ze zm., dalej </w:t>
      </w:r>
      <w:r w:rsidRPr="005C06CC">
        <w:rPr>
          <w:rFonts w:ascii="Cambria" w:eastAsia="Times New Roman" w:hAnsi="Cambria"/>
          <w:bCs/>
          <w:sz w:val="24"/>
          <w:szCs w:val="24"/>
          <w:lang w:eastAsia="pl-PL"/>
        </w:rPr>
        <w:lastRenderedPageBreak/>
        <w:t xml:space="preserve">cyt. jako </w:t>
      </w:r>
      <w:r w:rsidRPr="00AC748B">
        <w:rPr>
          <w:rFonts w:ascii="Cambria" w:eastAsia="Times New Roman" w:hAnsi="Cambria"/>
          <w:bCs/>
          <w:sz w:val="24"/>
          <w:szCs w:val="24"/>
          <w:lang w:eastAsia="pl-PL"/>
        </w:rPr>
        <w:t>„p.s.w.n.”</w:t>
      </w:r>
      <w:r w:rsidRPr="005C06CC">
        <w:rPr>
          <w:rFonts w:ascii="Cambria" w:eastAsia="Times New Roman" w:hAnsi="Cambria"/>
          <w:bCs/>
          <w:sz w:val="24"/>
          <w:szCs w:val="24"/>
          <w:lang w:eastAsia="pl-PL"/>
        </w:rPr>
        <w:t>). W ten sposób można próbować udzielić odpowiedzi, jakie miejsce zajmują współczesne uczelnie w przestrzeni społeczno-gospodarczej, szczególnie w kontekście ich tożsamości. Podjęte przez Polskę działania legislacyjne związane z przeprowadzeniem ostatniej reformy 2.0 uznano za pozytywny zwiastun (ale nie punkt docelowy) na drodze ku nowoczesności. Uwzględniając nawet krótki okres obowiązywania p.s.w.n., wypada stwierdzić, że odzwierciedla ona ogólnoeuropejską tendencję do unowocześnienia nauki, rozwoju gospodarki opartej na wiedzy, a także przemodelowania uczelni pod kątem aktualnych wymagań dynamicznego, innowacyjnego społeczeństwa. Nurt ten nie może być zahamowany. Postęp jest bowiem cechą uczelni, element</w:t>
      </w:r>
      <w:r>
        <w:rPr>
          <w:rFonts w:ascii="Cambria" w:eastAsia="Times New Roman" w:hAnsi="Cambria"/>
          <w:bCs/>
          <w:sz w:val="24"/>
          <w:szCs w:val="24"/>
          <w:lang w:eastAsia="pl-PL"/>
        </w:rPr>
        <w:t>em jej</w:t>
      </w:r>
      <w:r w:rsidRPr="005C06CC">
        <w:rPr>
          <w:rFonts w:ascii="Cambria" w:eastAsia="Times New Roman" w:hAnsi="Cambria"/>
          <w:bCs/>
          <w:sz w:val="24"/>
          <w:szCs w:val="24"/>
          <w:lang w:eastAsia="pl-PL"/>
        </w:rPr>
        <w:t xml:space="preserve"> naturalnego rozwoju ideowo-instytucjonalnego. Jednocześnie dostrzega się konieczność rozważnego połączenia tego co jest wynikiem progresji, i tego, co wynika z tradycji, której na pewno nie należy lekceważyć (czy nawet piętnować), a przeciwnie, wykorzystać na drodze ku doskonalenia. Przyszłe instytucje mają stawać się „uniwersytetami bez barier” – otwartymi i zaangażowanymi w życie społeczne. To podmioty, które będą w pełni autonomiczne i wolne (ale i odpowiedzialne), tworzone przez wspólnotę akademicką, zachowujące swoje podstawowe wartości, a przy tym zjednoczone w swojej misji uczenia się i nauczania, badań, innowacji i służbie społeczeństwu. Powinny wykorzystywać swoją zdolność do ewolucji, stawać się motorem zmian społecznych oraz zapewniać otwartą, transformującą przestrzeń dla wspólnego tworzenia wiedzy poprzez badania, edukację, innowacje i kulturę. Wraz z innymi zainteresowanymi partnerami społecznymi winny aktywnie kształtować przyszłość nowoczesnego społeczeństwa opartego na wiedzy. Wyjątkowa synergia i zintegrowanie misji uczenia się i nauczania, badań, innowacji i kultury ma pozostać kluczowym rysem europejskich uczelni. Dzięki harmonii wskazanych obszarów będą mogły one wspierać otwarte, pluralistyczne i demokratyczne społeczeństwa Europy. Problematyka ta została poddana szerokiej analizie w optyce filarów jednego z podstawowych przymiotów uczelni – autonomii (</w:t>
      </w:r>
      <w:r w:rsidRPr="005C06CC">
        <w:rPr>
          <w:rFonts w:ascii="Cambria" w:eastAsia="Times New Roman" w:hAnsi="Cambria"/>
          <w:i/>
          <w:iCs/>
          <w:sz w:val="24"/>
          <w:szCs w:val="24"/>
          <w:lang w:eastAsia="pl-PL"/>
        </w:rPr>
        <w:t>Autonomia publicznych uczelni akademickich w Polsce,</w:t>
      </w:r>
      <w:r w:rsidRPr="005C06CC">
        <w:rPr>
          <w:rFonts w:ascii="Cambria" w:eastAsia="Times New Roman" w:hAnsi="Cambria"/>
          <w:sz w:val="24"/>
          <w:szCs w:val="24"/>
          <w:lang w:eastAsia="pl-PL"/>
        </w:rPr>
        <w:t xml:space="preserve"> Wydawnictwo UMCS, Lublin 2022, ISBN 978-83-227-9620-7, ss. 764 - </w:t>
      </w:r>
      <w:r w:rsidRPr="005C06CC">
        <w:rPr>
          <w:rFonts w:ascii="Cambria" w:eastAsia="Times New Roman" w:hAnsi="Cambria"/>
          <w:i/>
          <w:iCs/>
          <w:sz w:val="24"/>
          <w:szCs w:val="24"/>
          <w:lang w:eastAsia="pl-PL"/>
        </w:rPr>
        <w:t xml:space="preserve">rozprawa habilitacyjna – zgłoszona jako </w:t>
      </w:r>
      <w:r w:rsidRPr="005C06CC">
        <w:rPr>
          <w:rFonts w:ascii="Cambria" w:hAnsi="Cambria"/>
          <w:i/>
          <w:iCs/>
          <w:sz w:val="24"/>
          <w:szCs w:val="24"/>
        </w:rPr>
        <w:t>osiągnięcie, o którym mowa w art. 219 ust. 1 pkt 2 lit. a ustawy z dnia 20 lipca 2018 r. Prawo o szkolnictwie wyższym i nauce (tekst jedn. Dz. U. z 2022 r., poz. 574 ze zm.; cele i uzyskane wyniki badań poprzez weryfikację postawionych hipotez omówiono szerzej w pkt IV. 1 Autoreferatu).</w:t>
      </w:r>
    </w:p>
    <w:p w14:paraId="301C6844" w14:textId="77777777" w:rsidR="0082666B" w:rsidRDefault="0082666B" w:rsidP="0082666B">
      <w:pPr>
        <w:spacing w:after="0" w:line="240" w:lineRule="auto"/>
        <w:ind w:firstLine="708"/>
        <w:jc w:val="both"/>
        <w:rPr>
          <w:rFonts w:ascii="Cambria" w:eastAsia="Times New Roman" w:hAnsi="Cambria"/>
          <w:bCs/>
          <w:sz w:val="24"/>
          <w:szCs w:val="24"/>
          <w:lang w:eastAsia="pl-PL"/>
        </w:rPr>
      </w:pPr>
      <w:r w:rsidRPr="005C06CC">
        <w:rPr>
          <w:rFonts w:ascii="Cambria" w:eastAsia="Times New Roman" w:hAnsi="Cambria"/>
          <w:bCs/>
          <w:sz w:val="24"/>
          <w:szCs w:val="24"/>
          <w:lang w:eastAsia="pl-PL"/>
        </w:rPr>
        <w:t xml:space="preserve">Niewątpliwie dostrzega się presję społeczną, aby uczelnie stały się aktywnym uczestnikiem procesu tworzenia gospodarki opartej na wiedzy. Aby jednak uczelnie mogły osiągnąć zamierzone wyniki badawcze i wejść dynamicznie w nurt światowego rozwoju, powinny podlegać ochronie, ale i efektywnemu wsparciu ze strony państwa. W nowych okolicznościach, z jednej strony wydają się być predestynowane do pełnienia znaczącej roli, a z drugiej są narażone na osłabienie swojej pozycji poprzez rosnący deficyt w zakresie uzyskiwanych środków publicznych (przy utrzymującym się niskim poziomie dywersyfikacji w zakresie pozostałych środków finansowych pozyskiwanych z tzw. trzeciego strumienia). Publiczne nakłady na tę sferę zależą od ogólnej sytuacji budżetowej kraju i priorytetów państwa w zakresie wydatkowania środków publicznych. Uczelnie znajdują się w centrum konkurencyjnej gry o poziom dofinansowanie prowadzonej działalności ze środków budżetu państwa. Problematykę tę rozwinięto zwłaszcza w publikacjach: </w:t>
      </w:r>
      <w:r w:rsidRPr="005C06CC">
        <w:rPr>
          <w:rFonts w:ascii="Cambria" w:eastAsia="Times New Roman" w:hAnsi="Cambria"/>
          <w:bCs/>
          <w:i/>
          <w:iCs/>
          <w:sz w:val="24"/>
          <w:szCs w:val="24"/>
          <w:lang w:eastAsia="pl-PL"/>
        </w:rPr>
        <w:t>System preferencji dla „uczelni publicznych 2.0”. Kilka uwag w czasie pandemii COVID-19</w:t>
      </w:r>
      <w:r w:rsidRPr="005C06CC">
        <w:rPr>
          <w:rFonts w:ascii="Cambria" w:eastAsia="Times New Roman" w:hAnsi="Cambria"/>
          <w:bCs/>
          <w:sz w:val="24"/>
          <w:szCs w:val="24"/>
          <w:lang w:eastAsia="pl-PL"/>
        </w:rPr>
        <w:t xml:space="preserve">, [w:] </w:t>
      </w:r>
      <w:r w:rsidRPr="005C06CC">
        <w:rPr>
          <w:rFonts w:ascii="Cambria" w:eastAsia="Times New Roman" w:hAnsi="Cambria"/>
          <w:bCs/>
          <w:i/>
          <w:iCs/>
          <w:sz w:val="24"/>
          <w:szCs w:val="24"/>
          <w:lang w:eastAsia="pl-PL"/>
        </w:rPr>
        <w:t>System ochrony praw człowieka w Polsce w czasie wyzwań pandemicznych. Tom 3</w:t>
      </w:r>
      <w:r w:rsidRPr="005C06CC">
        <w:rPr>
          <w:rFonts w:ascii="Cambria" w:eastAsia="Times New Roman" w:hAnsi="Cambria"/>
          <w:bCs/>
          <w:sz w:val="24"/>
          <w:szCs w:val="24"/>
          <w:lang w:eastAsia="pl-PL"/>
        </w:rPr>
        <w:t xml:space="preserve">, red. J. Jaskiernia, K. Spryszak, Toruń 2022, Wydawnictwo Adam Marszałek, ISBN: 978-83-8180-541-4, s. 633-651; </w:t>
      </w:r>
      <w:r w:rsidRPr="005C06CC">
        <w:rPr>
          <w:rFonts w:ascii="Cambria" w:eastAsia="Times New Roman" w:hAnsi="Cambria"/>
          <w:bCs/>
          <w:i/>
          <w:iCs/>
          <w:sz w:val="24"/>
          <w:szCs w:val="24"/>
          <w:lang w:eastAsia="pl-PL"/>
        </w:rPr>
        <w:t>Security of public funding and transformation of contemporary European universities</w:t>
      </w:r>
      <w:r w:rsidRPr="005C06CC">
        <w:rPr>
          <w:rFonts w:ascii="Cambria" w:eastAsia="Times New Roman" w:hAnsi="Cambria"/>
          <w:bCs/>
          <w:sz w:val="24"/>
          <w:szCs w:val="24"/>
          <w:lang w:eastAsia="pl-PL"/>
        </w:rPr>
        <w:t xml:space="preserve"> (współautor: P. Smoleń), „Teka </w:t>
      </w:r>
      <w:r w:rsidRPr="005C06CC">
        <w:rPr>
          <w:rFonts w:ascii="Cambria" w:eastAsia="Times New Roman" w:hAnsi="Cambria"/>
          <w:bCs/>
          <w:sz w:val="24"/>
          <w:szCs w:val="24"/>
          <w:lang w:eastAsia="pl-PL"/>
        </w:rPr>
        <w:lastRenderedPageBreak/>
        <w:t xml:space="preserve">Komisji Prawniczej PAN Oddział w Lublinie” 2021, vol. XIV, nr 1, s. 397-411, https://doi.org/10.32084/tekapr.2021.14.1-33. </w:t>
      </w:r>
    </w:p>
    <w:p w14:paraId="4CD8C967" w14:textId="77777777" w:rsidR="0082666B" w:rsidRPr="005C06CC" w:rsidRDefault="0082666B" w:rsidP="0082666B">
      <w:pPr>
        <w:spacing w:after="0" w:line="240" w:lineRule="auto"/>
        <w:ind w:firstLine="708"/>
        <w:jc w:val="both"/>
        <w:rPr>
          <w:rFonts w:ascii="Cambria" w:eastAsia="Times New Roman" w:hAnsi="Cambria"/>
          <w:bCs/>
          <w:sz w:val="24"/>
          <w:szCs w:val="24"/>
          <w:lang w:eastAsia="pl-PL"/>
        </w:rPr>
      </w:pPr>
      <w:r w:rsidRPr="005C06CC">
        <w:rPr>
          <w:rFonts w:ascii="Cambria" w:eastAsia="Times New Roman" w:hAnsi="Cambria"/>
          <w:bCs/>
          <w:sz w:val="24"/>
          <w:szCs w:val="24"/>
          <w:lang w:eastAsia="pl-PL"/>
        </w:rPr>
        <w:t>Prowadzone badania wykazały, że w modelu uniwersytetu europejskiego można wyraźnie dostrzec ścisłą współzależność pomiędzy ogólną kondycją uczelni a przyjętym mechanizmem finansowania publicznego (opartym na określonej konstrukcji algorytmicznej). Ponadto, na podstawie dokumentów źródłowych (zwłaszcza aktualnych raportów światowych organizacji) potwierdzono, że uczelnie europejskie nadal odznaczają się niewystarczającym poziomem finansowania (już ponad 20 lat temu pułap ten dla finansowania badań naukowych określono na poziomie 3% PKB, ale pomimo intensywnych reform w Europie Zachodniej, nadal nie został on osiągnięty). W analizowanym obszarze dostrzeżono również odrębności wynikające ze specyfiki funkcjonowania kościelnych szkół wyższych, zwłaszcza w kontekście stosowania przepisów p.s.w.n. (</w:t>
      </w:r>
      <w:r w:rsidRPr="005C06CC">
        <w:rPr>
          <w:rFonts w:ascii="Cambria" w:eastAsia="Times New Roman" w:hAnsi="Cambria"/>
          <w:bCs/>
          <w:i/>
          <w:iCs/>
          <w:sz w:val="24"/>
          <w:szCs w:val="24"/>
          <w:lang w:eastAsia="pl-PL"/>
        </w:rPr>
        <w:t>Kontrowersje wokół statusu prawnego i finansowania działalności Katolickiego Uniwersytetu Lubelskiego Jana Pawła II</w:t>
      </w:r>
      <w:r w:rsidRPr="005C06CC">
        <w:rPr>
          <w:rFonts w:ascii="Cambria" w:eastAsia="Times New Roman" w:hAnsi="Cambria"/>
          <w:bCs/>
          <w:sz w:val="24"/>
          <w:szCs w:val="24"/>
          <w:lang w:eastAsia="pl-PL"/>
        </w:rPr>
        <w:t xml:space="preserve"> (współautor: P. Smoleń), „Teka Komisji Prawniczej PAN Oddział w Lublinie” 2019, vol. XII, nr 1, s. 283-299, https://doi.org/10.32084/tekapr.2019.12.1-21). </w:t>
      </w:r>
    </w:p>
    <w:p w14:paraId="7EA90459" w14:textId="129ED2AF" w:rsidR="0082666B" w:rsidRPr="00AC748B" w:rsidRDefault="0082666B" w:rsidP="00AC748B">
      <w:pPr>
        <w:spacing w:after="0" w:line="240" w:lineRule="auto"/>
        <w:ind w:firstLine="708"/>
        <w:jc w:val="both"/>
        <w:rPr>
          <w:rFonts w:ascii="Cambria" w:hAnsi="Cambria"/>
          <w:sz w:val="24"/>
          <w:szCs w:val="24"/>
        </w:rPr>
      </w:pPr>
      <w:r w:rsidRPr="005C06CC">
        <w:rPr>
          <w:rFonts w:ascii="Cambria" w:eastAsia="Times New Roman" w:hAnsi="Cambria"/>
          <w:bCs/>
          <w:sz w:val="24"/>
          <w:szCs w:val="24"/>
          <w:lang w:eastAsia="pl-PL"/>
        </w:rPr>
        <w:t xml:space="preserve">W ramach postawionych celów badawczych dokonano </w:t>
      </w:r>
      <w:r w:rsidR="00AC748B">
        <w:rPr>
          <w:rFonts w:ascii="Cambria" w:eastAsia="Times New Roman" w:hAnsi="Cambria"/>
          <w:bCs/>
          <w:sz w:val="24"/>
          <w:szCs w:val="24"/>
          <w:lang w:eastAsia="pl-PL"/>
        </w:rPr>
        <w:t xml:space="preserve">także </w:t>
      </w:r>
      <w:r w:rsidRPr="005C06CC">
        <w:rPr>
          <w:rFonts w:ascii="Cambria" w:eastAsia="Times New Roman" w:hAnsi="Cambria"/>
          <w:bCs/>
          <w:sz w:val="24"/>
          <w:szCs w:val="24"/>
          <w:lang w:eastAsia="pl-PL"/>
        </w:rPr>
        <w:t xml:space="preserve">próby podmiotowej kwalifikacji uczelni publicznych jako jednostek systemu szkolnictwa wyższego i nauki. Zwrócono uwagę na aspekty administracyjnoprawne oraz ich niejednorodną – zakładowo – korporacyjną naturę. </w:t>
      </w:r>
      <w:r w:rsidR="00AC748B">
        <w:rPr>
          <w:rFonts w:ascii="Cambria" w:eastAsia="Times New Roman" w:hAnsi="Cambria"/>
          <w:bCs/>
          <w:sz w:val="24"/>
          <w:szCs w:val="24"/>
          <w:lang w:eastAsia="pl-PL"/>
        </w:rPr>
        <w:t>Dostrzeżono</w:t>
      </w:r>
      <w:r w:rsidRPr="005C06CC">
        <w:rPr>
          <w:rFonts w:ascii="Cambria" w:eastAsia="Times New Roman" w:hAnsi="Cambria"/>
          <w:bCs/>
          <w:sz w:val="24"/>
          <w:szCs w:val="24"/>
          <w:lang w:eastAsia="pl-PL"/>
        </w:rPr>
        <w:t>, że p</w:t>
      </w:r>
      <w:r w:rsidRPr="005C06CC">
        <w:rPr>
          <w:rFonts w:ascii="Cambria" w:hAnsi="Cambria"/>
          <w:sz w:val="24"/>
          <w:szCs w:val="24"/>
        </w:rPr>
        <w:t>omimo ogromnego wysiłku legislacyjnego i implementacji procesów wdrażania nowego systemu szkolnictwa wyższego i nauki, otoczenie społeczno – gospodarcze musiało się nagle zmierzyć w 2020 r. z nowym zagrożeniem – tj. pandemią wirusa SARS-CoV-2. Zmienność zaistniałych warunków i ich nadzwyczajny charakter zaczę</w:t>
      </w:r>
      <w:r>
        <w:rPr>
          <w:rFonts w:ascii="Cambria" w:hAnsi="Cambria"/>
          <w:sz w:val="24"/>
          <w:szCs w:val="24"/>
        </w:rPr>
        <w:t>ły</w:t>
      </w:r>
      <w:r w:rsidRPr="005C06CC">
        <w:rPr>
          <w:rFonts w:ascii="Cambria" w:hAnsi="Cambria"/>
          <w:sz w:val="24"/>
          <w:szCs w:val="24"/>
        </w:rPr>
        <w:t xml:space="preserve"> oddziaływać w sposób zdecydowany również na sektor szkolnictwa wyższego, także z prawnoorganizacyjnego punktu widzenia. W publikacjach podjęto </w:t>
      </w:r>
      <w:r w:rsidR="00AC748B">
        <w:rPr>
          <w:rFonts w:ascii="Cambria" w:hAnsi="Cambria"/>
          <w:sz w:val="24"/>
          <w:szCs w:val="24"/>
        </w:rPr>
        <w:t>również</w:t>
      </w:r>
      <w:r w:rsidRPr="005C06CC">
        <w:rPr>
          <w:rFonts w:ascii="Cambria" w:hAnsi="Cambria"/>
          <w:sz w:val="24"/>
          <w:szCs w:val="24"/>
        </w:rPr>
        <w:t xml:space="preserve"> aktualną problematykę związaną z sytuacją epidemiczną, tak aby przeprowadzić analizę i </w:t>
      </w:r>
      <w:r>
        <w:rPr>
          <w:rFonts w:ascii="Cambria" w:hAnsi="Cambria"/>
          <w:sz w:val="24"/>
          <w:szCs w:val="24"/>
        </w:rPr>
        <w:t>ocenę</w:t>
      </w:r>
      <w:r w:rsidRPr="005C06CC">
        <w:rPr>
          <w:rFonts w:ascii="Cambria" w:hAnsi="Cambria"/>
          <w:sz w:val="24"/>
          <w:szCs w:val="24"/>
        </w:rPr>
        <w:t xml:space="preserve"> przyjętych rozwiązań prawnoorganizacyjnych w stosunku do uczelni publicznych w czasie trwającej pandemii. Wypada bowiem poddać refleksji także jakość przyjętych regulacji </w:t>
      </w:r>
      <w:r>
        <w:rPr>
          <w:rFonts w:ascii="Cambria" w:hAnsi="Cambria"/>
          <w:sz w:val="24"/>
          <w:szCs w:val="24"/>
        </w:rPr>
        <w:t xml:space="preserve">prawnych </w:t>
      </w:r>
      <w:r w:rsidRPr="005C06CC">
        <w:rPr>
          <w:rFonts w:ascii="Cambria" w:hAnsi="Cambria"/>
          <w:sz w:val="24"/>
          <w:szCs w:val="24"/>
        </w:rPr>
        <w:t xml:space="preserve">(zwłaszcza ze względu na obowiązujące reguły techniki prawodawczej) i ich oddziaływanie na sferę samorządności instytucjonalnej uczelni publicznych </w:t>
      </w:r>
      <w:r w:rsidRPr="005C06CC">
        <w:rPr>
          <w:rFonts w:ascii="Cambria" w:eastAsia="Times New Roman" w:hAnsi="Cambria"/>
          <w:bCs/>
          <w:sz w:val="24"/>
          <w:szCs w:val="24"/>
          <w:lang w:eastAsia="pl-PL"/>
        </w:rPr>
        <w:t>(</w:t>
      </w:r>
      <w:r w:rsidRPr="005C06CC">
        <w:rPr>
          <w:rFonts w:ascii="Cambria" w:eastAsia="Times New Roman" w:hAnsi="Cambria"/>
          <w:bCs/>
          <w:i/>
          <w:iCs/>
          <w:sz w:val="24"/>
          <w:szCs w:val="24"/>
          <w:lang w:eastAsia="pl-PL"/>
        </w:rPr>
        <w:t xml:space="preserve">Konstrukt instytucjonalny uczelni publicznej. Główne założenia reformy 2.0, </w:t>
      </w:r>
      <w:r w:rsidRPr="005C06CC">
        <w:rPr>
          <w:rFonts w:ascii="Cambria" w:eastAsia="Times New Roman" w:hAnsi="Cambria"/>
          <w:bCs/>
          <w:sz w:val="24"/>
          <w:szCs w:val="24"/>
          <w:lang w:eastAsia="pl-PL"/>
        </w:rPr>
        <w:t>[w:]</w:t>
      </w:r>
      <w:r w:rsidRPr="005C06CC">
        <w:rPr>
          <w:rFonts w:ascii="Cambria" w:eastAsia="Times New Roman" w:hAnsi="Cambria"/>
          <w:bCs/>
          <w:i/>
          <w:iCs/>
          <w:sz w:val="24"/>
          <w:szCs w:val="24"/>
          <w:lang w:eastAsia="pl-PL"/>
        </w:rPr>
        <w:t xml:space="preserve"> Ekonomia i zarządzanie wobec wyzwań współczesnego świata</w:t>
      </w:r>
      <w:r w:rsidRPr="005C06CC">
        <w:rPr>
          <w:rFonts w:ascii="Cambria" w:eastAsia="Times New Roman" w:hAnsi="Cambria"/>
          <w:bCs/>
          <w:sz w:val="24"/>
          <w:szCs w:val="24"/>
          <w:lang w:eastAsia="pl-PL"/>
        </w:rPr>
        <w:t xml:space="preserve">, red. M. Tomczyk, K. Kwiecień, Łódź – Kielce 2021, </w:t>
      </w:r>
      <w:r w:rsidRPr="0067440F">
        <w:rPr>
          <w:rFonts w:ascii="Cambria" w:eastAsia="Times New Roman" w:hAnsi="Cambria"/>
          <w:bCs/>
          <w:sz w:val="24"/>
          <w:szCs w:val="24"/>
          <w:lang w:eastAsia="pl-PL"/>
        </w:rPr>
        <w:t>ArchaeGraph</w:t>
      </w:r>
      <w:r>
        <w:rPr>
          <w:rFonts w:ascii="Cambria" w:eastAsia="Times New Roman" w:hAnsi="Cambria"/>
          <w:bCs/>
          <w:sz w:val="24"/>
          <w:szCs w:val="24"/>
          <w:lang w:eastAsia="pl-PL"/>
        </w:rPr>
        <w:t xml:space="preserve">, </w:t>
      </w:r>
      <w:r w:rsidRPr="005C06CC">
        <w:rPr>
          <w:rFonts w:ascii="Cambria" w:eastAsia="Times New Roman" w:hAnsi="Cambria"/>
          <w:bCs/>
          <w:sz w:val="24"/>
          <w:szCs w:val="24"/>
          <w:lang w:eastAsia="pl-PL"/>
        </w:rPr>
        <w:t xml:space="preserve">ISBN: 978-83-66709-66-9, s. 257-270; </w:t>
      </w:r>
      <w:r w:rsidRPr="005C06CC">
        <w:rPr>
          <w:rFonts w:ascii="Cambria" w:hAnsi="Cambria"/>
          <w:i/>
          <w:iCs/>
          <w:sz w:val="24"/>
          <w:szCs w:val="24"/>
        </w:rPr>
        <w:t xml:space="preserve">Uczelnie publiczne jako jednostki systemu szkolnictwa wyższego i nauki. Kilka uwag prawnoorganizacyjnych w czasie pandemii wirusa SARS-CoV-2 </w:t>
      </w:r>
      <w:r w:rsidRPr="005C06CC">
        <w:rPr>
          <w:rFonts w:ascii="Cambria" w:hAnsi="Cambria"/>
          <w:sz w:val="24"/>
          <w:szCs w:val="24"/>
        </w:rPr>
        <w:t>(oddane do druku - monografia pokonferencyjna Studenckiego Koła Naukowego Prawników – wydanie październik 2022)</w:t>
      </w:r>
      <w:r>
        <w:rPr>
          <w:rFonts w:ascii="Cambria" w:hAnsi="Cambria"/>
          <w:sz w:val="24"/>
          <w:szCs w:val="24"/>
        </w:rPr>
        <w:t xml:space="preserve">; </w:t>
      </w:r>
      <w:r w:rsidRPr="000E6DC7">
        <w:rPr>
          <w:rFonts w:ascii="Times New Roman" w:eastAsia="Times New Roman" w:hAnsi="Times New Roman"/>
          <w:bCs/>
          <w:i/>
          <w:iCs/>
          <w:sz w:val="24"/>
          <w:szCs w:val="24"/>
          <w:lang w:eastAsia="pl-PL"/>
        </w:rPr>
        <w:t xml:space="preserve">Public universities facing pandemic challenges. </w:t>
      </w:r>
      <w:r w:rsidRPr="005B11FE">
        <w:rPr>
          <w:rFonts w:ascii="Times New Roman" w:eastAsia="Times New Roman" w:hAnsi="Times New Roman"/>
          <w:bCs/>
          <w:i/>
          <w:iCs/>
          <w:sz w:val="24"/>
          <w:szCs w:val="24"/>
          <w:lang w:eastAsia="pl-PL"/>
        </w:rPr>
        <w:t xml:space="preserve">Selected issues, </w:t>
      </w:r>
      <w:r w:rsidRPr="005B11FE">
        <w:rPr>
          <w:rFonts w:ascii="Times New Roman" w:eastAsia="Times New Roman" w:hAnsi="Times New Roman"/>
          <w:bCs/>
          <w:sz w:val="24"/>
          <w:szCs w:val="24"/>
          <w:lang w:eastAsia="pl-PL"/>
        </w:rPr>
        <w:t xml:space="preserve">[w:] </w:t>
      </w:r>
      <w:r w:rsidRPr="005B11FE">
        <w:rPr>
          <w:rFonts w:ascii="Times New Roman" w:eastAsia="Times New Roman" w:hAnsi="Times New Roman"/>
          <w:bCs/>
          <w:i/>
          <w:iCs/>
          <w:sz w:val="24"/>
          <w:szCs w:val="24"/>
          <w:lang w:eastAsia="pl-PL"/>
        </w:rPr>
        <w:t>System ochrony praw człowieka drugiej generacji wobec nowych wyzwań cywilizacyjnych</w:t>
      </w:r>
      <w:r>
        <w:rPr>
          <w:rFonts w:ascii="Times New Roman" w:eastAsia="Times New Roman" w:hAnsi="Times New Roman"/>
          <w:bCs/>
          <w:sz w:val="24"/>
          <w:szCs w:val="24"/>
          <w:lang w:eastAsia="pl-PL"/>
        </w:rPr>
        <w:t xml:space="preserve">, red. J. Jaskiernia, K. Spryszak, </w:t>
      </w:r>
      <w:r w:rsidRPr="005B11FE">
        <w:rPr>
          <w:rFonts w:ascii="Times New Roman" w:eastAsia="Times New Roman" w:hAnsi="Times New Roman"/>
          <w:bCs/>
          <w:sz w:val="24"/>
          <w:szCs w:val="24"/>
          <w:lang w:eastAsia="pl-PL"/>
        </w:rPr>
        <w:t>Wydawnictwo Adam Marszałek</w:t>
      </w:r>
      <w:r>
        <w:rPr>
          <w:rFonts w:ascii="Times New Roman" w:eastAsia="Times New Roman" w:hAnsi="Times New Roman"/>
          <w:bCs/>
          <w:sz w:val="24"/>
          <w:szCs w:val="24"/>
          <w:lang w:eastAsia="pl-PL"/>
        </w:rPr>
        <w:t>, Kielce 2022 (monografia pokonferencyjna – planowany druk 12.2022)</w:t>
      </w:r>
      <w:r w:rsidRPr="005C06CC">
        <w:rPr>
          <w:rFonts w:ascii="Cambria" w:eastAsia="Times New Roman" w:hAnsi="Cambria"/>
          <w:i/>
          <w:iCs/>
          <w:sz w:val="24"/>
          <w:szCs w:val="24"/>
          <w:lang w:eastAsia="pl-PL"/>
        </w:rPr>
        <w:t>.</w:t>
      </w:r>
    </w:p>
    <w:p w14:paraId="3518B794" w14:textId="77777777" w:rsidR="0082666B" w:rsidRPr="005C06CC" w:rsidRDefault="0082666B" w:rsidP="0082666B">
      <w:pPr>
        <w:spacing w:after="0" w:line="240" w:lineRule="auto"/>
        <w:ind w:firstLine="708"/>
        <w:jc w:val="both"/>
        <w:rPr>
          <w:rFonts w:ascii="Cambria" w:eastAsia="Times New Roman" w:hAnsi="Cambria"/>
          <w:bCs/>
          <w:sz w:val="24"/>
          <w:szCs w:val="24"/>
          <w:lang w:eastAsia="pl-PL"/>
        </w:rPr>
      </w:pPr>
    </w:p>
    <w:p w14:paraId="10477C50" w14:textId="3CBF911D" w:rsidR="0082666B" w:rsidRPr="005C06CC" w:rsidRDefault="0082666B" w:rsidP="00F67BF8">
      <w:pPr>
        <w:spacing w:after="0" w:line="240" w:lineRule="auto"/>
        <w:jc w:val="both"/>
        <w:rPr>
          <w:rFonts w:ascii="Cambria" w:eastAsia="Times New Roman" w:hAnsi="Cambria"/>
          <w:b/>
          <w:sz w:val="24"/>
          <w:szCs w:val="24"/>
          <w:u w:val="single"/>
          <w:lang w:eastAsia="pl-PL"/>
        </w:rPr>
      </w:pPr>
      <w:r w:rsidRPr="00E16F73">
        <w:rPr>
          <w:rFonts w:ascii="Cambria" w:eastAsia="Times New Roman" w:hAnsi="Cambria"/>
          <w:b/>
          <w:bCs/>
          <w:sz w:val="24"/>
          <w:szCs w:val="24"/>
          <w:lang w:eastAsia="pl-PL"/>
        </w:rPr>
        <w:t>Ad. 2</w:t>
      </w:r>
      <w:r w:rsidR="00F67BF8">
        <w:rPr>
          <w:rFonts w:ascii="Cambria" w:eastAsia="Times New Roman" w:hAnsi="Cambria"/>
          <w:b/>
          <w:bCs/>
          <w:sz w:val="24"/>
          <w:szCs w:val="24"/>
          <w:lang w:eastAsia="pl-PL"/>
        </w:rPr>
        <w:t>)</w:t>
      </w:r>
      <w:r>
        <w:rPr>
          <w:rFonts w:ascii="Cambria" w:eastAsia="Times New Roman" w:hAnsi="Cambria"/>
          <w:sz w:val="24"/>
          <w:szCs w:val="24"/>
          <w:lang w:eastAsia="pl-PL"/>
        </w:rPr>
        <w:t xml:space="preserve"> </w:t>
      </w:r>
      <w:r w:rsidRPr="005C06CC">
        <w:rPr>
          <w:rFonts w:ascii="Cambria" w:eastAsia="Times New Roman" w:hAnsi="Cambria"/>
          <w:b/>
          <w:sz w:val="24"/>
          <w:szCs w:val="24"/>
          <w:lang w:eastAsia="pl-PL"/>
        </w:rPr>
        <w:t>Prawo pracy (zwłaszcza akademickie) z uwzględnieniem aktualnych wyzwań pandemicznych (COVID-19) oraz związków międzygałęziowych (perspektywa prawnoautorska i podatkowa)</w:t>
      </w:r>
    </w:p>
    <w:p w14:paraId="2178D0D9" w14:textId="77777777" w:rsidR="0082666B" w:rsidRPr="005C06CC" w:rsidRDefault="0082666B" w:rsidP="0082666B">
      <w:pPr>
        <w:spacing w:after="0" w:line="240" w:lineRule="auto"/>
        <w:jc w:val="both"/>
        <w:rPr>
          <w:rFonts w:ascii="Cambria" w:eastAsia="Times New Roman" w:hAnsi="Cambria"/>
          <w:b/>
          <w:sz w:val="24"/>
          <w:szCs w:val="24"/>
          <w:lang w:eastAsia="pl-PL"/>
        </w:rPr>
      </w:pPr>
    </w:p>
    <w:p w14:paraId="32F0C8C2" w14:textId="3075DD57" w:rsidR="0082666B" w:rsidRDefault="00F67BF8" w:rsidP="0082666B">
      <w:pPr>
        <w:spacing w:after="0" w:line="240" w:lineRule="auto"/>
        <w:jc w:val="both"/>
        <w:rPr>
          <w:rFonts w:ascii="Cambria" w:eastAsia="Times New Roman" w:hAnsi="Cambria"/>
          <w:bCs/>
          <w:sz w:val="24"/>
          <w:szCs w:val="24"/>
          <w:lang w:eastAsia="pl-PL"/>
        </w:rPr>
      </w:pPr>
      <w:r>
        <w:rPr>
          <w:rFonts w:ascii="Cambria" w:eastAsia="Times New Roman" w:hAnsi="Cambria"/>
          <w:bCs/>
          <w:sz w:val="24"/>
          <w:szCs w:val="24"/>
          <w:lang w:eastAsia="pl-PL"/>
        </w:rPr>
        <w:t xml:space="preserve">Problematykę związaną z </w:t>
      </w:r>
      <w:r w:rsidRPr="005C06CC">
        <w:rPr>
          <w:rFonts w:ascii="Cambria" w:eastAsia="Times New Roman" w:hAnsi="Cambria"/>
          <w:bCs/>
          <w:sz w:val="24"/>
          <w:szCs w:val="24"/>
          <w:lang w:eastAsia="pl-PL"/>
        </w:rPr>
        <w:t>niniejszym obszar</w:t>
      </w:r>
      <w:r>
        <w:rPr>
          <w:rFonts w:ascii="Cambria" w:eastAsia="Times New Roman" w:hAnsi="Cambria"/>
          <w:bCs/>
          <w:sz w:val="24"/>
          <w:szCs w:val="24"/>
          <w:lang w:eastAsia="pl-PL"/>
        </w:rPr>
        <w:t>em</w:t>
      </w:r>
      <w:r w:rsidRPr="005C06CC">
        <w:rPr>
          <w:rFonts w:ascii="Cambria" w:eastAsia="Times New Roman" w:hAnsi="Cambria"/>
          <w:bCs/>
          <w:sz w:val="24"/>
          <w:szCs w:val="24"/>
          <w:lang w:eastAsia="pl-PL"/>
        </w:rPr>
        <w:t xml:space="preserve"> badawczym </w:t>
      </w:r>
      <w:r>
        <w:rPr>
          <w:rFonts w:ascii="Cambria" w:eastAsia="Times New Roman" w:hAnsi="Cambria"/>
          <w:bCs/>
          <w:sz w:val="24"/>
          <w:szCs w:val="24"/>
          <w:lang w:eastAsia="pl-PL"/>
        </w:rPr>
        <w:t>rozwinięto w</w:t>
      </w:r>
      <w:r w:rsidRPr="005C06CC">
        <w:rPr>
          <w:rFonts w:ascii="Cambria" w:eastAsia="Times New Roman" w:hAnsi="Cambria"/>
          <w:bCs/>
          <w:sz w:val="24"/>
          <w:szCs w:val="24"/>
          <w:lang w:eastAsia="pl-PL"/>
        </w:rPr>
        <w:t xml:space="preserve"> publikacj</w:t>
      </w:r>
      <w:r>
        <w:rPr>
          <w:rFonts w:ascii="Cambria" w:eastAsia="Times New Roman" w:hAnsi="Cambria"/>
          <w:bCs/>
          <w:sz w:val="24"/>
          <w:szCs w:val="24"/>
          <w:lang w:eastAsia="pl-PL"/>
        </w:rPr>
        <w:t>ach</w:t>
      </w:r>
      <w:r w:rsidRPr="005C06CC">
        <w:rPr>
          <w:rFonts w:ascii="Cambria" w:eastAsia="Times New Roman" w:hAnsi="Cambria"/>
          <w:bCs/>
          <w:sz w:val="24"/>
          <w:szCs w:val="24"/>
          <w:lang w:eastAsia="pl-PL"/>
        </w:rPr>
        <w:t xml:space="preserve"> o charakterze</w:t>
      </w:r>
      <w:r>
        <w:rPr>
          <w:rFonts w:ascii="Cambria" w:eastAsia="Times New Roman" w:hAnsi="Cambria"/>
          <w:bCs/>
          <w:sz w:val="24"/>
          <w:szCs w:val="24"/>
          <w:lang w:eastAsia="pl-PL"/>
        </w:rPr>
        <w:t>:</w:t>
      </w:r>
      <w:r w:rsidRPr="005C06CC">
        <w:rPr>
          <w:rFonts w:ascii="Cambria" w:eastAsia="Times New Roman" w:hAnsi="Cambria"/>
          <w:bCs/>
          <w:sz w:val="24"/>
          <w:szCs w:val="24"/>
          <w:lang w:eastAsia="pl-PL"/>
        </w:rPr>
        <w:t xml:space="preserve"> </w:t>
      </w:r>
      <w:r w:rsidR="0082666B" w:rsidRPr="005C06CC">
        <w:rPr>
          <w:rFonts w:ascii="Cambria" w:eastAsia="Times New Roman" w:hAnsi="Cambria"/>
          <w:bCs/>
          <w:sz w:val="24"/>
          <w:szCs w:val="24"/>
          <w:lang w:eastAsia="pl-PL"/>
        </w:rPr>
        <w:t xml:space="preserve">artykułów </w:t>
      </w:r>
      <w:r w:rsidR="0082666B">
        <w:rPr>
          <w:rFonts w:ascii="Cambria" w:eastAsia="Times New Roman" w:hAnsi="Cambria"/>
          <w:bCs/>
          <w:sz w:val="24"/>
          <w:szCs w:val="24"/>
          <w:lang w:eastAsia="pl-PL"/>
        </w:rPr>
        <w:t xml:space="preserve">w czasopismach </w:t>
      </w:r>
      <w:r w:rsidR="0082666B" w:rsidRPr="005C06CC">
        <w:rPr>
          <w:rFonts w:ascii="Cambria" w:eastAsia="Times New Roman" w:hAnsi="Cambria"/>
          <w:bCs/>
          <w:sz w:val="24"/>
          <w:szCs w:val="24"/>
          <w:lang w:eastAsia="pl-PL"/>
        </w:rPr>
        <w:t xml:space="preserve">naukowych, rozdziałów w </w:t>
      </w:r>
      <w:r w:rsidR="0082666B">
        <w:rPr>
          <w:rFonts w:ascii="Cambria" w:eastAsia="Times New Roman" w:hAnsi="Cambria"/>
          <w:bCs/>
          <w:sz w:val="24"/>
          <w:szCs w:val="24"/>
          <w:lang w:eastAsia="pl-PL"/>
        </w:rPr>
        <w:t xml:space="preserve">recenzowanych </w:t>
      </w:r>
      <w:r w:rsidR="0082666B" w:rsidRPr="005C06CC">
        <w:rPr>
          <w:rFonts w:ascii="Cambria" w:eastAsia="Times New Roman" w:hAnsi="Cambria"/>
          <w:bCs/>
          <w:sz w:val="24"/>
          <w:szCs w:val="24"/>
          <w:lang w:eastAsia="pl-PL"/>
        </w:rPr>
        <w:t>monografiach</w:t>
      </w:r>
      <w:r>
        <w:rPr>
          <w:rFonts w:ascii="Cambria" w:eastAsia="Times New Roman" w:hAnsi="Cambria"/>
          <w:bCs/>
          <w:sz w:val="24"/>
          <w:szCs w:val="24"/>
          <w:lang w:eastAsia="pl-PL"/>
        </w:rPr>
        <w:t xml:space="preserve"> naukowych</w:t>
      </w:r>
      <w:r w:rsidR="0082666B" w:rsidRPr="005C06CC">
        <w:rPr>
          <w:rFonts w:ascii="Cambria" w:eastAsia="Times New Roman" w:hAnsi="Cambria"/>
          <w:bCs/>
          <w:sz w:val="24"/>
          <w:szCs w:val="24"/>
          <w:lang w:eastAsia="pl-PL"/>
        </w:rPr>
        <w:t>, tj.</w:t>
      </w:r>
    </w:p>
    <w:p w14:paraId="34B920E8" w14:textId="3D303701" w:rsidR="00E50AA6" w:rsidRDefault="00E50AA6" w:rsidP="0082666B">
      <w:pPr>
        <w:spacing w:after="0" w:line="240" w:lineRule="auto"/>
        <w:jc w:val="both"/>
        <w:rPr>
          <w:rFonts w:ascii="Cambria" w:eastAsia="Times New Roman" w:hAnsi="Cambria"/>
          <w:bCs/>
          <w:sz w:val="24"/>
          <w:szCs w:val="24"/>
          <w:lang w:eastAsia="pl-PL"/>
        </w:rPr>
      </w:pPr>
    </w:p>
    <w:p w14:paraId="7DBAE937" w14:textId="2B5CC45E" w:rsidR="00E50AA6" w:rsidRPr="00E50AA6" w:rsidRDefault="00E50AA6" w:rsidP="0038603B">
      <w:pPr>
        <w:pStyle w:val="Akapitzlist"/>
        <w:numPr>
          <w:ilvl w:val="0"/>
          <w:numId w:val="31"/>
        </w:numPr>
        <w:spacing w:after="0" w:line="240" w:lineRule="auto"/>
        <w:jc w:val="both"/>
        <w:rPr>
          <w:rFonts w:ascii="Cambria" w:eastAsia="Times New Roman" w:hAnsi="Cambria"/>
          <w:bCs/>
          <w:sz w:val="24"/>
          <w:szCs w:val="24"/>
          <w:u w:val="single"/>
          <w:lang w:eastAsia="pl-PL"/>
        </w:rPr>
      </w:pPr>
      <w:r>
        <w:rPr>
          <w:rFonts w:ascii="Cambria" w:eastAsia="Times New Roman" w:hAnsi="Cambria"/>
          <w:bCs/>
          <w:sz w:val="24"/>
          <w:szCs w:val="24"/>
          <w:u w:val="single"/>
          <w:lang w:eastAsia="pl-PL"/>
        </w:rPr>
        <w:lastRenderedPageBreak/>
        <w:t>Artykuły w czasopismach naukowych:</w:t>
      </w:r>
    </w:p>
    <w:p w14:paraId="5A528F98" w14:textId="77777777" w:rsidR="0082666B" w:rsidRPr="005C06CC" w:rsidRDefault="0082666B" w:rsidP="0082666B">
      <w:pPr>
        <w:spacing w:after="0" w:line="240" w:lineRule="auto"/>
        <w:jc w:val="both"/>
        <w:rPr>
          <w:rFonts w:ascii="Cambria" w:eastAsia="Times New Roman" w:hAnsi="Cambria"/>
          <w:b/>
          <w:sz w:val="24"/>
          <w:szCs w:val="24"/>
          <w:lang w:eastAsia="pl-PL"/>
        </w:rPr>
      </w:pPr>
    </w:p>
    <w:p w14:paraId="2C5BA13F" w14:textId="77777777" w:rsidR="0082666B" w:rsidRPr="005C06CC" w:rsidRDefault="0082666B" w:rsidP="0038603B">
      <w:pPr>
        <w:numPr>
          <w:ilvl w:val="0"/>
          <w:numId w:val="20"/>
        </w:numPr>
        <w:spacing w:after="120" w:line="276" w:lineRule="auto"/>
        <w:ind w:left="357" w:hanging="357"/>
        <w:jc w:val="both"/>
        <w:rPr>
          <w:rFonts w:ascii="Cambria" w:eastAsia="Times New Roman" w:hAnsi="Cambria"/>
          <w:sz w:val="24"/>
          <w:szCs w:val="24"/>
          <w:lang w:eastAsia="pl-PL"/>
        </w:rPr>
      </w:pPr>
      <w:r w:rsidRPr="005C06CC">
        <w:rPr>
          <w:rFonts w:ascii="Cambria" w:eastAsia="Times New Roman" w:hAnsi="Cambria"/>
          <w:i/>
          <w:iCs/>
          <w:sz w:val="24"/>
          <w:szCs w:val="24"/>
          <w:lang w:eastAsia="pl-PL"/>
        </w:rPr>
        <w:t xml:space="preserve">Relation de travail académique. Discours sur les ralations entre les branches du droit, </w:t>
      </w:r>
      <w:r w:rsidRPr="005C06CC">
        <w:rPr>
          <w:rFonts w:ascii="Cambria" w:eastAsia="Times New Roman" w:hAnsi="Cambria"/>
          <w:sz w:val="24"/>
          <w:szCs w:val="24"/>
          <w:lang w:eastAsia="pl-PL"/>
        </w:rPr>
        <w:t xml:space="preserve">„Biuletyn Stowarzyszenia Absolwentów i Przyjaciół Wydziału Prawa Katolickiego Uniwersytetu Lubelskiego” 2022, vol. XVII, nr 19, s. 291-313, https://doi.org/10.32084/bsawp.4411; </w:t>
      </w:r>
    </w:p>
    <w:p w14:paraId="27CE3AFC" w14:textId="77777777" w:rsidR="00F67BF8" w:rsidRPr="005C06CC" w:rsidRDefault="00F67BF8" w:rsidP="0038603B">
      <w:pPr>
        <w:numPr>
          <w:ilvl w:val="0"/>
          <w:numId w:val="20"/>
        </w:numPr>
        <w:spacing w:after="120" w:line="276" w:lineRule="auto"/>
        <w:ind w:left="357" w:hanging="357"/>
        <w:jc w:val="both"/>
        <w:rPr>
          <w:rFonts w:ascii="Cambria" w:eastAsia="Times New Roman" w:hAnsi="Cambria"/>
          <w:sz w:val="24"/>
          <w:szCs w:val="24"/>
          <w:lang w:eastAsia="pl-PL"/>
        </w:rPr>
      </w:pPr>
      <w:r w:rsidRPr="005C06CC">
        <w:rPr>
          <w:rFonts w:ascii="Cambria" w:hAnsi="Cambria"/>
          <w:bCs/>
          <w:i/>
          <w:iCs/>
          <w:sz w:val="24"/>
          <w:szCs w:val="24"/>
        </w:rPr>
        <w:t>Dokumentacja wyników działalności twórczej w kontekście opodatkowania wynagrodzenia pracownika akademickiego. Glosa częściowo krytyczna do wyroku Naczelnego Sądu Administracyjnego z dnia 28 maja 2021 r, II FSK 3717/18, LEX nr 3206229</w:t>
      </w:r>
      <w:r w:rsidRPr="005C06CC">
        <w:rPr>
          <w:rFonts w:ascii="Cambria" w:hAnsi="Cambria"/>
          <w:bCs/>
          <w:sz w:val="24"/>
          <w:szCs w:val="24"/>
        </w:rPr>
        <w:t xml:space="preserve"> (współautor: P. Smoleń), </w:t>
      </w:r>
      <w:r w:rsidRPr="005C06CC">
        <w:rPr>
          <w:rFonts w:ascii="Cambria" w:eastAsia="Times New Roman" w:hAnsi="Cambria"/>
          <w:sz w:val="24"/>
          <w:szCs w:val="24"/>
          <w:lang w:eastAsia="pl-PL"/>
        </w:rPr>
        <w:t>„</w:t>
      </w:r>
      <w:r w:rsidRPr="005C06CC">
        <w:rPr>
          <w:rFonts w:ascii="Cambria" w:hAnsi="Cambria"/>
          <w:bCs/>
          <w:sz w:val="24"/>
          <w:szCs w:val="24"/>
        </w:rPr>
        <w:t xml:space="preserve">Przegląd Ustawodawstwa Gospodarczego” 2022, nr 7, s. 60-67, DOI: 10.33226/0137-5490.2022.7.7; </w:t>
      </w:r>
    </w:p>
    <w:p w14:paraId="58A4AC68" w14:textId="77777777" w:rsidR="0082666B" w:rsidRPr="005C06CC" w:rsidRDefault="0082666B" w:rsidP="0038603B">
      <w:pPr>
        <w:numPr>
          <w:ilvl w:val="0"/>
          <w:numId w:val="20"/>
        </w:numPr>
        <w:spacing w:after="120" w:line="276" w:lineRule="auto"/>
        <w:ind w:left="357" w:hanging="357"/>
        <w:jc w:val="both"/>
        <w:rPr>
          <w:rFonts w:ascii="Cambria" w:eastAsia="Times New Roman" w:hAnsi="Cambria"/>
          <w:sz w:val="24"/>
          <w:szCs w:val="24"/>
          <w:lang w:val="en-GB" w:eastAsia="pl-PL"/>
        </w:rPr>
      </w:pPr>
      <w:r w:rsidRPr="005C06CC">
        <w:rPr>
          <w:rFonts w:ascii="Cambria" w:eastAsia="Times New Roman" w:hAnsi="Cambria"/>
          <w:i/>
          <w:iCs/>
          <w:sz w:val="24"/>
          <w:szCs w:val="24"/>
          <w:lang w:val="en-GB" w:eastAsia="pl-PL"/>
        </w:rPr>
        <w:t>The Problem of the Tax-Legal Unification of the Effects of Employee’s Creative Activity</w:t>
      </w:r>
      <w:r w:rsidRPr="005C06CC">
        <w:rPr>
          <w:rFonts w:ascii="Cambria" w:eastAsia="Times New Roman" w:hAnsi="Cambria"/>
          <w:sz w:val="24"/>
          <w:szCs w:val="24"/>
          <w:lang w:val="en-GB" w:eastAsia="pl-PL"/>
        </w:rPr>
        <w:t xml:space="preserve"> (współautor: P. Smoleń), „Teka Komisji Prawniczej PAN Oddział w Lublinie”, 2022, vol. XV, nr 1, s. 297–311, https://doi.org/10.32084/tkp.4473;</w:t>
      </w:r>
    </w:p>
    <w:p w14:paraId="4076FB95" w14:textId="77777777" w:rsidR="0082666B" w:rsidRPr="005C06CC" w:rsidRDefault="0082666B" w:rsidP="0038603B">
      <w:pPr>
        <w:numPr>
          <w:ilvl w:val="0"/>
          <w:numId w:val="20"/>
        </w:numPr>
        <w:spacing w:after="120" w:line="276" w:lineRule="auto"/>
        <w:ind w:left="357" w:hanging="357"/>
        <w:jc w:val="both"/>
        <w:rPr>
          <w:rFonts w:ascii="Cambria" w:eastAsia="Times New Roman" w:hAnsi="Cambria"/>
          <w:sz w:val="24"/>
          <w:szCs w:val="24"/>
          <w:lang w:val="en-GB" w:eastAsia="pl-PL"/>
        </w:rPr>
      </w:pPr>
      <w:r w:rsidRPr="005C06CC">
        <w:rPr>
          <w:rFonts w:ascii="Cambria" w:eastAsia="Times New Roman" w:hAnsi="Cambria"/>
          <w:i/>
          <w:iCs/>
          <w:sz w:val="24"/>
          <w:szCs w:val="24"/>
          <w:lang w:val="en-GB" w:eastAsia="pl-PL"/>
        </w:rPr>
        <w:t>Taxation of Academic Teachers’ Royalties. Controversies in the context of the general interpretation by the Minister of Finance</w:t>
      </w:r>
      <w:r w:rsidRPr="005C06CC">
        <w:rPr>
          <w:rFonts w:ascii="Cambria" w:eastAsia="Times New Roman" w:hAnsi="Cambria"/>
          <w:sz w:val="24"/>
          <w:szCs w:val="24"/>
          <w:lang w:val="en-GB" w:eastAsia="pl-PL"/>
        </w:rPr>
        <w:t xml:space="preserve"> (współautor: P. Smoleń), „Review of European and Comparative Law” 2022, vol. 48, nr 1, s. 235-253, https://doi.org/10.31743/recl.12476;</w:t>
      </w:r>
    </w:p>
    <w:p w14:paraId="4F3E43ED" w14:textId="0F999AB0" w:rsidR="00F67BF8" w:rsidRDefault="00F67BF8" w:rsidP="0038603B">
      <w:pPr>
        <w:numPr>
          <w:ilvl w:val="0"/>
          <w:numId w:val="20"/>
        </w:numPr>
        <w:spacing w:after="120" w:line="276" w:lineRule="auto"/>
        <w:ind w:left="357" w:hanging="357"/>
        <w:jc w:val="both"/>
        <w:rPr>
          <w:rFonts w:ascii="Cambria" w:eastAsia="Times New Roman" w:hAnsi="Cambria"/>
          <w:sz w:val="24"/>
          <w:szCs w:val="24"/>
          <w:lang w:eastAsia="pl-PL"/>
        </w:rPr>
      </w:pPr>
      <w:r w:rsidRPr="005C06CC">
        <w:rPr>
          <w:rFonts w:ascii="Cambria" w:eastAsia="Times New Roman" w:hAnsi="Cambria"/>
          <w:i/>
          <w:iCs/>
          <w:sz w:val="24"/>
          <w:szCs w:val="24"/>
          <w:lang w:eastAsia="pl-PL"/>
        </w:rPr>
        <w:t>Czynności pracowników artystycznych a preferencyjne koszty uzyskania przychodu. Glosa aprobująca do wyroku Naczelnego Sądu Administracyjnego z 14 marca 2019 r., II FSK 673/17, LEX nr 2665530</w:t>
      </w:r>
      <w:r w:rsidRPr="005C06CC">
        <w:rPr>
          <w:rFonts w:ascii="Cambria" w:eastAsia="Times New Roman" w:hAnsi="Cambria"/>
          <w:sz w:val="24"/>
          <w:szCs w:val="24"/>
          <w:lang w:eastAsia="pl-PL"/>
        </w:rPr>
        <w:t xml:space="preserve">, „Annales Universitatis Mariae Curie – Skłodowska Lublin - Polonia, Sectio G” 2021, vol. LXVIII, nr 2, s. 229-240, DOI:10.17951/g.2021.68.2.229-240; </w:t>
      </w:r>
    </w:p>
    <w:p w14:paraId="551B5AC3" w14:textId="77777777" w:rsidR="00E50AA6" w:rsidRDefault="00E50AA6" w:rsidP="0038603B">
      <w:pPr>
        <w:numPr>
          <w:ilvl w:val="0"/>
          <w:numId w:val="20"/>
        </w:numPr>
        <w:spacing w:after="120" w:line="276" w:lineRule="auto"/>
        <w:ind w:left="357" w:hanging="357"/>
        <w:jc w:val="both"/>
        <w:rPr>
          <w:rFonts w:ascii="Cambria" w:eastAsia="Times New Roman" w:hAnsi="Cambria"/>
          <w:iCs/>
          <w:sz w:val="24"/>
          <w:szCs w:val="24"/>
          <w:lang w:eastAsia="pl-PL"/>
        </w:rPr>
      </w:pPr>
      <w:r w:rsidRPr="005C06CC">
        <w:rPr>
          <w:rFonts w:ascii="Cambria" w:eastAsia="Times New Roman" w:hAnsi="Cambria"/>
          <w:i/>
          <w:sz w:val="24"/>
          <w:szCs w:val="24"/>
          <w:lang w:eastAsia="pl-PL"/>
        </w:rPr>
        <w:t>Poszanowanie godności pracownika w świetle nauczania Jana Pawła II o pracy</w:t>
      </w:r>
      <w:r w:rsidRPr="005C06CC">
        <w:rPr>
          <w:rFonts w:ascii="Cambria" w:eastAsia="Times New Roman" w:hAnsi="Cambria"/>
          <w:iCs/>
          <w:sz w:val="24"/>
          <w:szCs w:val="24"/>
          <w:lang w:eastAsia="pl-PL"/>
        </w:rPr>
        <w:t>, „Studenckie Zeszyty Naukowe” 2008, nr 17, s. 80 – 88</w:t>
      </w:r>
      <w:r>
        <w:rPr>
          <w:rFonts w:ascii="Cambria" w:eastAsia="Times New Roman" w:hAnsi="Cambria"/>
          <w:iCs/>
          <w:sz w:val="24"/>
          <w:szCs w:val="24"/>
          <w:lang w:eastAsia="pl-PL"/>
        </w:rPr>
        <w:t>;</w:t>
      </w:r>
    </w:p>
    <w:p w14:paraId="12D01DFE" w14:textId="12DCDD90" w:rsidR="00E50AA6" w:rsidRPr="00E50AA6" w:rsidRDefault="00E50AA6" w:rsidP="0038603B">
      <w:pPr>
        <w:numPr>
          <w:ilvl w:val="0"/>
          <w:numId w:val="20"/>
        </w:numPr>
        <w:spacing w:after="120" w:line="276" w:lineRule="auto"/>
        <w:ind w:left="357" w:hanging="357"/>
        <w:jc w:val="both"/>
        <w:rPr>
          <w:rFonts w:ascii="Cambria" w:eastAsia="Times New Roman" w:hAnsi="Cambria"/>
          <w:iCs/>
          <w:sz w:val="24"/>
          <w:szCs w:val="24"/>
          <w:lang w:eastAsia="pl-PL"/>
        </w:rPr>
      </w:pPr>
      <w:r w:rsidRPr="00E63199">
        <w:rPr>
          <w:rFonts w:ascii="Cambria" w:eastAsia="Times New Roman" w:hAnsi="Cambria"/>
          <w:i/>
          <w:sz w:val="24"/>
          <w:szCs w:val="24"/>
          <w:lang w:eastAsia="pl-PL"/>
        </w:rPr>
        <w:t>Postępowanie odrębne w sprawach z zakresu prawa pracy</w:t>
      </w:r>
      <w:r w:rsidRPr="00E63199">
        <w:rPr>
          <w:rFonts w:ascii="Cambria" w:eastAsia="Times New Roman" w:hAnsi="Cambria"/>
          <w:iCs/>
          <w:sz w:val="24"/>
          <w:szCs w:val="24"/>
          <w:lang w:eastAsia="pl-PL"/>
        </w:rPr>
        <w:t xml:space="preserve">, „Studenckie Zeszyty Naukowe” 2008, Nr 17, s. 153-164. </w:t>
      </w:r>
    </w:p>
    <w:p w14:paraId="6FCB90E1" w14:textId="77777777" w:rsidR="00E50AA6" w:rsidRPr="00D047EB" w:rsidRDefault="00E50AA6" w:rsidP="0038603B">
      <w:pPr>
        <w:numPr>
          <w:ilvl w:val="0"/>
          <w:numId w:val="20"/>
        </w:numPr>
        <w:spacing w:after="120" w:line="276" w:lineRule="auto"/>
        <w:ind w:left="357" w:hanging="357"/>
        <w:jc w:val="both"/>
        <w:rPr>
          <w:rFonts w:ascii="Cambria" w:eastAsia="Times New Roman" w:hAnsi="Cambria"/>
          <w:sz w:val="24"/>
          <w:szCs w:val="24"/>
          <w:lang w:eastAsia="pl-PL"/>
        </w:rPr>
      </w:pPr>
      <w:r w:rsidRPr="005C06CC">
        <w:rPr>
          <w:rFonts w:ascii="Cambria" w:eastAsia="Times New Roman" w:hAnsi="Cambria"/>
          <w:i/>
          <w:iCs/>
          <w:sz w:val="24"/>
          <w:szCs w:val="24"/>
          <w:lang w:eastAsia="pl-PL"/>
        </w:rPr>
        <w:t xml:space="preserve">Problematyka artystycznego wykonania utworu przez muzyka klasycznego w kontekście preferencyjnych regulacji w PIT. Wybrane zagadnienia prawnoautorskie i podatkowe, </w:t>
      </w:r>
      <w:r w:rsidRPr="005C06CC">
        <w:rPr>
          <w:rFonts w:ascii="Cambria" w:eastAsia="Times New Roman" w:hAnsi="Cambria"/>
          <w:sz w:val="24"/>
          <w:szCs w:val="24"/>
          <w:lang w:eastAsia="pl-PL"/>
        </w:rPr>
        <w:t>„Studia Administracyjne” 2022, nr 1, s. 5-16, DOI: 10.18276/sa.2022.15-01</w:t>
      </w:r>
      <w:r>
        <w:rPr>
          <w:rFonts w:ascii="Cambria" w:eastAsia="Times New Roman" w:hAnsi="Cambria"/>
          <w:sz w:val="24"/>
          <w:szCs w:val="24"/>
          <w:lang w:eastAsia="pl-PL"/>
        </w:rPr>
        <w:t xml:space="preserve"> (oddane do druku)</w:t>
      </w:r>
      <w:r w:rsidRPr="005C06CC">
        <w:rPr>
          <w:rFonts w:ascii="Cambria" w:eastAsia="Times New Roman" w:hAnsi="Cambria"/>
          <w:sz w:val="24"/>
          <w:szCs w:val="24"/>
          <w:lang w:eastAsia="pl-PL"/>
        </w:rPr>
        <w:t xml:space="preserve">; </w:t>
      </w:r>
    </w:p>
    <w:p w14:paraId="55D5BE4F" w14:textId="6DB84C1D" w:rsidR="00E50AA6" w:rsidRPr="00AF0EA2" w:rsidRDefault="00E50AA6" w:rsidP="0038603B">
      <w:pPr>
        <w:numPr>
          <w:ilvl w:val="0"/>
          <w:numId w:val="20"/>
        </w:numPr>
        <w:spacing w:after="120" w:line="276" w:lineRule="auto"/>
        <w:ind w:left="357" w:hanging="357"/>
        <w:jc w:val="both"/>
        <w:rPr>
          <w:rFonts w:ascii="Cambria" w:eastAsia="Times New Roman" w:hAnsi="Cambria"/>
          <w:sz w:val="24"/>
          <w:szCs w:val="24"/>
          <w:lang w:val="en-GB" w:eastAsia="pl-PL"/>
        </w:rPr>
      </w:pPr>
      <w:r w:rsidRPr="00E50AA6">
        <w:rPr>
          <w:rFonts w:ascii="Cambria" w:hAnsi="Cambria"/>
          <w:bCs/>
          <w:i/>
          <w:iCs/>
          <w:sz w:val="24"/>
          <w:szCs w:val="24"/>
          <w:lang w:val="en-GB"/>
        </w:rPr>
        <w:t xml:space="preserve">Academic Researcher’ Work and the Confusion of Public Authorities. </w:t>
      </w:r>
      <w:r w:rsidRPr="005C06CC">
        <w:rPr>
          <w:rFonts w:ascii="Cambria" w:hAnsi="Cambria"/>
          <w:bCs/>
          <w:i/>
          <w:iCs/>
          <w:sz w:val="24"/>
          <w:szCs w:val="24"/>
          <w:lang w:val="en-GB"/>
        </w:rPr>
        <w:t>A bleak outlook for the consequences of the higher education reform in Poland - comparative approach</w:t>
      </w:r>
      <w:r w:rsidRPr="005C06CC">
        <w:rPr>
          <w:rFonts w:ascii="Cambria" w:hAnsi="Cambria"/>
          <w:bCs/>
          <w:sz w:val="24"/>
          <w:szCs w:val="24"/>
          <w:lang w:val="en-GB"/>
        </w:rPr>
        <w:t xml:space="preserve"> (współautor: P. Smoleń), </w:t>
      </w:r>
      <w:r w:rsidRPr="005C06CC">
        <w:rPr>
          <w:rFonts w:ascii="Cambria" w:eastAsia="Times New Roman" w:hAnsi="Cambria"/>
          <w:sz w:val="24"/>
          <w:szCs w:val="24"/>
          <w:lang w:val="en-GB" w:eastAsia="pl-PL"/>
        </w:rPr>
        <w:t>„</w:t>
      </w:r>
      <w:r w:rsidRPr="005C06CC">
        <w:rPr>
          <w:rFonts w:ascii="Cambria" w:hAnsi="Cambria"/>
          <w:bCs/>
          <w:sz w:val="24"/>
          <w:szCs w:val="24"/>
          <w:lang w:val="en-GB"/>
        </w:rPr>
        <w:t>Brics Law Journal” 2022, nr 4 (oddane do druku);</w:t>
      </w:r>
    </w:p>
    <w:p w14:paraId="524CD604" w14:textId="77777777" w:rsidR="00AF0EA2" w:rsidRPr="00AF0EA2" w:rsidRDefault="00AF0EA2" w:rsidP="00AF0EA2">
      <w:pPr>
        <w:spacing w:after="120" w:line="276" w:lineRule="auto"/>
        <w:ind w:left="357"/>
        <w:jc w:val="both"/>
        <w:rPr>
          <w:rFonts w:ascii="Cambria" w:eastAsia="Times New Roman" w:hAnsi="Cambria"/>
          <w:sz w:val="24"/>
          <w:szCs w:val="24"/>
          <w:lang w:val="en-GB" w:eastAsia="pl-PL"/>
        </w:rPr>
      </w:pPr>
    </w:p>
    <w:p w14:paraId="151D3218" w14:textId="7E3143E0" w:rsidR="00E50AA6" w:rsidRPr="00E50AA6" w:rsidRDefault="00E50AA6" w:rsidP="0038603B">
      <w:pPr>
        <w:pStyle w:val="Akapitzlist"/>
        <w:numPr>
          <w:ilvl w:val="0"/>
          <w:numId w:val="31"/>
        </w:numPr>
        <w:spacing w:after="120" w:line="276" w:lineRule="auto"/>
        <w:contextualSpacing w:val="0"/>
        <w:jc w:val="both"/>
        <w:rPr>
          <w:rFonts w:ascii="Cambria" w:eastAsia="Times New Roman" w:hAnsi="Cambria"/>
          <w:sz w:val="24"/>
          <w:szCs w:val="24"/>
          <w:lang w:eastAsia="pl-PL"/>
        </w:rPr>
      </w:pPr>
      <w:r w:rsidRPr="00E50AA6">
        <w:rPr>
          <w:rFonts w:ascii="Cambria" w:eastAsia="Times New Roman" w:hAnsi="Cambria"/>
          <w:sz w:val="24"/>
          <w:szCs w:val="24"/>
          <w:u w:val="single"/>
          <w:lang w:eastAsia="pl-PL"/>
        </w:rPr>
        <w:t>Rozdziały w recenzowanych monografiach naukowych</w:t>
      </w:r>
      <w:r>
        <w:rPr>
          <w:rFonts w:ascii="Cambria" w:eastAsia="Times New Roman" w:hAnsi="Cambria"/>
          <w:sz w:val="24"/>
          <w:szCs w:val="24"/>
          <w:lang w:eastAsia="pl-PL"/>
        </w:rPr>
        <w:t>:</w:t>
      </w:r>
    </w:p>
    <w:p w14:paraId="22A48647" w14:textId="77777777" w:rsidR="0082666B" w:rsidRPr="005C06CC" w:rsidRDefault="0082666B" w:rsidP="0038603B">
      <w:pPr>
        <w:numPr>
          <w:ilvl w:val="0"/>
          <w:numId w:val="20"/>
        </w:numPr>
        <w:spacing w:after="120" w:line="276" w:lineRule="auto"/>
        <w:ind w:left="357" w:hanging="357"/>
        <w:jc w:val="both"/>
        <w:rPr>
          <w:rFonts w:ascii="Cambria" w:eastAsia="Times New Roman" w:hAnsi="Cambria"/>
          <w:color w:val="FF0000"/>
          <w:sz w:val="24"/>
          <w:szCs w:val="24"/>
          <w:lang w:eastAsia="pl-PL"/>
        </w:rPr>
      </w:pPr>
      <w:r w:rsidRPr="005C06CC">
        <w:rPr>
          <w:rFonts w:ascii="Cambria" w:eastAsia="Times New Roman" w:hAnsi="Cambria"/>
          <w:i/>
          <w:iCs/>
          <w:sz w:val="24"/>
          <w:szCs w:val="24"/>
          <w:lang w:eastAsia="pl-PL"/>
        </w:rPr>
        <w:t>Zdalne świadczenie pracy w czasie epidemii koronawirusa SARS-Cov-2 w Polsce. Wybrane zagadnienia,</w:t>
      </w:r>
      <w:r w:rsidRPr="005C06CC">
        <w:rPr>
          <w:rFonts w:ascii="Cambria" w:eastAsia="Times New Roman" w:hAnsi="Cambria"/>
          <w:sz w:val="24"/>
          <w:szCs w:val="24"/>
          <w:lang w:eastAsia="pl-PL"/>
        </w:rPr>
        <w:t xml:space="preserve"> [w:] </w:t>
      </w:r>
      <w:r w:rsidRPr="005C06CC">
        <w:rPr>
          <w:rFonts w:ascii="Cambria" w:eastAsia="Times New Roman" w:hAnsi="Cambria"/>
          <w:i/>
          <w:iCs/>
          <w:sz w:val="24"/>
          <w:szCs w:val="24"/>
          <w:lang w:eastAsia="pl-PL"/>
        </w:rPr>
        <w:t xml:space="preserve">Prawo i administracja we współczesnym świecie. Kierunki </w:t>
      </w:r>
      <w:r w:rsidRPr="005C06CC">
        <w:rPr>
          <w:rFonts w:ascii="Cambria" w:eastAsia="Times New Roman" w:hAnsi="Cambria"/>
          <w:i/>
          <w:iCs/>
          <w:sz w:val="24"/>
          <w:szCs w:val="24"/>
          <w:lang w:eastAsia="pl-PL"/>
        </w:rPr>
        <w:lastRenderedPageBreak/>
        <w:t>zmian</w:t>
      </w:r>
      <w:r w:rsidRPr="005C06CC">
        <w:rPr>
          <w:rFonts w:ascii="Cambria" w:eastAsia="Times New Roman" w:hAnsi="Cambria"/>
          <w:sz w:val="24"/>
          <w:szCs w:val="24"/>
          <w:lang w:eastAsia="pl-PL"/>
        </w:rPr>
        <w:t>, red. M. Stanisławska, Łódź - Kielce 2020,  s. 171-180, ISBN: 978-83-66709-37-9;</w:t>
      </w:r>
    </w:p>
    <w:p w14:paraId="1CC01BAD" w14:textId="45EF3F44" w:rsidR="0082666B" w:rsidRPr="00E50AA6" w:rsidRDefault="0082666B" w:rsidP="0038603B">
      <w:pPr>
        <w:numPr>
          <w:ilvl w:val="0"/>
          <w:numId w:val="20"/>
        </w:numPr>
        <w:spacing w:after="120" w:line="276" w:lineRule="auto"/>
        <w:ind w:left="357" w:hanging="357"/>
        <w:jc w:val="both"/>
        <w:rPr>
          <w:rFonts w:ascii="Cambria" w:eastAsia="Times New Roman" w:hAnsi="Cambria"/>
          <w:color w:val="FF0000"/>
          <w:sz w:val="24"/>
          <w:szCs w:val="24"/>
          <w:lang w:val="en-GB" w:eastAsia="pl-PL"/>
        </w:rPr>
      </w:pPr>
      <w:r w:rsidRPr="005C06CC">
        <w:rPr>
          <w:rFonts w:ascii="Cambria" w:eastAsia="Times New Roman" w:hAnsi="Cambria"/>
          <w:i/>
          <w:iCs/>
          <w:sz w:val="24"/>
          <w:szCs w:val="24"/>
          <w:lang w:val="en-GB" w:eastAsia="pl-PL"/>
        </w:rPr>
        <w:t>Remote working and teleworking. Some points of reflection in the context of the current coronavirus SARS-CoV-2 pandemic</w:t>
      </w:r>
      <w:r w:rsidRPr="005C06CC">
        <w:rPr>
          <w:rFonts w:ascii="Cambria" w:eastAsia="Times New Roman" w:hAnsi="Cambria"/>
          <w:sz w:val="24"/>
          <w:szCs w:val="24"/>
          <w:lang w:val="en-GB" w:eastAsia="pl-PL"/>
        </w:rPr>
        <w:t xml:space="preserve">, „Acta Iuris Stetinensis” 2020, Nr 4(32), s. 117-128, https://doi.org/10.18276/ais.2020.32-08; </w:t>
      </w:r>
    </w:p>
    <w:p w14:paraId="065AEB13" w14:textId="4A2E4458" w:rsidR="00E50AA6" w:rsidRPr="00E50AA6" w:rsidRDefault="00E50AA6" w:rsidP="0038603B">
      <w:pPr>
        <w:numPr>
          <w:ilvl w:val="0"/>
          <w:numId w:val="20"/>
        </w:numPr>
        <w:spacing w:after="120" w:line="276" w:lineRule="auto"/>
        <w:ind w:left="357" w:hanging="357"/>
        <w:jc w:val="both"/>
        <w:rPr>
          <w:rFonts w:ascii="Cambria" w:eastAsia="Times New Roman" w:hAnsi="Cambria"/>
          <w:sz w:val="24"/>
          <w:szCs w:val="24"/>
          <w:lang w:eastAsia="pl-PL"/>
        </w:rPr>
      </w:pPr>
      <w:r w:rsidRPr="005C06CC">
        <w:rPr>
          <w:rFonts w:ascii="Cambria" w:eastAsia="Times New Roman" w:hAnsi="Cambria"/>
          <w:i/>
          <w:iCs/>
          <w:color w:val="151515"/>
          <w:sz w:val="24"/>
          <w:szCs w:val="24"/>
          <w:lang w:eastAsia="pl-PL"/>
        </w:rPr>
        <w:t>Działalność twórcza pracownika badawczo-dydaktycznego. Aspekty prawnoautorskie i podatkowe”</w:t>
      </w:r>
      <w:r w:rsidRPr="005C06CC">
        <w:rPr>
          <w:rFonts w:ascii="Cambria" w:eastAsia="Times New Roman" w:hAnsi="Cambria"/>
          <w:color w:val="151515"/>
          <w:sz w:val="24"/>
          <w:szCs w:val="24"/>
          <w:lang w:eastAsia="pl-PL"/>
        </w:rPr>
        <w:t xml:space="preserve"> (współautor: P. Smoleń), [w:] </w:t>
      </w:r>
      <w:r w:rsidRPr="005C06CC">
        <w:rPr>
          <w:rFonts w:ascii="Cambria" w:eastAsia="Times New Roman" w:hAnsi="Cambria"/>
          <w:i/>
          <w:iCs/>
          <w:color w:val="151515"/>
          <w:sz w:val="24"/>
          <w:szCs w:val="24"/>
          <w:lang w:eastAsia="pl-PL"/>
        </w:rPr>
        <w:t>Prawo podatkowe w systemie prawa. Międzygałęziowe związki norm i instytucji prawnych</w:t>
      </w:r>
      <w:r w:rsidRPr="005C06CC">
        <w:rPr>
          <w:rFonts w:ascii="Cambria" w:eastAsia="Times New Roman" w:hAnsi="Cambria"/>
          <w:color w:val="151515"/>
          <w:sz w:val="24"/>
          <w:szCs w:val="24"/>
          <w:lang w:eastAsia="pl-PL"/>
        </w:rPr>
        <w:t>, red. A. Franczak, A. Kaźmierczyk, s. 337-351, Wolters Kluwer S. A., Warszawa 2019, ISBN: 978-83-8187-135-8;</w:t>
      </w:r>
    </w:p>
    <w:p w14:paraId="580BEA93" w14:textId="77777777" w:rsidR="0082666B" w:rsidRPr="005C06CC" w:rsidRDefault="0082666B" w:rsidP="0082666B">
      <w:pPr>
        <w:spacing w:after="0" w:line="240" w:lineRule="auto"/>
        <w:jc w:val="both"/>
        <w:rPr>
          <w:rFonts w:ascii="Cambria" w:eastAsia="Times New Roman" w:hAnsi="Cambria"/>
          <w:b/>
          <w:sz w:val="24"/>
          <w:szCs w:val="24"/>
          <w:lang w:eastAsia="pl-PL"/>
        </w:rPr>
      </w:pPr>
    </w:p>
    <w:p w14:paraId="5C32EA5C" w14:textId="77777777" w:rsidR="0082666B" w:rsidRPr="005C06CC" w:rsidRDefault="0082666B" w:rsidP="0082666B">
      <w:pPr>
        <w:spacing w:after="0" w:line="240" w:lineRule="auto"/>
        <w:ind w:firstLine="708"/>
        <w:jc w:val="both"/>
        <w:rPr>
          <w:rFonts w:ascii="Cambria" w:eastAsia="Times New Roman" w:hAnsi="Cambria"/>
          <w:sz w:val="24"/>
          <w:szCs w:val="24"/>
          <w:lang w:eastAsia="pl-PL"/>
        </w:rPr>
      </w:pPr>
      <w:r w:rsidRPr="005C06CC">
        <w:rPr>
          <w:rFonts w:ascii="Cambria" w:hAnsi="Cambria"/>
          <w:sz w:val="24"/>
          <w:szCs w:val="24"/>
        </w:rPr>
        <w:t xml:space="preserve">W prowadzonych badaniach analizie poddano sferę świadczenia pracy z uwzględnieniem modyfikacji tak o charakterze podmiotowym, jak i przedmiotowym, które wynikają z przepisów szczegółowych. W ramach publikacji znajdujących się we wskazanym obszarze badawczym rozważano kształt jaki może przybierać aktywność pracownika w zależności od jego pozycji podmiotowej, jak i zakresu (i specyfiki) czynności, które wykonuje w ramach stosunku pracy. Dostrzeżono, że </w:t>
      </w:r>
      <w:r w:rsidRPr="00E63199">
        <w:rPr>
          <w:rFonts w:ascii="Cambria" w:hAnsi="Cambria"/>
          <w:sz w:val="24"/>
          <w:szCs w:val="24"/>
        </w:rPr>
        <w:t xml:space="preserve">„akademicka” umowa o pracę </w:t>
      </w:r>
      <w:r w:rsidRPr="005C06CC">
        <w:rPr>
          <w:rFonts w:ascii="Cambria" w:hAnsi="Cambria"/>
          <w:sz w:val="24"/>
          <w:szCs w:val="24"/>
        </w:rPr>
        <w:t xml:space="preserve">wykazuje szereg odrębności względem „klasycznej” umowy o pracę uregulowanej wprost w przepisach ustawy z dnia 26 czerwca 1974 r. – Kodeks pracy (tekst jedn. Dz. U. z 2022, poz. 1510, dalej cyt. jako </w:t>
      </w:r>
      <w:r w:rsidRPr="006C6706">
        <w:rPr>
          <w:rFonts w:ascii="Cambria" w:hAnsi="Cambria"/>
          <w:sz w:val="24"/>
          <w:szCs w:val="24"/>
        </w:rPr>
        <w:t>„k.p.”).</w:t>
      </w:r>
      <w:r w:rsidRPr="005C06CC">
        <w:rPr>
          <w:rFonts w:ascii="Cambria" w:hAnsi="Cambria"/>
          <w:sz w:val="24"/>
          <w:szCs w:val="24"/>
        </w:rPr>
        <w:t xml:space="preserve"> Przepisy </w:t>
      </w:r>
      <w:r>
        <w:rPr>
          <w:rFonts w:ascii="Cambria" w:hAnsi="Cambria"/>
          <w:sz w:val="24"/>
          <w:szCs w:val="24"/>
        </w:rPr>
        <w:t>p.s.w.n.</w:t>
      </w:r>
      <w:r w:rsidRPr="005C06CC">
        <w:rPr>
          <w:rFonts w:ascii="Cambria" w:hAnsi="Cambria"/>
          <w:sz w:val="24"/>
          <w:szCs w:val="24"/>
        </w:rPr>
        <w:t xml:space="preserve"> stanowią w tym zakresie </w:t>
      </w:r>
      <w:r w:rsidRPr="005C06CC">
        <w:rPr>
          <w:rFonts w:ascii="Cambria" w:hAnsi="Cambria"/>
          <w:i/>
          <w:iCs/>
          <w:sz w:val="24"/>
          <w:szCs w:val="24"/>
        </w:rPr>
        <w:t>lex specialis</w:t>
      </w:r>
      <w:r w:rsidRPr="005C06CC">
        <w:rPr>
          <w:rFonts w:ascii="Cambria" w:hAnsi="Cambria"/>
          <w:sz w:val="24"/>
          <w:szCs w:val="24"/>
        </w:rPr>
        <w:t xml:space="preserve">. Ustawa p.s.w.n. </w:t>
      </w:r>
      <w:r w:rsidRPr="005C06CC">
        <w:rPr>
          <w:rFonts w:ascii="Cambria" w:eastAsia="Times New Roman" w:hAnsi="Cambria"/>
          <w:sz w:val="24"/>
          <w:szCs w:val="24"/>
          <w:lang w:eastAsia="pl-PL"/>
        </w:rPr>
        <w:t>odsyła w zakresie nieuregulowanym zarówno w stosunku do nauczycieli akademickich, jak pracowników niebędących nauczycielami akademickimi, do bezpośredniego stosowania przepisów k.p.</w:t>
      </w:r>
      <w:r w:rsidRPr="005C06CC">
        <w:rPr>
          <w:rFonts w:ascii="Cambria" w:eastAsia="Times New Roman" w:hAnsi="Cambria"/>
          <w:sz w:val="24"/>
          <w:szCs w:val="24"/>
          <w:shd w:val="clear" w:color="auto" w:fill="FFFFFF"/>
          <w:lang w:eastAsia="pl-PL"/>
        </w:rPr>
        <w:t xml:space="preserve"> Dotyczy to sytuacji, gdy sprawa dotycząca stosunku pracy nie została uregulowana w p.s.w.n., bądź też regulacja nie jest wystarczająco szczegółowa. </w:t>
      </w:r>
    </w:p>
    <w:p w14:paraId="2855A6E9" w14:textId="77777777" w:rsidR="0082666B" w:rsidRPr="005C06CC" w:rsidRDefault="0082666B" w:rsidP="0082666B">
      <w:pPr>
        <w:spacing w:after="0" w:line="240" w:lineRule="auto"/>
        <w:ind w:firstLine="708"/>
        <w:jc w:val="both"/>
        <w:rPr>
          <w:rFonts w:ascii="Cambria" w:eastAsia="Times New Roman" w:hAnsi="Cambria"/>
          <w:sz w:val="24"/>
          <w:szCs w:val="24"/>
          <w:lang w:eastAsia="pl-PL"/>
        </w:rPr>
      </w:pPr>
      <w:r w:rsidRPr="005C06CC">
        <w:rPr>
          <w:rFonts w:ascii="Cambria" w:eastAsia="Times New Roman" w:hAnsi="Cambria"/>
          <w:sz w:val="24"/>
          <w:szCs w:val="24"/>
          <w:shd w:val="clear" w:color="auto" w:fill="FFFFFF"/>
          <w:lang w:eastAsia="pl-PL"/>
        </w:rPr>
        <w:t xml:space="preserve">Tematykę tę rozwinięto w sposób szczególny w takich publikacjach jak: </w:t>
      </w:r>
      <w:r w:rsidRPr="005C06CC">
        <w:rPr>
          <w:rFonts w:ascii="Cambria" w:eastAsia="Times New Roman" w:hAnsi="Cambria"/>
          <w:i/>
          <w:iCs/>
          <w:sz w:val="24"/>
          <w:szCs w:val="24"/>
          <w:lang w:eastAsia="pl-PL"/>
        </w:rPr>
        <w:t xml:space="preserve">Relation de travail académique. Discours sur les ralations entre les branches du droit, </w:t>
      </w:r>
      <w:r w:rsidRPr="005C06CC">
        <w:rPr>
          <w:rFonts w:ascii="Cambria" w:eastAsia="Times New Roman" w:hAnsi="Cambria"/>
          <w:sz w:val="24"/>
          <w:szCs w:val="24"/>
          <w:lang w:eastAsia="pl-PL"/>
        </w:rPr>
        <w:t xml:space="preserve">„Biuletyn Stowarzyszenia Absolwentów i Przyjaciół Wydziału Prawa Katolickiego Uniwersytetu Lubelskiego” 2022, vol. </w:t>
      </w:r>
      <w:r w:rsidRPr="005C06CC">
        <w:rPr>
          <w:rFonts w:ascii="Cambria" w:eastAsia="Times New Roman" w:hAnsi="Cambria"/>
          <w:sz w:val="24"/>
          <w:szCs w:val="24"/>
          <w:lang w:val="en-GB" w:eastAsia="pl-PL"/>
        </w:rPr>
        <w:t xml:space="preserve">XVII, nr 19, s. 291-313, https://doi.org/10.32084/bsawp.4411; </w:t>
      </w:r>
      <w:r w:rsidRPr="005C06CC">
        <w:rPr>
          <w:rFonts w:ascii="Cambria" w:hAnsi="Cambria"/>
          <w:bCs/>
          <w:i/>
          <w:iCs/>
          <w:sz w:val="24"/>
          <w:szCs w:val="24"/>
          <w:lang w:val="en-GB"/>
        </w:rPr>
        <w:t>Academic Researcher’ Work and the Confusion of Public Authorities. A bleak outlook for the consequences of the higher education reform in Poland - comparative approach</w:t>
      </w:r>
      <w:r w:rsidRPr="005C06CC">
        <w:rPr>
          <w:rFonts w:ascii="Cambria" w:hAnsi="Cambria"/>
          <w:bCs/>
          <w:sz w:val="24"/>
          <w:szCs w:val="24"/>
          <w:lang w:val="en-GB"/>
        </w:rPr>
        <w:t xml:space="preserve"> (współautor: P. Smoleń), </w:t>
      </w:r>
      <w:r w:rsidRPr="005C06CC">
        <w:rPr>
          <w:rFonts w:ascii="Cambria" w:eastAsia="Times New Roman" w:hAnsi="Cambria"/>
          <w:sz w:val="24"/>
          <w:szCs w:val="24"/>
          <w:lang w:val="en-GB" w:eastAsia="pl-PL"/>
        </w:rPr>
        <w:t>„</w:t>
      </w:r>
      <w:r w:rsidRPr="005C06CC">
        <w:rPr>
          <w:rFonts w:ascii="Cambria" w:hAnsi="Cambria"/>
          <w:bCs/>
          <w:sz w:val="24"/>
          <w:szCs w:val="24"/>
          <w:lang w:val="en-GB"/>
        </w:rPr>
        <w:t>Brics Law Journal” 2022, nr 4 (oddane do druku);</w:t>
      </w:r>
      <w:r w:rsidRPr="005C06CC">
        <w:rPr>
          <w:rFonts w:ascii="Cambria" w:eastAsia="Times New Roman" w:hAnsi="Cambria"/>
          <w:sz w:val="24"/>
          <w:szCs w:val="24"/>
          <w:lang w:val="en-GB" w:eastAsia="pl-PL"/>
        </w:rPr>
        <w:t xml:space="preserve"> </w:t>
      </w:r>
      <w:r w:rsidRPr="005C06CC">
        <w:rPr>
          <w:rFonts w:ascii="Cambria" w:eastAsia="Times New Roman" w:hAnsi="Cambria"/>
          <w:i/>
          <w:iCs/>
          <w:color w:val="151515"/>
          <w:sz w:val="24"/>
          <w:szCs w:val="24"/>
          <w:lang w:val="en-GB" w:eastAsia="pl-PL"/>
        </w:rPr>
        <w:t xml:space="preserve">Działalność twórcza pracownika badawczo-dydaktycznego. </w:t>
      </w:r>
      <w:r w:rsidRPr="005C06CC">
        <w:rPr>
          <w:rFonts w:ascii="Cambria" w:eastAsia="Times New Roman" w:hAnsi="Cambria"/>
          <w:i/>
          <w:iCs/>
          <w:color w:val="151515"/>
          <w:sz w:val="24"/>
          <w:szCs w:val="24"/>
          <w:lang w:eastAsia="pl-PL"/>
        </w:rPr>
        <w:t>Aspekty prawnoautorskie i podatkowe”</w:t>
      </w:r>
      <w:r w:rsidRPr="005C06CC">
        <w:rPr>
          <w:rFonts w:ascii="Cambria" w:eastAsia="Times New Roman" w:hAnsi="Cambria"/>
          <w:color w:val="151515"/>
          <w:sz w:val="24"/>
          <w:szCs w:val="24"/>
          <w:lang w:eastAsia="pl-PL"/>
        </w:rPr>
        <w:t xml:space="preserve"> (współautor: P. Smoleń), [w:] </w:t>
      </w:r>
      <w:r w:rsidRPr="005C06CC">
        <w:rPr>
          <w:rFonts w:ascii="Cambria" w:eastAsia="Times New Roman" w:hAnsi="Cambria"/>
          <w:i/>
          <w:iCs/>
          <w:color w:val="151515"/>
          <w:sz w:val="24"/>
          <w:szCs w:val="24"/>
          <w:lang w:eastAsia="pl-PL"/>
        </w:rPr>
        <w:t>Prawo podatkowe w systemie prawa. Międzygałęziowe związki norm i instytucji prawnych</w:t>
      </w:r>
      <w:r w:rsidRPr="005C06CC">
        <w:rPr>
          <w:rFonts w:ascii="Cambria" w:eastAsia="Times New Roman" w:hAnsi="Cambria"/>
          <w:color w:val="151515"/>
          <w:sz w:val="24"/>
          <w:szCs w:val="24"/>
          <w:lang w:eastAsia="pl-PL"/>
        </w:rPr>
        <w:t>, red. A. Franczak, A. Kaźmierczyk, s. 337-351, Wolters Kluwer S. A., Warszawa 2019, ISBN: 978-83-8187-135-8.</w:t>
      </w:r>
    </w:p>
    <w:p w14:paraId="78F10A2A" w14:textId="77777777" w:rsidR="0082666B" w:rsidRPr="005C06CC" w:rsidRDefault="0082666B" w:rsidP="0082666B">
      <w:pPr>
        <w:spacing w:after="0" w:line="240" w:lineRule="auto"/>
        <w:ind w:firstLine="708"/>
        <w:jc w:val="both"/>
        <w:rPr>
          <w:rFonts w:ascii="Cambria" w:eastAsia="Times New Roman" w:hAnsi="Cambria"/>
          <w:sz w:val="24"/>
          <w:szCs w:val="24"/>
          <w:lang w:eastAsia="pl-PL"/>
        </w:rPr>
      </w:pPr>
      <w:r w:rsidRPr="005C06CC">
        <w:rPr>
          <w:rFonts w:ascii="Cambria" w:hAnsi="Cambria"/>
          <w:sz w:val="24"/>
          <w:szCs w:val="24"/>
        </w:rPr>
        <w:t xml:space="preserve">Zwrócono uwagę, że świadczenie pracy w ramach „akademickiej” umowy o pracę obejmuje zróżnicowany katalog czynności pracownika – nauczyciela akademickiego (art. 112-115 p.s.w.n.). Swoistość tego rodzaju stosunku pracy przejawia się tak w sferze stosunków pracowniczych, prawnoautorskich, jak i podatkowych (zwłaszcza wobec powstających kontrowersji wokół sposobu i zakresu stosowania podwyższonych (50%) kosztów uzyskania przychodów pracownika). Przepisy p.s.w.n. (art. 116 ust. 7 p.s.w.n.) stanowią bowiem, że </w:t>
      </w:r>
      <w:r w:rsidRPr="00E63199">
        <w:rPr>
          <w:rFonts w:ascii="Cambria" w:hAnsi="Cambria"/>
          <w:sz w:val="24"/>
          <w:szCs w:val="24"/>
        </w:rPr>
        <w:t>wykonywanie obowiązków nauczyciela akademickiego</w:t>
      </w:r>
      <w:r w:rsidRPr="005C06CC">
        <w:rPr>
          <w:rFonts w:ascii="Cambria" w:hAnsi="Cambria"/>
          <w:sz w:val="24"/>
          <w:szCs w:val="24"/>
        </w:rPr>
        <w:t xml:space="preserve"> stanowi działalność twórczą o indywidualnym charakterze, o której mowa w ustawie z dnia 4 lutego 1994 r. o prawie autorskim i prawach pokrewnych (tekst jedn. Dz. U. z 2021 r., poz. 1062 ze zm., dalej cyt. </w:t>
      </w:r>
      <w:r w:rsidRPr="006C6706">
        <w:rPr>
          <w:rFonts w:ascii="Cambria" w:hAnsi="Cambria"/>
          <w:sz w:val="24"/>
          <w:szCs w:val="24"/>
        </w:rPr>
        <w:t>jako „pr. aut.”). Posługując się wykładnią językową, należałoby zatem rozumieć, że wykonywanie (</w:t>
      </w:r>
      <w:r w:rsidRPr="005C06CC">
        <w:rPr>
          <w:rFonts w:ascii="Cambria" w:hAnsi="Cambria"/>
          <w:sz w:val="24"/>
          <w:szCs w:val="24"/>
        </w:rPr>
        <w:t xml:space="preserve">proces podejmowanych działań) w zakresie wszystkich obowiązków nauczyciela akademickiego jest indywidualną działalnością </w:t>
      </w:r>
      <w:r w:rsidRPr="005C06CC">
        <w:rPr>
          <w:rFonts w:ascii="Cambria" w:hAnsi="Cambria"/>
          <w:sz w:val="24"/>
          <w:szCs w:val="24"/>
        </w:rPr>
        <w:lastRenderedPageBreak/>
        <w:t>twórczą w rozumieniu przepisów prawnoautorskich (</w:t>
      </w:r>
      <w:r w:rsidRPr="005C06CC">
        <w:rPr>
          <w:rFonts w:ascii="Cambria" w:hAnsi="Cambria"/>
          <w:i/>
          <w:iCs/>
          <w:sz w:val="24"/>
          <w:szCs w:val="24"/>
        </w:rPr>
        <w:t xml:space="preserve">ergo </w:t>
      </w:r>
      <w:r w:rsidRPr="005C06CC">
        <w:rPr>
          <w:rFonts w:ascii="Cambria" w:hAnsi="Cambria"/>
          <w:sz w:val="24"/>
          <w:szCs w:val="24"/>
        </w:rPr>
        <w:t xml:space="preserve">także obowiązki natury organizacyjnej, czy aktywność podejmowana w ramach podnoszenia kwalifikacji zawodowych). Z całokształtu normatywnego przepisów wprost nie wynika jednak, że dochodzi do powstania </w:t>
      </w:r>
      <w:r w:rsidRPr="00E63199">
        <w:rPr>
          <w:rFonts w:ascii="Cambria" w:hAnsi="Cambria"/>
          <w:i/>
          <w:iCs/>
          <w:sz w:val="24"/>
          <w:szCs w:val="24"/>
        </w:rPr>
        <w:t>sui generis</w:t>
      </w:r>
      <w:r w:rsidRPr="00E63199">
        <w:rPr>
          <w:rFonts w:ascii="Cambria" w:hAnsi="Cambria"/>
          <w:sz w:val="24"/>
          <w:szCs w:val="24"/>
        </w:rPr>
        <w:t xml:space="preserve"> twórczego wytworu</w:t>
      </w:r>
      <w:r w:rsidRPr="005C06CC">
        <w:rPr>
          <w:rFonts w:ascii="Cambria" w:hAnsi="Cambria"/>
          <w:sz w:val="24"/>
          <w:szCs w:val="24"/>
        </w:rPr>
        <w:t xml:space="preserve"> (który podlegałby ochronie prawnoautorskiej, w oderwaniu od warunku kumulatywnego spełnienia cech współtworzących utwór w rozumieniu przepisów pr. aut.). Brak jest regulacji, która wskazywałaby na odstąpienie przez ustawodawcę od definicji legalnej, do której wprost odsyła przepis p.s.w.n. – tj. do definicji „utworu” zawartej w przepisach prawnoautorskich. Za prawidłowe należałoby zatem uznać posłużenie się w procesie wykładni wprost definicją legalną zawartą w przepisach prawa autorskiego. Ustawodawca chcąc odstąpić od tej zasady, zgodnie z zasadami prawidłowej legislacji, powinien był wyraźnie podać inne znaczenie dla pojęcia pracy twórczej nauczyciela akademickiego i ustalić jego zakres odniesienia, bądź też wprowadzić wprost odrębną kategorię utworów powstających w ramach „akademickiego” stosunku pracy. W ramach obowiązujących przepisów nie przyjęto żadnego ze wspomnianych powyżej rozwiązań. </w:t>
      </w:r>
    </w:p>
    <w:p w14:paraId="521FDF13" w14:textId="77777777" w:rsidR="0082666B" w:rsidRPr="005C06CC" w:rsidRDefault="0082666B" w:rsidP="0082666B">
      <w:pPr>
        <w:spacing w:after="0" w:line="240" w:lineRule="auto"/>
        <w:ind w:firstLine="709"/>
        <w:jc w:val="both"/>
        <w:rPr>
          <w:rFonts w:ascii="Cambria" w:eastAsia="Times New Roman" w:hAnsi="Cambria"/>
          <w:color w:val="000000"/>
          <w:sz w:val="24"/>
          <w:szCs w:val="24"/>
          <w:lang w:eastAsia="pl-PL"/>
        </w:rPr>
      </w:pPr>
      <w:r w:rsidRPr="005C06CC">
        <w:rPr>
          <w:rFonts w:ascii="Cambria" w:hAnsi="Cambria"/>
          <w:sz w:val="24"/>
          <w:szCs w:val="24"/>
        </w:rPr>
        <w:t xml:space="preserve">Na tym tle zrodziły się nie tylko trudności na styku regulacji p.s.w.n. i pr. aut., ale i </w:t>
      </w:r>
      <w:r w:rsidRPr="00E63199">
        <w:rPr>
          <w:rFonts w:ascii="Cambria" w:hAnsi="Cambria"/>
          <w:sz w:val="24"/>
          <w:szCs w:val="24"/>
        </w:rPr>
        <w:t>niejasności o charakterze podatkowoprawnym</w:t>
      </w:r>
      <w:r w:rsidRPr="005C06CC">
        <w:rPr>
          <w:rFonts w:ascii="Cambria" w:hAnsi="Cambria"/>
          <w:sz w:val="24"/>
          <w:szCs w:val="24"/>
        </w:rPr>
        <w:t xml:space="preserve">, których w przedstawianym obszarze badawczym nie można było pominąć. </w:t>
      </w:r>
      <w:r w:rsidRPr="005C06CC">
        <w:rPr>
          <w:rFonts w:ascii="Cambria" w:eastAsia="Times New Roman" w:hAnsi="Cambria"/>
          <w:color w:val="000000"/>
          <w:sz w:val="24"/>
          <w:szCs w:val="24"/>
          <w:lang w:eastAsia="pl-PL"/>
        </w:rPr>
        <w:t xml:space="preserve">Zgodnie z przepisami ustawy z dnia 26 lipca 1991 r. o podatku dochodowym od osób fizycznych (tekst jedn. Dz. U. z 2021 r., poz. 1128 ze zm., dalej cyt. jako </w:t>
      </w:r>
      <w:r w:rsidRPr="006C6706">
        <w:rPr>
          <w:rFonts w:ascii="Cambria" w:eastAsia="Times New Roman" w:hAnsi="Cambria"/>
          <w:color w:val="000000"/>
          <w:sz w:val="24"/>
          <w:szCs w:val="24"/>
          <w:lang w:eastAsia="pl-PL"/>
        </w:rPr>
        <w:t>u.p.d.o.f.) kosztami</w:t>
      </w:r>
      <w:r w:rsidRPr="005C06CC">
        <w:rPr>
          <w:rFonts w:ascii="Cambria" w:eastAsia="Times New Roman" w:hAnsi="Cambria"/>
          <w:color w:val="000000"/>
          <w:sz w:val="24"/>
          <w:szCs w:val="24"/>
          <w:lang w:eastAsia="pl-PL"/>
        </w:rPr>
        <w:t xml:space="preserve"> uzyskania przychodów są wydatki poniesione w celu osiągnięcia przychodów lub zachowania albo zabezpieczenia źródła przychodów (art. 22 ust.1 u.p.d.o.f. z zastrzeżeniem, że zasada ta nie obejmuje kosztów wymienionych w art. 23 u.p.d.o.f.). W odniesieniu do niektórych przychodów </w:t>
      </w:r>
      <w:r>
        <w:rPr>
          <w:rFonts w:ascii="Cambria" w:eastAsia="Times New Roman" w:hAnsi="Cambria"/>
          <w:color w:val="000000"/>
          <w:sz w:val="24"/>
          <w:szCs w:val="24"/>
          <w:lang w:eastAsia="pl-PL"/>
        </w:rPr>
        <w:t xml:space="preserve">w </w:t>
      </w:r>
      <w:r w:rsidRPr="005C06CC">
        <w:rPr>
          <w:rFonts w:ascii="Cambria" w:eastAsia="Times New Roman" w:hAnsi="Cambria"/>
          <w:color w:val="000000"/>
          <w:sz w:val="24"/>
          <w:szCs w:val="24"/>
          <w:lang w:eastAsia="pl-PL"/>
        </w:rPr>
        <w:t xml:space="preserve">u.p.d.o.f. </w:t>
      </w:r>
      <w:r>
        <w:rPr>
          <w:rFonts w:ascii="Cambria" w:eastAsia="Times New Roman" w:hAnsi="Cambria"/>
          <w:color w:val="000000"/>
          <w:sz w:val="24"/>
          <w:szCs w:val="24"/>
          <w:lang w:eastAsia="pl-PL"/>
        </w:rPr>
        <w:t>dopuszczono</w:t>
      </w:r>
      <w:r w:rsidRPr="005C06CC">
        <w:rPr>
          <w:rFonts w:ascii="Cambria" w:eastAsia="Times New Roman" w:hAnsi="Cambria"/>
          <w:color w:val="000000"/>
          <w:sz w:val="24"/>
          <w:szCs w:val="24"/>
          <w:lang w:eastAsia="pl-PL"/>
        </w:rPr>
        <w:t xml:space="preserve"> możliwość ustalania kosztów zryczałtowanych. Przewiduje </w:t>
      </w:r>
      <w:r>
        <w:rPr>
          <w:rFonts w:ascii="Cambria" w:eastAsia="Times New Roman" w:hAnsi="Cambria"/>
          <w:color w:val="000000"/>
          <w:sz w:val="24"/>
          <w:szCs w:val="24"/>
          <w:lang w:eastAsia="pl-PL"/>
        </w:rPr>
        <w:t xml:space="preserve">się </w:t>
      </w:r>
      <w:r w:rsidRPr="005C06CC">
        <w:rPr>
          <w:rFonts w:ascii="Cambria" w:eastAsia="Times New Roman" w:hAnsi="Cambria"/>
          <w:color w:val="000000"/>
          <w:sz w:val="24"/>
          <w:szCs w:val="24"/>
          <w:lang w:eastAsia="pl-PL"/>
        </w:rPr>
        <w:t xml:space="preserve">bowiem, że w przypadku korzystania przez twórców z praw autorskich i praw pokrewnych w rozumieniu odrębnych przepisów lub rozporządzania przez nich tymi prawami, mają zastosowanie 50% koszty uzyskania przychodów. Dotyczy to przychodów z tytułu korzystania przez twórców z praw autorskich i artystów wykonawców z praw pokrewnych, „w rozumieniu odrębnych przepisów”, lub rozporządzania przez nich tymi prawami (art. 22 ust. 9 pkt 3) u.p.o.d.f.). Bez wątpienia „przepisami odrębnymi” w rozumieniu ustawy podatkowej są przepisy </w:t>
      </w:r>
      <w:r w:rsidRPr="005C06CC">
        <w:rPr>
          <w:rFonts w:ascii="Cambria" w:eastAsia="Times New Roman" w:hAnsi="Cambria"/>
          <w:color w:val="1B1B1B"/>
          <w:sz w:val="24"/>
          <w:szCs w:val="24"/>
          <w:lang w:eastAsia="pl-PL"/>
        </w:rPr>
        <w:t>ustawy</w:t>
      </w:r>
      <w:r w:rsidRPr="005C06CC">
        <w:rPr>
          <w:rFonts w:ascii="Cambria" w:eastAsia="Times New Roman" w:hAnsi="Cambria"/>
          <w:color w:val="000000"/>
          <w:sz w:val="24"/>
          <w:szCs w:val="24"/>
          <w:lang w:eastAsia="pl-PL"/>
        </w:rPr>
        <w:t xml:space="preserve"> pr. aut.  Nie można </w:t>
      </w:r>
      <w:r>
        <w:rPr>
          <w:rFonts w:ascii="Cambria" w:eastAsia="Times New Roman" w:hAnsi="Cambria"/>
          <w:color w:val="000000"/>
          <w:sz w:val="24"/>
          <w:szCs w:val="24"/>
          <w:lang w:eastAsia="pl-PL"/>
        </w:rPr>
        <w:t>było</w:t>
      </w:r>
      <w:r w:rsidRPr="005C06CC">
        <w:rPr>
          <w:rFonts w:ascii="Cambria" w:eastAsia="Times New Roman" w:hAnsi="Cambria"/>
          <w:color w:val="000000"/>
          <w:sz w:val="24"/>
          <w:szCs w:val="24"/>
          <w:lang w:eastAsia="pl-PL"/>
        </w:rPr>
        <w:t xml:space="preserve"> zlekceważyć zachodzących związków międzygałęziowych, których uwzględnienie niewątpliwie komplikuje wywód. R</w:t>
      </w:r>
      <w:r w:rsidRPr="005C06CC">
        <w:rPr>
          <w:rFonts w:ascii="Cambria" w:eastAsia="Times New Roman" w:hAnsi="Cambria"/>
          <w:sz w:val="24"/>
          <w:szCs w:val="24"/>
          <w:lang w:eastAsia="pl-PL"/>
        </w:rPr>
        <w:t xml:space="preserve">odzą się bowiem liczne pytania o kategorię  i sposób zastosowania kosztów podatkowych w sytuacji, gdy przychód powiązany z utworem będącym przedmiotem prawa autorskiego został uzyskany w ramach „akademickiej” umowy o pracę. W przypadku „klasycznego” stosunku pracy  konieczne staje się bowiem wyraźne wykazanie </w:t>
      </w:r>
      <w:r w:rsidRPr="005C06CC">
        <w:rPr>
          <w:rFonts w:ascii="Cambria" w:eastAsia="Times New Roman" w:hAnsi="Cambria"/>
          <w:color w:val="000000"/>
          <w:sz w:val="24"/>
          <w:szCs w:val="24"/>
          <w:lang w:eastAsia="pl-PL"/>
        </w:rPr>
        <w:t>okoliczności uzasadniających zastosowanie 50% kosztów uzyskania przychodów (zwłaszcza potwierdzenie faktu powstania konkretnego utworu, przeniesienie praw autorskich oraz ustalenie (i wyodrębnienie) wysokości wynagrodzenia uzyskanego z tego tytułu).</w:t>
      </w:r>
    </w:p>
    <w:p w14:paraId="2BBDB272" w14:textId="77777777" w:rsidR="0082666B" w:rsidRPr="005C06CC" w:rsidRDefault="0082666B" w:rsidP="0082666B">
      <w:pPr>
        <w:spacing w:after="0" w:line="240" w:lineRule="auto"/>
        <w:ind w:firstLine="709"/>
        <w:jc w:val="both"/>
        <w:rPr>
          <w:rFonts w:ascii="Cambria" w:eastAsia="Times New Roman" w:hAnsi="Cambria"/>
          <w:color w:val="000000"/>
          <w:sz w:val="24"/>
          <w:szCs w:val="24"/>
          <w:lang w:eastAsia="pl-PL"/>
        </w:rPr>
      </w:pPr>
      <w:r w:rsidRPr="005C06CC">
        <w:rPr>
          <w:rFonts w:ascii="Cambria" w:eastAsia="Times New Roman" w:hAnsi="Cambria"/>
          <w:color w:val="000000"/>
          <w:sz w:val="24"/>
          <w:szCs w:val="24"/>
          <w:lang w:eastAsia="pl-PL"/>
        </w:rPr>
        <w:t xml:space="preserve">W prowadzonych badaniach dostrzeżono nie tylko powstające niespójności systemowe, ale również zasugerowano rozwiązania o charakterze </w:t>
      </w:r>
      <w:r w:rsidRPr="005C06CC">
        <w:rPr>
          <w:rFonts w:ascii="Cambria" w:eastAsia="Times New Roman" w:hAnsi="Cambria"/>
          <w:i/>
          <w:iCs/>
          <w:color w:val="000000"/>
          <w:sz w:val="24"/>
          <w:szCs w:val="24"/>
          <w:lang w:eastAsia="pl-PL"/>
        </w:rPr>
        <w:t xml:space="preserve">de lege </w:t>
      </w:r>
      <w:r w:rsidRPr="005C06CC">
        <w:rPr>
          <w:rFonts w:ascii="Cambria" w:eastAsia="Times New Roman" w:hAnsi="Cambria"/>
          <w:color w:val="000000"/>
          <w:sz w:val="24"/>
          <w:szCs w:val="24"/>
          <w:lang w:eastAsia="pl-PL"/>
        </w:rPr>
        <w:t xml:space="preserve">ferenda, które mogłyby przyczynić się do zredukowania poziomu niejasności regulacji, a w konsekwencji i napięcia na linii podatnicy (nauczyciele akademiccy) – płatnicy (uczelnie) – organy podatkowe. Wobec narastających zgrzytów na styku praktyki stosowania regulacji p.s.w.n. i pr. aut., a także przepisów podatkowych (zwłaszcza u.p.d.o.f.), </w:t>
      </w:r>
      <w:r w:rsidRPr="005C06CC">
        <w:rPr>
          <w:rFonts w:ascii="Cambria" w:hAnsi="Cambria"/>
          <w:bCs/>
          <w:sz w:val="24"/>
          <w:szCs w:val="24"/>
        </w:rPr>
        <w:t xml:space="preserve">Minister Finansów wydał </w:t>
      </w:r>
      <w:r w:rsidRPr="005C06CC">
        <w:rPr>
          <w:rFonts w:ascii="Cambria" w:hAnsi="Cambria"/>
          <w:sz w:val="24"/>
          <w:szCs w:val="24"/>
        </w:rPr>
        <w:t xml:space="preserve">interpretację ogólną, która w założeniu miała usunąć dylematy natury podatkowoprawnej piętrzące się po wejściu w życie p.s.w.n. </w:t>
      </w:r>
      <w:r w:rsidRPr="00C9784D">
        <w:rPr>
          <w:rFonts w:ascii="Cambria" w:hAnsi="Cambria"/>
          <w:sz w:val="24"/>
          <w:szCs w:val="24"/>
        </w:rPr>
        <w:t>(Interpretacja ogólna Ministra Finansów Nr DD3.8201.1.2018 z 15 września 2020 r. w sprawie zastosowania 50% kosztów uzyskania przychodów do honorarium autorskiego,</w:t>
      </w:r>
      <w:r w:rsidRPr="005C06CC">
        <w:rPr>
          <w:rFonts w:ascii="Cambria" w:hAnsi="Cambria"/>
          <w:sz w:val="24"/>
          <w:szCs w:val="24"/>
        </w:rPr>
        <w:t xml:space="preserve"> Dz. Urz. 2020, poz. </w:t>
      </w:r>
      <w:r w:rsidRPr="005C06CC">
        <w:rPr>
          <w:rFonts w:ascii="Cambria" w:hAnsi="Cambria"/>
          <w:sz w:val="24"/>
          <w:szCs w:val="24"/>
        </w:rPr>
        <w:lastRenderedPageBreak/>
        <w:t>107). Także w tym obszarze przedstawiono dogłębną analizę problemu. Wypada wskazać zwłaszcza na publikacje pt.</w:t>
      </w:r>
      <w:r w:rsidRPr="005C06CC">
        <w:rPr>
          <w:rFonts w:ascii="Cambria" w:eastAsia="Times New Roman" w:hAnsi="Cambria"/>
          <w:i/>
          <w:iCs/>
          <w:sz w:val="24"/>
          <w:szCs w:val="24"/>
          <w:lang w:eastAsia="pl-PL"/>
        </w:rPr>
        <w:t xml:space="preserve"> </w:t>
      </w:r>
      <w:r w:rsidRPr="005C06CC">
        <w:rPr>
          <w:rFonts w:ascii="Cambria" w:eastAsia="Times New Roman" w:hAnsi="Cambria"/>
          <w:i/>
          <w:iCs/>
          <w:sz w:val="24"/>
          <w:szCs w:val="24"/>
          <w:lang w:val="en-GB" w:eastAsia="pl-PL"/>
        </w:rPr>
        <w:t>Taxation of Academic Teachers’ Royalties. Controversies in the context of the general interpretation by the Minister of Finance</w:t>
      </w:r>
      <w:r w:rsidRPr="005C06CC">
        <w:rPr>
          <w:rFonts w:ascii="Cambria" w:eastAsia="Times New Roman" w:hAnsi="Cambria"/>
          <w:sz w:val="24"/>
          <w:szCs w:val="24"/>
          <w:lang w:val="en-GB" w:eastAsia="pl-PL"/>
        </w:rPr>
        <w:t xml:space="preserve"> (współautor: P. Smoleń), „Review of European and Comparative Law” 2022, vol. 48, nr 1, s. 235-253, https://doi.org/10.31743/recl.12476; </w:t>
      </w:r>
      <w:r w:rsidRPr="005C06CC">
        <w:rPr>
          <w:rFonts w:ascii="Cambria" w:eastAsia="Times New Roman" w:hAnsi="Cambria"/>
          <w:i/>
          <w:iCs/>
          <w:sz w:val="24"/>
          <w:szCs w:val="24"/>
          <w:lang w:val="en-GB" w:eastAsia="pl-PL"/>
        </w:rPr>
        <w:t>The Problem of the Tax-Legal Unification of the Effects of Employee’s Creative Activity</w:t>
      </w:r>
      <w:r w:rsidRPr="005C06CC">
        <w:rPr>
          <w:rFonts w:ascii="Cambria" w:eastAsia="Times New Roman" w:hAnsi="Cambria"/>
          <w:sz w:val="24"/>
          <w:szCs w:val="24"/>
          <w:lang w:val="en-GB" w:eastAsia="pl-PL"/>
        </w:rPr>
        <w:t xml:space="preserve"> (współautor: P. Smoleń), „Teka Komisji Prawniczej PAN Oddział w Lublinie” 2022, vol. </w:t>
      </w:r>
      <w:r w:rsidRPr="005C06CC">
        <w:rPr>
          <w:rFonts w:ascii="Cambria" w:eastAsia="Times New Roman" w:hAnsi="Cambria"/>
          <w:sz w:val="24"/>
          <w:szCs w:val="24"/>
          <w:lang w:eastAsia="pl-PL"/>
        </w:rPr>
        <w:t>XV, nr 1, s. 297–311, https://doi.org/10.32084/tkp.4473.</w:t>
      </w:r>
      <w:r w:rsidRPr="005C06CC">
        <w:rPr>
          <w:rFonts w:ascii="Cambria" w:eastAsia="Times New Roman" w:hAnsi="Cambria"/>
          <w:color w:val="000000"/>
          <w:sz w:val="24"/>
          <w:szCs w:val="24"/>
          <w:lang w:eastAsia="pl-PL"/>
        </w:rPr>
        <w:t xml:space="preserve"> </w:t>
      </w:r>
      <w:r w:rsidRPr="005C06CC">
        <w:rPr>
          <w:rFonts w:ascii="Cambria" w:hAnsi="Cambria"/>
          <w:sz w:val="24"/>
          <w:szCs w:val="24"/>
        </w:rPr>
        <w:t xml:space="preserve">Za cel postawiono sobie przeprowadzenie oceny podejmowanych działań ministerialnych w kontekście ich efektywności i kompleksowości. Wyniki przeprowadzonych analiz okazały się nie napawać optymizmem. O ile </w:t>
      </w:r>
      <w:r w:rsidRPr="005C06CC">
        <w:rPr>
          <w:rFonts w:ascii="Cambria" w:hAnsi="Cambria"/>
          <w:iCs/>
          <w:sz w:val="24"/>
          <w:szCs w:val="24"/>
        </w:rPr>
        <w:t xml:space="preserve">we wspomnianej interpretacji ogólnej sformułowano wniosek, że zgodnie z u.p.d.o.f. do całości wynagrodzenia nauczyciela akademickiego mają zastosowanie 50% koszty uzyskania przychodów, o tyle przedstawiona argumentacja nie wydaje się być przekonująca. Wystarczy choćby wskazać, że </w:t>
      </w:r>
      <w:r w:rsidRPr="005C06CC">
        <w:rPr>
          <w:rFonts w:ascii="Cambria" w:hAnsi="Cambria"/>
          <w:sz w:val="24"/>
          <w:szCs w:val="24"/>
        </w:rPr>
        <w:t xml:space="preserve">w </w:t>
      </w:r>
      <w:r w:rsidRPr="005C06CC">
        <w:rPr>
          <w:rFonts w:ascii="Cambria" w:hAnsi="Cambria"/>
          <w:bCs/>
          <w:sz w:val="24"/>
          <w:szCs w:val="24"/>
        </w:rPr>
        <w:t xml:space="preserve">wydanej interpretacji zaznaczono, że do utworów powstających w ramach działalności nauczycieli akademickich nie ma zastosowania warunek wyraźnego wyodrębnienia honorarium autorskiego (co </w:t>
      </w:r>
      <w:r w:rsidRPr="005C06CC">
        <w:rPr>
          <w:rFonts w:ascii="Cambria" w:hAnsi="Cambria"/>
          <w:bCs/>
          <w:i/>
          <w:iCs/>
          <w:sz w:val="24"/>
          <w:szCs w:val="24"/>
        </w:rPr>
        <w:t>notabene</w:t>
      </w:r>
      <w:r w:rsidRPr="005C06CC">
        <w:rPr>
          <w:rFonts w:ascii="Cambria" w:hAnsi="Cambria"/>
          <w:bCs/>
          <w:sz w:val="24"/>
          <w:szCs w:val="24"/>
        </w:rPr>
        <w:t xml:space="preserve"> pozostaje to w jaskrawej sprzeczności z literą prawa autorskiego oraz dotychczasową linią orzecznictwa sądowoadministracyjnego). W tym aspekcie przeprowadzono wywód pozanormatywny podnosząc, że </w:t>
      </w:r>
      <w:r w:rsidRPr="005C06CC">
        <w:rPr>
          <w:rFonts w:ascii="Cambria" w:hAnsi="Cambria"/>
          <w:sz w:val="24"/>
          <w:szCs w:val="24"/>
        </w:rPr>
        <w:t xml:space="preserve">p.s.w.n. stanowi odrębną regulację, uwzględniającą realia funkcjonowania uczelni, jako podstawowego podmiotu systemu szkolnictwa wyższego i nauki oraz specyfikę pracy nauczycieli akademickich. Minister Finansów wskazał, że zawód nauczyciela akademickiego jest zawodem o charakterze zbliżonym do tzw. wolnego zawodu, a znaczna część zadań typowych dla nauczycieli akademickich i uwzględnianych także w ocenach ich pracy, to wynik inwencji twórczej i swobodnie prowadzonej działalności badawczej i publikacyjnej. Nie wykazano jednak, z jakich regulacji miałoby wynikać wskazane ograniczenie podstawowych zasad stosunku pracy względem nauczycieli akademickich (ani p.s.w.n., ani k.p. takich przecież nie zawierają). Nie przedstawiono także szerszego uzasadnienia dla przedstawionej koncepcji prawnej pozycji nauczyciela akademickiego jako podmiotu wykonującego wolny zawód. Co więcej, w interpretacji pośrednio postawiono znak równości pomiędzy stworzeniem autorskiej publikacji, a wykładem, czy seminarium. Wydaje się, że zabieg taki może być mylący i prowadzić do wniosków sprzecznych z prawem autorskim i p.s.w.n. </w:t>
      </w:r>
    </w:p>
    <w:p w14:paraId="27739163" w14:textId="77777777" w:rsidR="0082666B" w:rsidRDefault="0082666B" w:rsidP="0082666B">
      <w:pPr>
        <w:spacing w:after="0" w:line="240" w:lineRule="auto"/>
        <w:ind w:firstLine="709"/>
        <w:jc w:val="both"/>
        <w:rPr>
          <w:rFonts w:ascii="Cambria" w:hAnsi="Cambria"/>
          <w:bCs/>
          <w:sz w:val="24"/>
          <w:szCs w:val="24"/>
        </w:rPr>
      </w:pPr>
      <w:r w:rsidRPr="005C06CC">
        <w:rPr>
          <w:rFonts w:ascii="Cambria" w:hAnsi="Cambria"/>
          <w:sz w:val="24"/>
          <w:szCs w:val="24"/>
        </w:rPr>
        <w:t>Postawione tezy potwierdziła analiza aktualnych kierunków działań podejmowanych przez organy podatkowe, sądy, a nawet same uczelnie w okresie po wydaniu interpretacji ogólnej. Z przeprowadzonych badań wynika, że wbrew postawionym celom rządowym, nadal nie doszło do wyeliminowania wątpliwości w zakresie wykładni. Jak w szczególności  argumentowano w glosie częściowo krytycznej do wyroku NSA z dnia 28 maja 2021 r., II FSK 3717/18 (</w:t>
      </w:r>
      <w:r w:rsidRPr="005C06CC">
        <w:rPr>
          <w:rFonts w:ascii="Cambria" w:hAnsi="Cambria"/>
          <w:bCs/>
          <w:i/>
          <w:iCs/>
          <w:sz w:val="24"/>
          <w:szCs w:val="24"/>
        </w:rPr>
        <w:t xml:space="preserve">Dokumentacja wyników działalności twórczej w kontekście opodatkowania wynagrodzenia pracownika akademickiego. Glosa częściowo krytyczna do wyroku Naczelnego Sądu Administracyjnego z dnia 28 maja 2021 r, II FSK 3717/18, LEX nr 3206229 </w:t>
      </w:r>
      <w:r w:rsidRPr="005C06CC">
        <w:rPr>
          <w:rFonts w:ascii="Cambria" w:hAnsi="Cambria"/>
          <w:bCs/>
          <w:sz w:val="24"/>
          <w:szCs w:val="24"/>
        </w:rPr>
        <w:t>(współautor: P. Smoleń),</w:t>
      </w:r>
      <w:r w:rsidRPr="005C06CC">
        <w:rPr>
          <w:rFonts w:ascii="Cambria" w:hAnsi="Cambria"/>
          <w:bCs/>
          <w:i/>
          <w:iCs/>
          <w:sz w:val="24"/>
          <w:szCs w:val="24"/>
        </w:rPr>
        <w:t xml:space="preserve"> „</w:t>
      </w:r>
      <w:r w:rsidRPr="005C06CC">
        <w:rPr>
          <w:rFonts w:ascii="Cambria" w:hAnsi="Cambria"/>
          <w:bCs/>
          <w:sz w:val="24"/>
          <w:szCs w:val="24"/>
        </w:rPr>
        <w:t xml:space="preserve">Przegląd Ustawodawstwa Gospodarczego” 2022, nr 7, s. 60-67, DOI: 10.33226/0137-5490.2022.7.7) sądy </w:t>
      </w:r>
      <w:r>
        <w:rPr>
          <w:rFonts w:ascii="Cambria" w:hAnsi="Cambria"/>
          <w:bCs/>
          <w:sz w:val="24"/>
          <w:szCs w:val="24"/>
        </w:rPr>
        <w:t>wciąż uznają</w:t>
      </w:r>
      <w:r w:rsidRPr="005C06CC">
        <w:rPr>
          <w:rFonts w:ascii="Cambria" w:hAnsi="Cambria"/>
          <w:bCs/>
          <w:sz w:val="24"/>
          <w:szCs w:val="24"/>
        </w:rPr>
        <w:t xml:space="preserve"> </w:t>
      </w:r>
      <w:r w:rsidRPr="005C06CC">
        <w:rPr>
          <w:rFonts w:ascii="Cambria" w:hAnsi="Cambria"/>
          <w:sz w:val="24"/>
          <w:szCs w:val="24"/>
        </w:rPr>
        <w:t xml:space="preserve">swoistą dwoistość (a nawet niekiedy sprzeczność) toku narracji. Powołując się na ministerialną interpretację, która niejako ze względu na wyjątkowy charakter regulacji p.s.w.n. wyłącza warunek wyraźnego wyodrębnienia honorarium autorskiego, </w:t>
      </w:r>
      <w:r>
        <w:rPr>
          <w:rFonts w:ascii="Cambria" w:hAnsi="Cambria"/>
          <w:sz w:val="24"/>
          <w:szCs w:val="24"/>
        </w:rPr>
        <w:t xml:space="preserve">w orzecznictwie </w:t>
      </w:r>
      <w:r w:rsidRPr="005C06CC">
        <w:rPr>
          <w:rFonts w:ascii="Cambria" w:hAnsi="Cambria"/>
          <w:sz w:val="24"/>
          <w:szCs w:val="24"/>
        </w:rPr>
        <w:t xml:space="preserve">jednocześnie podziela się stanowisko, zgodnie z którym dla zastosowania normy kosztów uzyskania przychodów, określonej w art. 22 ust. 9 pkt 3) u.p.d.o.f. konieczne jest rozróżnienie wynagrodzenia na część związaną z </w:t>
      </w:r>
      <w:r w:rsidRPr="005C06CC">
        <w:rPr>
          <w:rFonts w:ascii="Cambria" w:hAnsi="Cambria"/>
          <w:sz w:val="24"/>
          <w:szCs w:val="24"/>
        </w:rPr>
        <w:lastRenderedPageBreak/>
        <w:t xml:space="preserve">wykonywaniem obowiązków pracowniczych i część określającą honorarium, związaną z korzystaniem z praw autorskich za eksploatację dzieła w określony sposób i na określonym polu. Na tle glosowanego wyroku trudno </w:t>
      </w:r>
      <w:r>
        <w:rPr>
          <w:rFonts w:ascii="Cambria" w:hAnsi="Cambria"/>
          <w:sz w:val="24"/>
          <w:szCs w:val="24"/>
        </w:rPr>
        <w:t xml:space="preserve">było </w:t>
      </w:r>
      <w:r w:rsidRPr="005C06CC">
        <w:rPr>
          <w:rFonts w:ascii="Cambria" w:hAnsi="Cambria"/>
          <w:sz w:val="24"/>
          <w:szCs w:val="24"/>
        </w:rPr>
        <w:t xml:space="preserve">odmówić słuszności argumentacji NSA, który podkreślił, że z obowiązujących regulacji wynika, że aby skorzystać z 50% kosztów, koniecznym jest wyraźne wyodrębnienie części wynagrodzenia należnej między innymi za rozporządzanie autorskimi prawami majątkowymi do utworu. To z tytułu przyjęcia utworu i związanych z nim praw majątkowych pracodawca wypłaca należne wynagrodzenie (honorarium), a zatem wielkość tego honorarium musi być jasno określona w dokumentach regulujących treść stosunku pracy. Przeprowadzona analiza wydaje się nieuchronnie prowadzić do wniosków, że przyjęty sposób interpretacji przepisów p.s.w.n. wprowadza swoisty (choć raczej nieuzasadniony normatywnie) dualizm prawny. Wynika on z odmiennego traktowania umów o pracę nauczycieli akademickich, pomimo braku wyraźnych (i jednoznacznych) regulacji prawnych. Co więcej, o ile samo stwierdzenie sądu (jak się wydaje postulatywne) o szczególnym statusie nauczycieli akademickich, </w:t>
      </w:r>
      <w:r w:rsidRPr="005C06CC">
        <w:rPr>
          <w:rFonts w:ascii="Cambria" w:hAnsi="Cambria"/>
          <w:i/>
          <w:iCs/>
          <w:sz w:val="24"/>
          <w:szCs w:val="24"/>
        </w:rPr>
        <w:t>in genere</w:t>
      </w:r>
      <w:r w:rsidRPr="005C06CC">
        <w:rPr>
          <w:rFonts w:ascii="Cambria" w:hAnsi="Cambria"/>
          <w:sz w:val="24"/>
          <w:szCs w:val="24"/>
        </w:rPr>
        <w:t xml:space="preserve"> nie wydaje się wywierać konstytutywnego wpływu na ukształtowanie ram podatkowych dotyczących wysokości kosztów uzyskania przychodów. Z niepokojem wypadało przyjąć również część wywodów, w której wskazywano, że „nauczyciel akademicki wykonuje swoje zadania jedynie w części w sposób podporządkowany i nadzorowany przez pracodawcę”. Literalne rozumienie prezentowanej przez NSA argumentacji (powtarzane za treścią interpretacji ogólnej Ministra Finansów) prowadzi bowiem do wniosków, które mogą okazać się sprzeczne z brzmieniem przepisów p.s.w.n., a nawet k.p. Próbując ustalić </w:t>
      </w:r>
      <w:r w:rsidRPr="005C06CC">
        <w:rPr>
          <w:rFonts w:ascii="Cambria" w:hAnsi="Cambria"/>
          <w:i/>
          <w:iCs/>
          <w:sz w:val="24"/>
          <w:szCs w:val="24"/>
        </w:rPr>
        <w:t>ratio</w:t>
      </w:r>
      <w:r w:rsidRPr="005C06CC">
        <w:rPr>
          <w:rFonts w:ascii="Cambria" w:hAnsi="Cambria"/>
          <w:sz w:val="24"/>
          <w:szCs w:val="24"/>
        </w:rPr>
        <w:t xml:space="preserve"> kierunku argumentacji NSA (a także Ministra Finansów w interpretacji ogólnej) wydaje się, że doszło do przemieszania materialnego elementu kierownictwa pracodawcy (uczelni) z zapewnianiem nauczycielom akademickim wolności prowadzenia badań naukowych. Gwarancję tę zapewnia wyraźnie p.s.w.n., ale w żaden sposób nie przekreśla to możliwości (a nawet obowiązku) sprawowania kierownictwa nad prawidłowością wykonywania obowiązków pracowniczych.</w:t>
      </w:r>
    </w:p>
    <w:p w14:paraId="179D51DE" w14:textId="77777777" w:rsidR="0082666B" w:rsidRDefault="0082666B" w:rsidP="0082666B">
      <w:pPr>
        <w:spacing w:after="0" w:line="240" w:lineRule="auto"/>
        <w:ind w:firstLine="709"/>
        <w:jc w:val="both"/>
        <w:rPr>
          <w:rFonts w:ascii="Cambria" w:eastAsia="Times New Roman" w:hAnsi="Cambria"/>
          <w:sz w:val="24"/>
          <w:szCs w:val="24"/>
          <w:lang w:eastAsia="pl-PL"/>
        </w:rPr>
      </w:pPr>
      <w:r w:rsidRPr="005C06CC">
        <w:rPr>
          <w:rFonts w:ascii="Cambria" w:hAnsi="Cambria"/>
          <w:sz w:val="24"/>
          <w:szCs w:val="24"/>
        </w:rPr>
        <w:t>Podczas prowadzenia badań na styku prawa pracy i innych gałęzi prawa (zwłaszcza prawa autorskiego i prawa podatkowego) dostrzeżono, że dylematy rodzą się</w:t>
      </w:r>
      <w:r>
        <w:rPr>
          <w:rFonts w:ascii="Cambria" w:hAnsi="Cambria"/>
          <w:sz w:val="24"/>
          <w:szCs w:val="24"/>
        </w:rPr>
        <w:t xml:space="preserve"> nie tylko na tle akademickiego stosunku pracy, ale </w:t>
      </w:r>
      <w:r w:rsidRPr="005C06CC">
        <w:rPr>
          <w:rFonts w:ascii="Cambria" w:hAnsi="Cambria"/>
          <w:sz w:val="24"/>
          <w:szCs w:val="24"/>
        </w:rPr>
        <w:t xml:space="preserve">również </w:t>
      </w:r>
      <w:r>
        <w:rPr>
          <w:rFonts w:ascii="Cambria" w:hAnsi="Cambria"/>
          <w:sz w:val="24"/>
          <w:szCs w:val="24"/>
        </w:rPr>
        <w:t>wokół</w:t>
      </w:r>
      <w:r w:rsidRPr="005C06CC">
        <w:rPr>
          <w:rFonts w:ascii="Cambria" w:hAnsi="Cambria"/>
          <w:sz w:val="24"/>
          <w:szCs w:val="24"/>
        </w:rPr>
        <w:t xml:space="preserve"> problematyki </w:t>
      </w:r>
      <w:r>
        <w:rPr>
          <w:rFonts w:ascii="Cambria" w:hAnsi="Cambria"/>
          <w:sz w:val="24"/>
          <w:szCs w:val="24"/>
        </w:rPr>
        <w:t xml:space="preserve">stosowania </w:t>
      </w:r>
      <w:r w:rsidRPr="005C06CC">
        <w:rPr>
          <w:rFonts w:ascii="Cambria" w:hAnsi="Cambria"/>
          <w:sz w:val="24"/>
          <w:szCs w:val="24"/>
        </w:rPr>
        <w:t xml:space="preserve">zryczałtowanych kosztów uzyskania przychodów uzyskiwanych z wykonywanej </w:t>
      </w:r>
      <w:r w:rsidRPr="004B12A3">
        <w:rPr>
          <w:rFonts w:ascii="Cambria" w:hAnsi="Cambria"/>
          <w:sz w:val="24"/>
          <w:szCs w:val="24"/>
        </w:rPr>
        <w:t>działalności artystycznej muzyków-instrumentalistów</w:t>
      </w:r>
      <w:r w:rsidRPr="005C06CC">
        <w:rPr>
          <w:rFonts w:ascii="Cambria" w:hAnsi="Cambria"/>
          <w:sz w:val="24"/>
          <w:szCs w:val="24"/>
        </w:rPr>
        <w:t xml:space="preserve"> uczestniczących w przygotowaniach do koncertów symfonicznych. Preferencyjne ze swojej natury regulacje podatkowe, w założeniu premiujące twórców, wobec utrzymujących się rozbieżności interpretacyjnych co do prawidłowego sposobu stosowania 50% kosztów uzyskania przychodów stopniowo zaczęły nabierać charakteru iluzorycznego. Problematykę tę eksplorowano na tle orzeczenia wydanego przez NSA w dniu 14 marca 2019 r., II FSK 673/17 (</w:t>
      </w:r>
      <w:r w:rsidRPr="005C06CC">
        <w:rPr>
          <w:rFonts w:ascii="Cambria" w:eastAsia="Times New Roman" w:hAnsi="Cambria"/>
          <w:i/>
          <w:iCs/>
          <w:sz w:val="24"/>
          <w:szCs w:val="24"/>
          <w:lang w:eastAsia="pl-PL"/>
        </w:rPr>
        <w:t>Czynności pracowników artystycznych a preferencyjne koszty uzyskania przychodu. Glosa aprobująca do wyroku Naczelnego Sądu Administracyjnego z 14 marca 2019 r., II FSK 673/17, LEX nr 2665530</w:t>
      </w:r>
      <w:r w:rsidRPr="005C06CC">
        <w:rPr>
          <w:rFonts w:ascii="Cambria" w:eastAsia="Times New Roman" w:hAnsi="Cambria"/>
          <w:sz w:val="24"/>
          <w:szCs w:val="24"/>
          <w:lang w:eastAsia="pl-PL"/>
        </w:rPr>
        <w:t xml:space="preserve">, „Annales Universitatis Mariae Curie – Skłodowska Lublin - Polonia, Sectio G” 2021, vol. LXVIII, nr 2, s. 229-240, DOI:10.17951/g.2021.68.2.229-240; </w:t>
      </w:r>
      <w:r w:rsidRPr="005C06CC">
        <w:rPr>
          <w:rFonts w:ascii="Cambria" w:eastAsia="Times New Roman" w:hAnsi="Cambria"/>
          <w:i/>
          <w:iCs/>
          <w:sz w:val="24"/>
          <w:szCs w:val="24"/>
          <w:lang w:eastAsia="pl-PL"/>
        </w:rPr>
        <w:t xml:space="preserve">Problematyka artystycznego wykonania utworu przez muzyka klasycznego w kontekście preferencyjnych regulacji w PIT. Wybrane zagadnienia prawnoautorskie i podatkowe, </w:t>
      </w:r>
      <w:r w:rsidRPr="005C06CC">
        <w:rPr>
          <w:rFonts w:ascii="Cambria" w:eastAsia="Times New Roman" w:hAnsi="Cambria"/>
          <w:sz w:val="24"/>
          <w:szCs w:val="24"/>
          <w:lang w:eastAsia="pl-PL"/>
        </w:rPr>
        <w:t xml:space="preserve">„Studia Administracyjne” 2022, nr 1, s. 5-16, DOI: 10.18276/sa.2022.15-01). </w:t>
      </w:r>
    </w:p>
    <w:p w14:paraId="095A6F65" w14:textId="77777777" w:rsidR="0082666B" w:rsidRPr="004B12A3" w:rsidRDefault="0082666B" w:rsidP="0082666B">
      <w:pPr>
        <w:spacing w:after="0" w:line="240" w:lineRule="auto"/>
        <w:ind w:firstLine="709"/>
        <w:jc w:val="both"/>
        <w:rPr>
          <w:rFonts w:ascii="Cambria" w:hAnsi="Cambria"/>
          <w:bCs/>
          <w:sz w:val="24"/>
          <w:szCs w:val="24"/>
        </w:rPr>
      </w:pPr>
      <w:r w:rsidRPr="005C06CC">
        <w:rPr>
          <w:rFonts w:ascii="Cambria" w:eastAsia="Times New Roman" w:hAnsi="Cambria"/>
          <w:sz w:val="24"/>
          <w:szCs w:val="24"/>
          <w:lang w:eastAsia="pl-PL"/>
        </w:rPr>
        <w:t>Podkreślono, że o</w:t>
      </w:r>
      <w:r w:rsidRPr="005C06CC">
        <w:rPr>
          <w:rFonts w:ascii="Cambria" w:hAnsi="Cambria"/>
          <w:sz w:val="24"/>
          <w:szCs w:val="24"/>
        </w:rPr>
        <w:t xml:space="preserve">sią centralną analizowanego zagadnienia było nadanie prawidłowego wydźwięku semantycznego pojęciu artystycznego wykonania. Dopiero bowiem odkodowanie sensu wspomnianego (niezdefiniowanego ustawowo) terminu </w:t>
      </w:r>
      <w:r w:rsidRPr="005C06CC">
        <w:rPr>
          <w:rFonts w:ascii="Cambria" w:hAnsi="Cambria"/>
          <w:sz w:val="24"/>
          <w:szCs w:val="24"/>
        </w:rPr>
        <w:lastRenderedPageBreak/>
        <w:t xml:space="preserve">gwarantuje właściwą ocenę tak cywilnoprawną, jak i podatkową. Należało więc dostrzec (i z aprobatą przyjąć) formowanie się linii orzeczniczej sądów administracyjnych, na tle której wyłania się argumentacja przyznająca przymiot „artystyczności” wykonaniom utworów podczas prób przed koncertem z udziałem profesjonalnej orkiestry, które nie służą jedynie poprawnemu odtworzeniu zapisu nutowego, lecz także twórczej interpretacji. Celem badawczym glosy było nakreślenie ram spornego obszaru interpretacji terminu „artystyczne wykonanie utworu” w kontekście zakresu stosowania preferencyjnych kosztów uzyskania przychodów wobec artystów uczestniczących w próbach i ćwiczeniach przed koncertem. Podkreślono, że zrozumienie istoty podejmowanych przez nich działań determinuje także tendencje polityki podatkowej. Jednocześnie wskazano, że dla osiągnięcia pełnej efektywności działania preferencyjnych regulacji podatkowych powinno się wdrożyć adekwatne rozwiązania legislacyjne. Do takich mogłoby należeć m. in. sformułowanie kompleksowej definicji pojęcia artystycznego wykonania utworu. W publikacji zaznaczono, że pozostanie jedynie na płaszczyźnie kazuistyki orzeczniczej będzie determinowało przyjmowanie przez podatników zachowawczej postawy ze względu na niejasność regulacji i ryzyko ponoszenia odpowiedzialności karno-skarbowej. W ten sposób zamiar w postaci przyznania im preferencji podatkowych </w:t>
      </w:r>
      <w:r w:rsidRPr="005C06CC">
        <w:rPr>
          <w:rFonts w:ascii="Cambria" w:hAnsi="Cambria"/>
          <w:i/>
          <w:iCs/>
          <w:sz w:val="24"/>
          <w:szCs w:val="24"/>
        </w:rPr>
        <w:t xml:space="preserve">de facto </w:t>
      </w:r>
      <w:r w:rsidRPr="005C06CC">
        <w:rPr>
          <w:rFonts w:ascii="Cambria" w:hAnsi="Cambria"/>
          <w:sz w:val="24"/>
          <w:szCs w:val="24"/>
        </w:rPr>
        <w:t>nie zostanie osiągnięty. Niewątpliwie sytuacja taka nie byłaby pożądana ani ze względu na zasadę pewności prawa, ani ze względu na kształt polityki podatkowej.</w:t>
      </w:r>
    </w:p>
    <w:p w14:paraId="6D701C94" w14:textId="77777777" w:rsidR="0082666B" w:rsidRPr="005C06CC" w:rsidRDefault="0082666B" w:rsidP="0082666B">
      <w:pPr>
        <w:spacing w:after="0" w:line="240" w:lineRule="auto"/>
        <w:ind w:firstLine="709"/>
        <w:jc w:val="both"/>
        <w:rPr>
          <w:rFonts w:ascii="Cambria" w:eastAsia="Times New Roman" w:hAnsi="Cambria"/>
          <w:sz w:val="24"/>
          <w:szCs w:val="24"/>
          <w:lang w:eastAsia="pl-PL"/>
        </w:rPr>
      </w:pPr>
      <w:r w:rsidRPr="005C06CC">
        <w:rPr>
          <w:rFonts w:ascii="Cambria" w:hAnsi="Cambria"/>
          <w:sz w:val="24"/>
          <w:szCs w:val="24"/>
        </w:rPr>
        <w:t xml:space="preserve">W przedstawianym obszarze badań nie zabrakło również aktualnej problematyki, która pojawiła się w wyniku nowych wyzwań cywilizacyjnych związanych ze światową pandemią SARS-CoV-2 (COVID-19). W tym zakresie wypada wskazać na publikacje pt. </w:t>
      </w:r>
      <w:r w:rsidRPr="005C06CC">
        <w:rPr>
          <w:rFonts w:ascii="Cambria" w:eastAsia="Times New Roman" w:hAnsi="Cambria"/>
          <w:i/>
          <w:iCs/>
          <w:sz w:val="24"/>
          <w:szCs w:val="24"/>
          <w:lang w:eastAsia="pl-PL"/>
        </w:rPr>
        <w:t>Zdalne świadczenie pracy w czasie epidemii koronawirusa SARS-Cov-2 w Polsce. Wybrane zagadnienia,</w:t>
      </w:r>
      <w:r w:rsidRPr="005C06CC">
        <w:rPr>
          <w:rFonts w:ascii="Cambria" w:eastAsia="Times New Roman" w:hAnsi="Cambria"/>
          <w:sz w:val="24"/>
          <w:szCs w:val="24"/>
          <w:lang w:eastAsia="pl-PL"/>
        </w:rPr>
        <w:t xml:space="preserve"> [w:] </w:t>
      </w:r>
      <w:r w:rsidRPr="005C06CC">
        <w:rPr>
          <w:rFonts w:ascii="Cambria" w:eastAsia="Times New Roman" w:hAnsi="Cambria"/>
          <w:i/>
          <w:iCs/>
          <w:sz w:val="24"/>
          <w:szCs w:val="24"/>
          <w:lang w:eastAsia="pl-PL"/>
        </w:rPr>
        <w:t>Prawo i administracja we współczesnym świecie. Kierunki zmian</w:t>
      </w:r>
      <w:r w:rsidRPr="005C06CC">
        <w:rPr>
          <w:rFonts w:ascii="Cambria" w:eastAsia="Times New Roman" w:hAnsi="Cambria"/>
          <w:sz w:val="24"/>
          <w:szCs w:val="24"/>
          <w:lang w:eastAsia="pl-PL"/>
        </w:rPr>
        <w:t xml:space="preserve">, red. </w:t>
      </w:r>
      <w:r w:rsidRPr="005C06CC">
        <w:rPr>
          <w:rFonts w:ascii="Cambria" w:eastAsia="Times New Roman" w:hAnsi="Cambria"/>
          <w:sz w:val="24"/>
          <w:szCs w:val="24"/>
          <w:lang w:val="en-GB" w:eastAsia="pl-PL"/>
        </w:rPr>
        <w:t>M. Stanisławska, Łódź - Kielce 2020,  s. 171-180, ISBN: 978-83-66709-37-9;</w:t>
      </w:r>
      <w:r w:rsidRPr="005C06CC">
        <w:rPr>
          <w:rFonts w:ascii="Cambria" w:eastAsia="Times New Roman" w:hAnsi="Cambria"/>
          <w:i/>
          <w:iCs/>
          <w:sz w:val="24"/>
          <w:szCs w:val="24"/>
          <w:lang w:val="en-GB" w:eastAsia="pl-PL"/>
        </w:rPr>
        <w:t xml:space="preserve"> Remote working and teleworking. Some points of reflection in the context of the current coronavirus SARS-CoV-2 pandemic</w:t>
      </w:r>
      <w:r w:rsidRPr="005C06CC">
        <w:rPr>
          <w:rFonts w:ascii="Cambria" w:eastAsia="Times New Roman" w:hAnsi="Cambria"/>
          <w:sz w:val="24"/>
          <w:szCs w:val="24"/>
          <w:lang w:val="en-GB" w:eastAsia="pl-PL"/>
        </w:rPr>
        <w:t xml:space="preserve">, </w:t>
      </w:r>
      <w:r w:rsidRPr="005C06CC">
        <w:rPr>
          <w:rFonts w:ascii="Cambria" w:hAnsi="Cambria"/>
          <w:bCs/>
          <w:i/>
          <w:iCs/>
          <w:sz w:val="24"/>
          <w:szCs w:val="24"/>
          <w:lang w:val="en-GB"/>
        </w:rPr>
        <w:t>„</w:t>
      </w:r>
      <w:r w:rsidRPr="005C06CC">
        <w:rPr>
          <w:rFonts w:ascii="Cambria" w:eastAsia="Times New Roman" w:hAnsi="Cambria"/>
          <w:sz w:val="24"/>
          <w:szCs w:val="24"/>
          <w:lang w:val="en-GB" w:eastAsia="pl-PL"/>
        </w:rPr>
        <w:t xml:space="preserve">Acta Iuris Stetinensis” 2020, Nr 4(32), s. 117-128, https://doi.org/10.18276/ais.2020.32-08. </w:t>
      </w:r>
      <w:r w:rsidRPr="005C06CC">
        <w:rPr>
          <w:rFonts w:ascii="Cambria" w:eastAsia="Times New Roman" w:hAnsi="Cambria"/>
          <w:sz w:val="24"/>
          <w:szCs w:val="24"/>
          <w:lang w:eastAsia="pl-PL"/>
        </w:rPr>
        <w:t xml:space="preserve">Z uzasadnienia do ustawy z dnia 2 marca 2020 r. o szczególnych rozwiązaniach związanych z zapobieganiem, przeciwdziałaniem i zwalczaniem COVID-19, innych chorób zakaźnych oraz wywołanych nimi sytuacji kryzysowych (tekst jedn. Dz. U. z 2021 r., poz. 2095 ze zm., dalej cyt. jako </w:t>
      </w:r>
      <w:r w:rsidRPr="006C6706">
        <w:rPr>
          <w:rFonts w:ascii="Cambria" w:eastAsia="Times New Roman" w:hAnsi="Cambria"/>
          <w:sz w:val="24"/>
          <w:szCs w:val="24"/>
          <w:lang w:eastAsia="pl-PL"/>
        </w:rPr>
        <w:t>„ustawa o COVID”)</w:t>
      </w:r>
      <w:r w:rsidRPr="005C06CC">
        <w:rPr>
          <w:rFonts w:ascii="Cambria" w:eastAsia="Times New Roman" w:hAnsi="Cambria"/>
          <w:sz w:val="24"/>
          <w:szCs w:val="24"/>
          <w:lang w:eastAsia="pl-PL"/>
        </w:rPr>
        <w:t xml:space="preserve"> przyjęcie</w:t>
      </w:r>
      <w:r>
        <w:rPr>
          <w:rFonts w:ascii="Cambria" w:eastAsia="Times New Roman" w:hAnsi="Cambria"/>
          <w:sz w:val="24"/>
          <w:szCs w:val="24"/>
          <w:lang w:eastAsia="pl-PL"/>
        </w:rPr>
        <w:t xml:space="preserve"> </w:t>
      </w:r>
      <w:r w:rsidRPr="005C06CC">
        <w:rPr>
          <w:rFonts w:ascii="Cambria" w:eastAsia="Times New Roman" w:hAnsi="Cambria"/>
          <w:sz w:val="24"/>
          <w:szCs w:val="24"/>
          <w:lang w:eastAsia="pl-PL"/>
        </w:rPr>
        <w:t xml:space="preserve">proponowanych w niej rozwiązań prawnych, miało stanowić efektywne narzędzie prewencji minimalizujące zagrożenia dla zdrowia publicznego. Jednym z proponowanych nowych instrumentów zmierzających do poprawy stanu epidemicznego w kraju miało być wprowadzenie do przepisów możliwości wykonywania przez pracowników pracy zdalnej. </w:t>
      </w:r>
      <w:r>
        <w:rPr>
          <w:rFonts w:ascii="Cambria" w:eastAsia="Times New Roman" w:hAnsi="Cambria"/>
          <w:sz w:val="24"/>
          <w:szCs w:val="24"/>
          <w:lang w:eastAsia="pl-PL"/>
        </w:rPr>
        <w:t>W początkowej fazie obowiązywania</w:t>
      </w:r>
      <w:r w:rsidRPr="005C06CC">
        <w:rPr>
          <w:rFonts w:ascii="Cambria" w:eastAsia="Times New Roman" w:hAnsi="Cambria"/>
          <w:sz w:val="24"/>
          <w:szCs w:val="24"/>
          <w:lang w:eastAsia="pl-PL"/>
        </w:rPr>
        <w:t xml:space="preserve"> rozwiązanie to rodziło szereg negatywnych emocji. Lakoniczna regulacja prawna generowała wiele trudności interpretacyjnych, które w wyjątkowej sytuacji jaką jest epidemia, ujawniały się ze zdwojoną siłą, powodując narastanie barier natury prawnoorganizacyjnej</w:t>
      </w:r>
      <w:r>
        <w:rPr>
          <w:rFonts w:ascii="Cambria" w:eastAsia="Times New Roman" w:hAnsi="Cambria"/>
          <w:sz w:val="24"/>
          <w:szCs w:val="24"/>
          <w:lang w:eastAsia="pl-PL"/>
        </w:rPr>
        <w:t xml:space="preserve"> i prawnej</w:t>
      </w:r>
      <w:r w:rsidRPr="005C06CC">
        <w:rPr>
          <w:rFonts w:ascii="Cambria" w:eastAsia="Times New Roman" w:hAnsi="Cambria"/>
          <w:sz w:val="24"/>
          <w:szCs w:val="24"/>
          <w:lang w:eastAsia="pl-PL"/>
        </w:rPr>
        <w:t xml:space="preserve"> (obowiązywała już bowiem konstrukcja prawna przyjęta w k.p. – tj. telepraca). Kluczowe więc było ustalenie, czy praca zdalna ma odpowiadać warunkom telepracy, czy wymagania formalne mają być tożsame w stosunku do tych, które ustawodawca przewidział dla telepracy, i jak mają się kształtować obowiązki pracownika i pracodawcy przy wykonywaniu pracy w formie zdalnej. Tym bardziej więc palące okazało się uwypuklenie nie tylko słabości regulacji w początkowej jej fazie obowiązywania, ale i nakreślenie ryzyk mogących powstawać na tle jej stosowania. Dostrzeżono, że w dobie postępu technologicznego (nie tylko w okresie epidemii czy zagrożenia epidemicznego) forma ta mogłaby (a nawet powinna) pozostać stałym elementem prawnego krajobrazu. </w:t>
      </w:r>
      <w:r w:rsidRPr="005C06CC">
        <w:rPr>
          <w:rFonts w:ascii="Cambria" w:eastAsia="Times New Roman" w:hAnsi="Cambria"/>
          <w:sz w:val="24"/>
          <w:szCs w:val="24"/>
          <w:lang w:eastAsia="pl-PL"/>
        </w:rPr>
        <w:lastRenderedPageBreak/>
        <w:t xml:space="preserve">Teza wydaje się znajdować potwierdzenie w aktualnie podejmowanych działaniach legislacyjnych. Choć pomimo upływu czasu stosowne rozwiązania nie zostały jeszcze wdrożone, trwa proces ustawodawczy nakierowany na wprowadzenie stosownych zmian. </w:t>
      </w:r>
    </w:p>
    <w:p w14:paraId="01053E06" w14:textId="3C713016" w:rsidR="0082666B" w:rsidRPr="005C06CC" w:rsidRDefault="0082666B" w:rsidP="0082666B">
      <w:pPr>
        <w:spacing w:after="0" w:line="240" w:lineRule="auto"/>
        <w:ind w:firstLine="709"/>
        <w:jc w:val="both"/>
        <w:rPr>
          <w:rFonts w:ascii="Cambria" w:eastAsia="Times New Roman" w:hAnsi="Cambria"/>
          <w:sz w:val="24"/>
          <w:szCs w:val="24"/>
          <w:lang w:eastAsia="pl-PL"/>
        </w:rPr>
      </w:pPr>
      <w:r w:rsidRPr="005C06CC">
        <w:rPr>
          <w:rFonts w:ascii="Cambria" w:eastAsia="Times New Roman" w:hAnsi="Cambria"/>
          <w:sz w:val="24"/>
          <w:szCs w:val="24"/>
          <w:lang w:eastAsia="pl-PL"/>
        </w:rPr>
        <w:t xml:space="preserve">W publikacjach autorskich wskazywano również na słabości (i tymczasowość przyjętych rozwiązań prawnych), m. in. na konieczność ściślejszego uregulowania kwestii ewidencjonowania wyników pracy świadczonej w formie zdalnej, dookreślenia dopuszczalnych form, w jakich są one przekazywane pracodawcy oraz narzędzi umożliwiających sprawowanie nadzoru przez pracodawcę nad wykonywaną pracą, zasad rozliczania z używanego sprzętu w wariantach, gdy pochodzi on od pracodawcy i od pracownika, a także ustalenie relacji pomiędzy charakterem prawnych pracy zdalnej i telepracy. Na marginesie wypada także dodać, że popełniono także </w:t>
      </w:r>
      <w:r w:rsidR="00BA2D1D">
        <w:rPr>
          <w:rFonts w:ascii="Cambria" w:eastAsia="Times New Roman" w:hAnsi="Cambria"/>
          <w:sz w:val="24"/>
          <w:szCs w:val="24"/>
          <w:lang w:eastAsia="pl-PL"/>
        </w:rPr>
        <w:t xml:space="preserve">przyczynkowe </w:t>
      </w:r>
      <w:r w:rsidRPr="005C06CC">
        <w:rPr>
          <w:rFonts w:ascii="Cambria" w:eastAsia="Times New Roman" w:hAnsi="Cambria"/>
          <w:sz w:val="24"/>
          <w:szCs w:val="24"/>
          <w:lang w:eastAsia="pl-PL"/>
        </w:rPr>
        <w:t>artykuły naukowe</w:t>
      </w:r>
      <w:r>
        <w:rPr>
          <w:rFonts w:ascii="Cambria" w:eastAsia="Times New Roman" w:hAnsi="Cambria"/>
          <w:sz w:val="24"/>
          <w:szCs w:val="24"/>
          <w:lang w:eastAsia="pl-PL"/>
        </w:rPr>
        <w:t xml:space="preserve"> opublikowane w czasopismach naukowych</w:t>
      </w:r>
      <w:r w:rsidRPr="005C06CC">
        <w:rPr>
          <w:rFonts w:ascii="Cambria" w:eastAsia="Times New Roman" w:hAnsi="Cambria"/>
          <w:sz w:val="24"/>
          <w:szCs w:val="24"/>
          <w:lang w:eastAsia="pl-PL"/>
        </w:rPr>
        <w:t xml:space="preserve">, które dotyczyły nie tylko specyfiki postępowania sądowego, przedmiotem którego są sprawy z zakresu prawa pracy (tak: </w:t>
      </w:r>
      <w:r w:rsidRPr="005C06CC">
        <w:rPr>
          <w:rFonts w:ascii="Cambria" w:eastAsia="Times New Roman" w:hAnsi="Cambria"/>
          <w:i/>
          <w:sz w:val="24"/>
          <w:szCs w:val="24"/>
          <w:lang w:eastAsia="pl-PL"/>
        </w:rPr>
        <w:t>Postępowanie odrębne w sprawach z zakresu prawa pracy</w:t>
      </w:r>
      <w:r w:rsidRPr="005C06CC">
        <w:rPr>
          <w:rFonts w:ascii="Cambria" w:eastAsia="Times New Roman" w:hAnsi="Cambria"/>
          <w:iCs/>
          <w:sz w:val="24"/>
          <w:szCs w:val="24"/>
          <w:lang w:eastAsia="pl-PL"/>
        </w:rPr>
        <w:t xml:space="preserve">, „Studenckie Zeszyty Naukowe” 2008, Nr 17, s. 153-164), ale zwrócono również uwagę na </w:t>
      </w:r>
      <w:r w:rsidRPr="005C06CC">
        <w:rPr>
          <w:rFonts w:ascii="Cambria" w:eastAsia="Times New Roman" w:hAnsi="Cambria"/>
          <w:sz w:val="24"/>
          <w:szCs w:val="24"/>
          <w:lang w:eastAsia="pl-PL"/>
        </w:rPr>
        <w:t xml:space="preserve">fundamenty o charakterze deontologicznym związane ze świadczeniem pracy w duchu humanizmu (tak: </w:t>
      </w:r>
      <w:r w:rsidRPr="005C06CC">
        <w:rPr>
          <w:rFonts w:ascii="Cambria" w:eastAsia="Times New Roman" w:hAnsi="Cambria"/>
          <w:i/>
          <w:sz w:val="24"/>
          <w:szCs w:val="24"/>
          <w:lang w:eastAsia="pl-PL"/>
        </w:rPr>
        <w:t>Poszanowanie godności pracownika w świetle nauczania Jana Pawła II o pracy</w:t>
      </w:r>
      <w:r w:rsidRPr="005C06CC">
        <w:rPr>
          <w:rFonts w:ascii="Cambria" w:eastAsia="Times New Roman" w:hAnsi="Cambria"/>
          <w:iCs/>
          <w:sz w:val="24"/>
          <w:szCs w:val="24"/>
          <w:lang w:eastAsia="pl-PL"/>
        </w:rPr>
        <w:t xml:space="preserve">, </w:t>
      </w:r>
      <w:r w:rsidRPr="005C06CC">
        <w:rPr>
          <w:rFonts w:ascii="Cambria" w:hAnsi="Cambria"/>
          <w:bCs/>
          <w:i/>
          <w:iCs/>
          <w:sz w:val="24"/>
          <w:szCs w:val="24"/>
        </w:rPr>
        <w:t>„</w:t>
      </w:r>
      <w:r w:rsidRPr="005C06CC">
        <w:rPr>
          <w:rFonts w:ascii="Cambria" w:eastAsia="Times New Roman" w:hAnsi="Cambria"/>
          <w:iCs/>
          <w:sz w:val="24"/>
          <w:szCs w:val="24"/>
          <w:lang w:eastAsia="pl-PL"/>
        </w:rPr>
        <w:t xml:space="preserve">Studenckie Zeszyty Naukowe” 2008, nr 17, s. 80 – 88). Wydaje się, że szczególnie w czasie rozwijających się nowych technologii, zwłaszcza rozwoju sztucznej inteligencji w obszarze świadczenia pracy, ale także wspominanych wcześniej zagrożeń cywilizacyjnych, dostrzeżenie (a nawet odkrycie na nowo) podwalin etyczne wykonywania pracy nabiera na znaczeniu. </w:t>
      </w:r>
    </w:p>
    <w:p w14:paraId="41292127" w14:textId="77777777" w:rsidR="0082666B" w:rsidRPr="005C06CC" w:rsidRDefault="0082666B" w:rsidP="0082666B">
      <w:pPr>
        <w:spacing w:after="120" w:line="23" w:lineRule="atLeast"/>
        <w:jc w:val="both"/>
        <w:rPr>
          <w:rFonts w:ascii="Cambria" w:eastAsia="Times New Roman" w:hAnsi="Cambria"/>
          <w:sz w:val="24"/>
          <w:szCs w:val="24"/>
          <w:lang w:eastAsia="pl-PL"/>
        </w:rPr>
      </w:pPr>
    </w:p>
    <w:p w14:paraId="61E9BF1E" w14:textId="68BB3D6E" w:rsidR="0082666B" w:rsidRPr="005C06CC" w:rsidRDefault="0082666B" w:rsidP="00AF0EA2">
      <w:pPr>
        <w:spacing w:after="120" w:line="276" w:lineRule="auto"/>
        <w:jc w:val="both"/>
        <w:rPr>
          <w:rFonts w:ascii="Cambria" w:eastAsia="Times New Roman" w:hAnsi="Cambria"/>
          <w:b/>
          <w:bCs/>
          <w:sz w:val="24"/>
          <w:szCs w:val="24"/>
          <w:lang w:eastAsia="pl-PL"/>
        </w:rPr>
      </w:pPr>
      <w:r>
        <w:rPr>
          <w:rFonts w:ascii="Cambria" w:eastAsia="Times New Roman" w:hAnsi="Cambria"/>
          <w:b/>
          <w:bCs/>
          <w:sz w:val="24"/>
          <w:szCs w:val="24"/>
          <w:lang w:eastAsia="pl-PL"/>
        </w:rPr>
        <w:t>Ad. 3</w:t>
      </w:r>
      <w:r w:rsidR="00AF0EA2">
        <w:rPr>
          <w:rFonts w:ascii="Cambria" w:eastAsia="Times New Roman" w:hAnsi="Cambria"/>
          <w:b/>
          <w:bCs/>
          <w:sz w:val="24"/>
          <w:szCs w:val="24"/>
          <w:lang w:eastAsia="pl-PL"/>
        </w:rPr>
        <w:t>)</w:t>
      </w:r>
      <w:r>
        <w:rPr>
          <w:rFonts w:ascii="Cambria" w:eastAsia="Times New Roman" w:hAnsi="Cambria"/>
          <w:b/>
          <w:bCs/>
          <w:sz w:val="24"/>
          <w:szCs w:val="24"/>
          <w:lang w:eastAsia="pl-PL"/>
        </w:rPr>
        <w:t xml:space="preserve"> </w:t>
      </w:r>
      <w:r w:rsidRPr="005C06CC">
        <w:rPr>
          <w:rFonts w:ascii="Cambria" w:eastAsia="Times New Roman" w:hAnsi="Cambria"/>
          <w:b/>
          <w:bCs/>
          <w:sz w:val="24"/>
          <w:szCs w:val="24"/>
          <w:lang w:eastAsia="pl-PL"/>
        </w:rPr>
        <w:t xml:space="preserve">Organizacja i funkcjonowanie prawniczych samorządów zawodowych oraz wykonywanie profesji prawniczych (z uwzględnieniem perspektywy prawnoporównawczej) </w:t>
      </w:r>
    </w:p>
    <w:p w14:paraId="5F55C10E" w14:textId="0B49364D" w:rsidR="0082666B" w:rsidRDefault="00AF0EA2" w:rsidP="0082666B">
      <w:pPr>
        <w:spacing w:after="0" w:line="240" w:lineRule="auto"/>
        <w:jc w:val="both"/>
        <w:rPr>
          <w:rFonts w:ascii="Cambria" w:eastAsia="Times New Roman" w:hAnsi="Cambria"/>
          <w:bCs/>
          <w:sz w:val="24"/>
          <w:szCs w:val="24"/>
          <w:lang w:eastAsia="pl-PL"/>
        </w:rPr>
      </w:pPr>
      <w:r>
        <w:rPr>
          <w:rFonts w:ascii="Cambria" w:eastAsia="Times New Roman" w:hAnsi="Cambria"/>
          <w:bCs/>
          <w:sz w:val="24"/>
          <w:szCs w:val="24"/>
          <w:lang w:eastAsia="pl-PL"/>
        </w:rPr>
        <w:t xml:space="preserve">Problematykę związaną z </w:t>
      </w:r>
      <w:r w:rsidRPr="005C06CC">
        <w:rPr>
          <w:rFonts w:ascii="Cambria" w:eastAsia="Times New Roman" w:hAnsi="Cambria"/>
          <w:bCs/>
          <w:sz w:val="24"/>
          <w:szCs w:val="24"/>
          <w:lang w:eastAsia="pl-PL"/>
        </w:rPr>
        <w:t>niniejszym obszar</w:t>
      </w:r>
      <w:r>
        <w:rPr>
          <w:rFonts w:ascii="Cambria" w:eastAsia="Times New Roman" w:hAnsi="Cambria"/>
          <w:bCs/>
          <w:sz w:val="24"/>
          <w:szCs w:val="24"/>
          <w:lang w:eastAsia="pl-PL"/>
        </w:rPr>
        <w:t>em</w:t>
      </w:r>
      <w:r w:rsidRPr="005C06CC">
        <w:rPr>
          <w:rFonts w:ascii="Cambria" w:eastAsia="Times New Roman" w:hAnsi="Cambria"/>
          <w:bCs/>
          <w:sz w:val="24"/>
          <w:szCs w:val="24"/>
          <w:lang w:eastAsia="pl-PL"/>
        </w:rPr>
        <w:t xml:space="preserve"> badawczym </w:t>
      </w:r>
      <w:r>
        <w:rPr>
          <w:rFonts w:ascii="Cambria" w:eastAsia="Times New Roman" w:hAnsi="Cambria"/>
          <w:bCs/>
          <w:sz w:val="24"/>
          <w:szCs w:val="24"/>
          <w:lang w:eastAsia="pl-PL"/>
        </w:rPr>
        <w:t>rozwinięto w</w:t>
      </w:r>
      <w:r w:rsidRPr="005C06CC">
        <w:rPr>
          <w:rFonts w:ascii="Cambria" w:eastAsia="Times New Roman" w:hAnsi="Cambria"/>
          <w:bCs/>
          <w:sz w:val="24"/>
          <w:szCs w:val="24"/>
          <w:lang w:eastAsia="pl-PL"/>
        </w:rPr>
        <w:t xml:space="preserve"> publikacj</w:t>
      </w:r>
      <w:r>
        <w:rPr>
          <w:rFonts w:ascii="Cambria" w:eastAsia="Times New Roman" w:hAnsi="Cambria"/>
          <w:bCs/>
          <w:sz w:val="24"/>
          <w:szCs w:val="24"/>
          <w:lang w:eastAsia="pl-PL"/>
        </w:rPr>
        <w:t>ach</w:t>
      </w:r>
      <w:r w:rsidRPr="005C06CC">
        <w:rPr>
          <w:rFonts w:ascii="Cambria" w:eastAsia="Times New Roman" w:hAnsi="Cambria"/>
          <w:bCs/>
          <w:sz w:val="24"/>
          <w:szCs w:val="24"/>
          <w:lang w:eastAsia="pl-PL"/>
        </w:rPr>
        <w:t xml:space="preserve"> o charakterze</w:t>
      </w:r>
      <w:r>
        <w:rPr>
          <w:rFonts w:ascii="Cambria" w:eastAsia="Times New Roman" w:hAnsi="Cambria"/>
          <w:bCs/>
          <w:sz w:val="24"/>
          <w:szCs w:val="24"/>
          <w:lang w:eastAsia="pl-PL"/>
        </w:rPr>
        <w:t>:</w:t>
      </w:r>
      <w:r w:rsidRPr="005C06CC">
        <w:rPr>
          <w:rFonts w:ascii="Cambria" w:eastAsia="Times New Roman" w:hAnsi="Cambria"/>
          <w:bCs/>
          <w:sz w:val="24"/>
          <w:szCs w:val="24"/>
          <w:lang w:eastAsia="pl-PL"/>
        </w:rPr>
        <w:t xml:space="preserve"> </w:t>
      </w:r>
      <w:r w:rsidR="006C6706">
        <w:rPr>
          <w:rFonts w:ascii="Cambria" w:eastAsia="Times New Roman" w:hAnsi="Cambria"/>
          <w:bCs/>
          <w:sz w:val="24"/>
          <w:szCs w:val="24"/>
          <w:lang w:eastAsia="pl-PL"/>
        </w:rPr>
        <w:t xml:space="preserve">recenzowanej </w:t>
      </w:r>
      <w:r w:rsidR="006C6706" w:rsidRPr="005C06CC">
        <w:rPr>
          <w:rFonts w:ascii="Cambria" w:eastAsia="Times New Roman" w:hAnsi="Cambria"/>
          <w:bCs/>
          <w:sz w:val="24"/>
          <w:szCs w:val="24"/>
          <w:lang w:eastAsia="pl-PL"/>
        </w:rPr>
        <w:t>monografii naukowej</w:t>
      </w:r>
      <w:r w:rsidR="006C6706">
        <w:rPr>
          <w:rFonts w:ascii="Cambria" w:eastAsia="Times New Roman" w:hAnsi="Cambria"/>
          <w:bCs/>
          <w:sz w:val="24"/>
          <w:szCs w:val="24"/>
          <w:lang w:eastAsia="pl-PL"/>
        </w:rPr>
        <w:t xml:space="preserve">, </w:t>
      </w:r>
      <w:r w:rsidRPr="005C06CC">
        <w:rPr>
          <w:rFonts w:ascii="Cambria" w:eastAsia="Times New Roman" w:hAnsi="Cambria"/>
          <w:bCs/>
          <w:sz w:val="24"/>
          <w:szCs w:val="24"/>
          <w:lang w:eastAsia="pl-PL"/>
        </w:rPr>
        <w:t xml:space="preserve">artykułów </w:t>
      </w:r>
      <w:r>
        <w:rPr>
          <w:rFonts w:ascii="Cambria" w:eastAsia="Times New Roman" w:hAnsi="Cambria"/>
          <w:bCs/>
          <w:sz w:val="24"/>
          <w:szCs w:val="24"/>
          <w:lang w:eastAsia="pl-PL"/>
        </w:rPr>
        <w:t xml:space="preserve">w czasopismach </w:t>
      </w:r>
      <w:r w:rsidRPr="005C06CC">
        <w:rPr>
          <w:rFonts w:ascii="Cambria" w:eastAsia="Times New Roman" w:hAnsi="Cambria"/>
          <w:bCs/>
          <w:sz w:val="24"/>
          <w:szCs w:val="24"/>
          <w:lang w:eastAsia="pl-PL"/>
        </w:rPr>
        <w:t xml:space="preserve">naukowych, rozdziałów w </w:t>
      </w:r>
      <w:r>
        <w:rPr>
          <w:rFonts w:ascii="Cambria" w:eastAsia="Times New Roman" w:hAnsi="Cambria"/>
          <w:bCs/>
          <w:sz w:val="24"/>
          <w:szCs w:val="24"/>
          <w:lang w:eastAsia="pl-PL"/>
        </w:rPr>
        <w:t xml:space="preserve">recenzowanych </w:t>
      </w:r>
      <w:r w:rsidRPr="005C06CC">
        <w:rPr>
          <w:rFonts w:ascii="Cambria" w:eastAsia="Times New Roman" w:hAnsi="Cambria"/>
          <w:bCs/>
          <w:sz w:val="24"/>
          <w:szCs w:val="24"/>
          <w:lang w:eastAsia="pl-PL"/>
        </w:rPr>
        <w:t>monografiach</w:t>
      </w:r>
      <w:r>
        <w:rPr>
          <w:rFonts w:ascii="Cambria" w:eastAsia="Times New Roman" w:hAnsi="Cambria"/>
          <w:bCs/>
          <w:sz w:val="24"/>
          <w:szCs w:val="24"/>
          <w:lang w:eastAsia="pl-PL"/>
        </w:rPr>
        <w:t xml:space="preserve"> naukowych</w:t>
      </w:r>
      <w:r w:rsidRPr="005C06CC">
        <w:rPr>
          <w:rFonts w:ascii="Cambria" w:eastAsia="Times New Roman" w:hAnsi="Cambria"/>
          <w:bCs/>
          <w:sz w:val="24"/>
          <w:szCs w:val="24"/>
          <w:lang w:eastAsia="pl-PL"/>
        </w:rPr>
        <w:t xml:space="preserve">, </w:t>
      </w:r>
      <w:r w:rsidR="0082666B" w:rsidRPr="005C06CC">
        <w:rPr>
          <w:rFonts w:ascii="Cambria" w:eastAsia="Times New Roman" w:hAnsi="Cambria"/>
          <w:bCs/>
          <w:sz w:val="24"/>
          <w:szCs w:val="24"/>
          <w:lang w:eastAsia="pl-PL"/>
        </w:rPr>
        <w:t>tj.</w:t>
      </w:r>
    </w:p>
    <w:p w14:paraId="0F2CCACD" w14:textId="446CDEF5" w:rsidR="008A27FE" w:rsidRDefault="008A27FE" w:rsidP="0082666B">
      <w:pPr>
        <w:spacing w:after="0" w:line="240" w:lineRule="auto"/>
        <w:jc w:val="both"/>
        <w:rPr>
          <w:rFonts w:ascii="Cambria" w:eastAsia="Times New Roman" w:hAnsi="Cambria"/>
          <w:bCs/>
          <w:sz w:val="24"/>
          <w:szCs w:val="24"/>
          <w:lang w:eastAsia="pl-PL"/>
        </w:rPr>
      </w:pPr>
    </w:p>
    <w:p w14:paraId="1FB23798" w14:textId="24E8658B" w:rsidR="008A27FE" w:rsidRDefault="008A27FE" w:rsidP="0038603B">
      <w:pPr>
        <w:pStyle w:val="Akapitzlist"/>
        <w:numPr>
          <w:ilvl w:val="0"/>
          <w:numId w:val="31"/>
        </w:numPr>
        <w:spacing w:after="0" w:line="240" w:lineRule="auto"/>
        <w:jc w:val="both"/>
        <w:rPr>
          <w:rFonts w:ascii="Cambria" w:eastAsia="Times New Roman" w:hAnsi="Cambria"/>
          <w:bCs/>
          <w:sz w:val="24"/>
          <w:szCs w:val="24"/>
          <w:lang w:eastAsia="pl-PL"/>
        </w:rPr>
      </w:pPr>
      <w:r w:rsidRPr="008A27FE">
        <w:rPr>
          <w:rFonts w:ascii="Cambria" w:eastAsia="Times New Roman" w:hAnsi="Cambria"/>
          <w:bCs/>
          <w:sz w:val="24"/>
          <w:szCs w:val="24"/>
          <w:u w:val="single"/>
          <w:lang w:eastAsia="pl-PL"/>
        </w:rPr>
        <w:t>Recenzowana monografia naukowa</w:t>
      </w:r>
      <w:r>
        <w:rPr>
          <w:rFonts w:ascii="Cambria" w:eastAsia="Times New Roman" w:hAnsi="Cambria"/>
          <w:bCs/>
          <w:sz w:val="24"/>
          <w:szCs w:val="24"/>
          <w:lang w:eastAsia="pl-PL"/>
        </w:rPr>
        <w:t>:</w:t>
      </w:r>
    </w:p>
    <w:p w14:paraId="028C5CA4" w14:textId="77777777" w:rsidR="008A27FE" w:rsidRPr="008A27FE" w:rsidRDefault="008A27FE" w:rsidP="008A27FE">
      <w:pPr>
        <w:pStyle w:val="Akapitzlist"/>
        <w:spacing w:after="0" w:line="240" w:lineRule="auto"/>
        <w:jc w:val="both"/>
        <w:rPr>
          <w:rFonts w:ascii="Cambria" w:eastAsia="Times New Roman" w:hAnsi="Cambria"/>
          <w:bCs/>
          <w:sz w:val="24"/>
          <w:szCs w:val="24"/>
          <w:lang w:eastAsia="pl-PL"/>
        </w:rPr>
      </w:pPr>
    </w:p>
    <w:p w14:paraId="5231D066" w14:textId="77777777" w:rsidR="008A27FE" w:rsidRPr="00AF0EA2" w:rsidRDefault="008A27FE" w:rsidP="0038603B">
      <w:pPr>
        <w:numPr>
          <w:ilvl w:val="0"/>
          <w:numId w:val="19"/>
        </w:numPr>
        <w:spacing w:after="120" w:line="276" w:lineRule="auto"/>
        <w:jc w:val="both"/>
        <w:rPr>
          <w:rFonts w:ascii="Cambria" w:eastAsia="Times New Roman" w:hAnsi="Cambria"/>
          <w:color w:val="FF0000"/>
          <w:sz w:val="24"/>
          <w:szCs w:val="24"/>
          <w:lang w:eastAsia="pl-PL"/>
        </w:rPr>
      </w:pPr>
      <w:r w:rsidRPr="005C06CC">
        <w:rPr>
          <w:rFonts w:ascii="Cambria" w:eastAsia="Times New Roman" w:hAnsi="Cambria"/>
          <w:i/>
          <w:iCs/>
          <w:color w:val="151515"/>
          <w:sz w:val="24"/>
          <w:szCs w:val="24"/>
          <w:lang w:eastAsia="pl-PL"/>
        </w:rPr>
        <w:t>Charakter prawny uchwał organów samorządu zawodowego radców prawnych w Polsce</w:t>
      </w:r>
      <w:r w:rsidRPr="005C06CC">
        <w:rPr>
          <w:rFonts w:ascii="Cambria" w:eastAsia="Times New Roman" w:hAnsi="Cambria"/>
          <w:color w:val="151515"/>
          <w:sz w:val="24"/>
          <w:szCs w:val="24"/>
          <w:lang w:eastAsia="pl-PL"/>
        </w:rPr>
        <w:t xml:space="preserve">, Wydawnictwo UMCS, Lublin 2018, ISBN: 978-83-227-9111-0, ss. 467; </w:t>
      </w:r>
    </w:p>
    <w:p w14:paraId="77DC2A26" w14:textId="05E8D885" w:rsidR="0082666B" w:rsidRPr="008A27FE" w:rsidRDefault="008A27FE" w:rsidP="0038603B">
      <w:pPr>
        <w:pStyle w:val="Akapitzlist"/>
        <w:numPr>
          <w:ilvl w:val="0"/>
          <w:numId w:val="31"/>
        </w:numPr>
        <w:spacing w:after="120" w:line="276" w:lineRule="auto"/>
        <w:jc w:val="both"/>
        <w:rPr>
          <w:rFonts w:ascii="Cambria" w:eastAsia="Times New Roman" w:hAnsi="Cambria"/>
          <w:sz w:val="24"/>
          <w:szCs w:val="24"/>
          <w:u w:val="single"/>
          <w:lang w:eastAsia="pl-PL"/>
        </w:rPr>
      </w:pPr>
      <w:r w:rsidRPr="008A27FE">
        <w:rPr>
          <w:rFonts w:ascii="Cambria" w:eastAsia="Times New Roman" w:hAnsi="Cambria"/>
          <w:sz w:val="24"/>
          <w:szCs w:val="24"/>
          <w:u w:val="single"/>
          <w:lang w:eastAsia="pl-PL"/>
        </w:rPr>
        <w:t>Artykuły w czasopismach naukowych:</w:t>
      </w:r>
    </w:p>
    <w:p w14:paraId="58975A32" w14:textId="77777777" w:rsidR="0082666B" w:rsidRPr="005C06CC" w:rsidRDefault="0082666B" w:rsidP="0038603B">
      <w:pPr>
        <w:numPr>
          <w:ilvl w:val="0"/>
          <w:numId w:val="19"/>
        </w:numPr>
        <w:spacing w:after="120" w:line="276" w:lineRule="auto"/>
        <w:ind w:left="357" w:hanging="357"/>
        <w:jc w:val="both"/>
        <w:rPr>
          <w:rFonts w:ascii="Cambria" w:eastAsia="Times New Roman" w:hAnsi="Cambria"/>
          <w:sz w:val="24"/>
          <w:szCs w:val="24"/>
          <w:lang w:eastAsia="pl-PL"/>
        </w:rPr>
      </w:pPr>
      <w:r w:rsidRPr="005C06CC">
        <w:rPr>
          <w:rFonts w:ascii="Cambria" w:eastAsia="Times New Roman" w:hAnsi="Cambria"/>
          <w:i/>
          <w:iCs/>
          <w:sz w:val="24"/>
          <w:szCs w:val="24"/>
          <w:lang w:eastAsia="pl-PL"/>
        </w:rPr>
        <w:t>Nieprzydatność aplikanta radcowskiego do wykonywania zawodu radcy prawnego jako przesłanka skreślenia z listy aplikantów. Glosa częściowo krytyczna do wyroku Naczelnego Sądu Administracyjnego z 16 października 2018 r., II GSK 2949/16</w:t>
      </w:r>
      <w:r w:rsidRPr="005C06CC">
        <w:rPr>
          <w:rFonts w:ascii="Cambria" w:eastAsia="Times New Roman" w:hAnsi="Cambria"/>
          <w:sz w:val="24"/>
          <w:szCs w:val="24"/>
          <w:lang w:eastAsia="pl-PL"/>
        </w:rPr>
        <w:t>, „Radca Prawny. Zeszyty Naukowe” 2021, Nr 4 (29), s. 149-162, https://doi.org/10.4467/23921943RP.21.038.15415;</w:t>
      </w:r>
    </w:p>
    <w:p w14:paraId="6BAE38AB" w14:textId="213BF25F" w:rsidR="0082666B" w:rsidRPr="005C06CC" w:rsidRDefault="0082666B" w:rsidP="0038603B">
      <w:pPr>
        <w:numPr>
          <w:ilvl w:val="0"/>
          <w:numId w:val="19"/>
        </w:numPr>
        <w:spacing w:after="120" w:line="276" w:lineRule="auto"/>
        <w:jc w:val="both"/>
        <w:rPr>
          <w:rFonts w:ascii="Cambria" w:eastAsia="Times New Roman" w:hAnsi="Cambria"/>
          <w:color w:val="FF0000"/>
          <w:sz w:val="24"/>
          <w:szCs w:val="24"/>
          <w:lang w:eastAsia="pl-PL"/>
        </w:rPr>
      </w:pPr>
      <w:r w:rsidRPr="005C06CC">
        <w:rPr>
          <w:rFonts w:ascii="Cambria" w:eastAsia="Times New Roman" w:hAnsi="Cambria"/>
          <w:i/>
          <w:iCs/>
          <w:color w:val="151515"/>
          <w:sz w:val="24"/>
          <w:szCs w:val="24"/>
          <w:lang w:eastAsia="pl-PL"/>
        </w:rPr>
        <w:t>Prawne uwarunkowania wykonywania zawodu przez radcę prawnego w kancelarii radcy prawnego - wybrane zagadnienia</w:t>
      </w:r>
      <w:r w:rsidRPr="005C06CC">
        <w:rPr>
          <w:rFonts w:ascii="Cambria" w:eastAsia="Times New Roman" w:hAnsi="Cambria"/>
          <w:color w:val="151515"/>
          <w:sz w:val="24"/>
          <w:szCs w:val="24"/>
          <w:lang w:eastAsia="pl-PL"/>
        </w:rPr>
        <w:t>, „Studia i Materiały Miscellanea Oeconomicae” 2018, nr 3, tom II, red. R. Frey, s. 311-322;</w:t>
      </w:r>
    </w:p>
    <w:p w14:paraId="15C0DC74" w14:textId="256CA057" w:rsidR="0082666B" w:rsidRDefault="0082666B" w:rsidP="0038603B">
      <w:pPr>
        <w:numPr>
          <w:ilvl w:val="0"/>
          <w:numId w:val="19"/>
        </w:numPr>
        <w:spacing w:after="120" w:line="276" w:lineRule="auto"/>
        <w:jc w:val="both"/>
        <w:rPr>
          <w:rFonts w:ascii="Cambria" w:eastAsia="Times New Roman" w:hAnsi="Cambria"/>
          <w:sz w:val="24"/>
          <w:szCs w:val="24"/>
          <w:lang w:eastAsia="pl-PL"/>
        </w:rPr>
      </w:pPr>
      <w:r w:rsidRPr="005C06CC">
        <w:rPr>
          <w:rFonts w:ascii="Cambria" w:eastAsia="Times New Roman" w:hAnsi="Cambria"/>
          <w:i/>
          <w:iCs/>
          <w:sz w:val="24"/>
          <w:szCs w:val="24"/>
          <w:lang w:eastAsia="pl-PL"/>
        </w:rPr>
        <w:lastRenderedPageBreak/>
        <w:t>Kontrola legalności uchwał organów samorządu zawodowego radców prawnych w świetle kompetencji nadzorczych Ministra Sprawiedliwości - wybrane zagadnienia</w:t>
      </w:r>
      <w:r w:rsidRPr="005C06CC">
        <w:rPr>
          <w:rFonts w:ascii="Cambria" w:eastAsia="Times New Roman" w:hAnsi="Cambria"/>
          <w:sz w:val="24"/>
          <w:szCs w:val="24"/>
          <w:lang w:eastAsia="pl-PL"/>
        </w:rPr>
        <w:t>, „Radca Prawny. Zeszyty naukowe ” 2014, nr 1, s. 95-114;</w:t>
      </w:r>
    </w:p>
    <w:p w14:paraId="534FF249" w14:textId="62CF551E" w:rsidR="00AF0EA2" w:rsidRDefault="00AF0EA2" w:rsidP="0038603B">
      <w:pPr>
        <w:numPr>
          <w:ilvl w:val="0"/>
          <w:numId w:val="19"/>
        </w:numPr>
        <w:spacing w:after="120" w:line="276" w:lineRule="auto"/>
        <w:jc w:val="both"/>
        <w:rPr>
          <w:rFonts w:ascii="Cambria" w:eastAsia="Times New Roman" w:hAnsi="Cambria"/>
          <w:color w:val="FF0000"/>
          <w:sz w:val="24"/>
          <w:szCs w:val="24"/>
          <w:lang w:eastAsia="pl-PL"/>
        </w:rPr>
      </w:pPr>
      <w:r w:rsidRPr="005C06CC">
        <w:rPr>
          <w:rFonts w:ascii="Cambria" w:eastAsia="Times New Roman" w:hAnsi="Cambria"/>
          <w:i/>
          <w:color w:val="151515"/>
          <w:sz w:val="24"/>
          <w:szCs w:val="24"/>
          <w:lang w:eastAsia="pl-PL"/>
        </w:rPr>
        <w:t>Sądownictwo obywatelskie w Królestwie Polskim w 1915 r.</w:t>
      </w:r>
      <w:r w:rsidRPr="005C06CC">
        <w:rPr>
          <w:rFonts w:ascii="Cambria" w:eastAsia="Times New Roman" w:hAnsi="Cambria"/>
          <w:color w:val="151515"/>
          <w:sz w:val="24"/>
          <w:szCs w:val="24"/>
          <w:lang w:eastAsia="pl-PL"/>
        </w:rPr>
        <w:t xml:space="preserve"> (współautor A. Bereza), „Kwartalnik Krajowej Rady Sądownictwa” 2016, nr 2, s. 25-33;</w:t>
      </w:r>
    </w:p>
    <w:p w14:paraId="4701420E" w14:textId="6F60452D" w:rsidR="008A27FE" w:rsidRPr="008A27FE" w:rsidRDefault="008A27FE" w:rsidP="0038603B">
      <w:pPr>
        <w:pStyle w:val="Akapitzlist"/>
        <w:numPr>
          <w:ilvl w:val="0"/>
          <w:numId w:val="31"/>
        </w:numPr>
        <w:spacing w:after="120" w:line="276" w:lineRule="auto"/>
        <w:jc w:val="both"/>
        <w:rPr>
          <w:rFonts w:ascii="Cambria" w:eastAsia="Times New Roman" w:hAnsi="Cambria"/>
          <w:sz w:val="24"/>
          <w:szCs w:val="24"/>
          <w:u w:val="single"/>
          <w:lang w:eastAsia="pl-PL"/>
        </w:rPr>
      </w:pPr>
      <w:r w:rsidRPr="008A27FE">
        <w:rPr>
          <w:rFonts w:ascii="Cambria" w:eastAsia="Times New Roman" w:hAnsi="Cambria"/>
          <w:sz w:val="24"/>
          <w:szCs w:val="24"/>
          <w:u w:val="single"/>
          <w:lang w:eastAsia="pl-PL"/>
        </w:rPr>
        <w:t>Rozdziały w recenzowanych monografiach naukowych:</w:t>
      </w:r>
    </w:p>
    <w:p w14:paraId="20AB6BCD" w14:textId="39BDA7E4" w:rsidR="00AF0EA2" w:rsidRPr="005C06CC" w:rsidRDefault="00AF0EA2" w:rsidP="0038603B">
      <w:pPr>
        <w:numPr>
          <w:ilvl w:val="0"/>
          <w:numId w:val="19"/>
        </w:numPr>
        <w:spacing w:after="120" w:line="276" w:lineRule="auto"/>
        <w:jc w:val="both"/>
        <w:rPr>
          <w:rFonts w:ascii="Cambria" w:eastAsia="Times New Roman" w:hAnsi="Cambria"/>
          <w:sz w:val="24"/>
          <w:szCs w:val="24"/>
          <w:lang w:eastAsia="pl-PL"/>
        </w:rPr>
      </w:pPr>
      <w:r w:rsidRPr="005C06CC">
        <w:rPr>
          <w:rFonts w:ascii="Cambria" w:eastAsia="Times New Roman" w:hAnsi="Cambria"/>
          <w:i/>
          <w:iCs/>
          <w:sz w:val="24"/>
          <w:szCs w:val="24"/>
          <w:lang w:eastAsia="pl-PL"/>
        </w:rPr>
        <w:t>Prawnicze samorządy zawodowe a inne podmioty administrujące sui generis. Współczesny dyskurs wokół wybranych zagadnień prawnoustrojowych</w:t>
      </w:r>
      <w:r w:rsidRPr="005C06CC">
        <w:rPr>
          <w:rFonts w:ascii="Cambria" w:eastAsia="Times New Roman" w:hAnsi="Cambria"/>
          <w:sz w:val="24"/>
          <w:szCs w:val="24"/>
          <w:lang w:eastAsia="pl-PL"/>
        </w:rPr>
        <w:t xml:space="preserve">, [w:] </w:t>
      </w:r>
      <w:r w:rsidRPr="005C06CC">
        <w:rPr>
          <w:rFonts w:ascii="Cambria" w:eastAsia="Times New Roman" w:hAnsi="Cambria"/>
          <w:i/>
          <w:iCs/>
          <w:sz w:val="24"/>
          <w:szCs w:val="24"/>
          <w:lang w:eastAsia="pl-PL"/>
        </w:rPr>
        <w:t>Samorząd w systemie politycznym i terytorialno – administracyjnym Polski – osiągnięcia i perspektywy rozwoju</w:t>
      </w:r>
      <w:r w:rsidRPr="005C06CC">
        <w:rPr>
          <w:rFonts w:ascii="Cambria" w:eastAsia="Times New Roman" w:hAnsi="Cambria"/>
          <w:sz w:val="24"/>
          <w:szCs w:val="24"/>
          <w:lang w:eastAsia="pl-PL"/>
        </w:rPr>
        <w:t>, red. R. Kmieciak, K. Walkowiak, Uniwersytet im. Adama Mickiewicza w Poznaniu, Wydawnictwo Naukowe Wydziału Nauk Politycznych i Dziennikarstwa, Poznań 2022, s. 239-248, ISBN 978-83-66740-66-2</w:t>
      </w:r>
      <w:r w:rsidR="00015018">
        <w:rPr>
          <w:rFonts w:ascii="Cambria" w:eastAsia="Times New Roman" w:hAnsi="Cambria"/>
          <w:sz w:val="24"/>
          <w:szCs w:val="24"/>
          <w:lang w:eastAsia="pl-PL"/>
        </w:rPr>
        <w:t>;</w:t>
      </w:r>
    </w:p>
    <w:p w14:paraId="1A8CA53A" w14:textId="6A8173B8" w:rsidR="00AF0EA2" w:rsidRPr="00AF0EA2" w:rsidRDefault="00AF0EA2" w:rsidP="0038603B">
      <w:pPr>
        <w:numPr>
          <w:ilvl w:val="0"/>
          <w:numId w:val="19"/>
        </w:numPr>
        <w:spacing w:after="120" w:line="276" w:lineRule="auto"/>
        <w:jc w:val="both"/>
        <w:rPr>
          <w:rFonts w:ascii="Cambria" w:eastAsia="Times New Roman" w:hAnsi="Cambria"/>
          <w:sz w:val="24"/>
          <w:szCs w:val="24"/>
          <w:lang w:eastAsia="pl-PL"/>
        </w:rPr>
      </w:pPr>
      <w:r w:rsidRPr="005C06CC">
        <w:rPr>
          <w:rFonts w:ascii="Cambria" w:eastAsia="Times New Roman" w:hAnsi="Cambria"/>
          <w:i/>
          <w:iCs/>
          <w:sz w:val="24"/>
          <w:szCs w:val="24"/>
          <w:lang w:eastAsia="pl-PL"/>
        </w:rPr>
        <w:t>Świadczenie nieodpłatnej pomocy prawnej jako zadanie zlecone z zakresu administracji publicznej. Wybrana problematyka</w:t>
      </w:r>
      <w:r w:rsidRPr="005C06CC">
        <w:rPr>
          <w:rFonts w:ascii="Cambria" w:eastAsia="Times New Roman" w:hAnsi="Cambria"/>
          <w:sz w:val="24"/>
          <w:szCs w:val="24"/>
          <w:lang w:eastAsia="pl-PL"/>
        </w:rPr>
        <w:t xml:space="preserve">, [w:] </w:t>
      </w:r>
      <w:r w:rsidRPr="005C06CC">
        <w:rPr>
          <w:rFonts w:ascii="Cambria" w:eastAsia="Times New Roman" w:hAnsi="Cambria"/>
          <w:i/>
          <w:iCs/>
          <w:sz w:val="24"/>
          <w:szCs w:val="24"/>
          <w:lang w:eastAsia="pl-PL"/>
        </w:rPr>
        <w:t>Prawo do dobrego samorządu w kontekście realizacji zadań publicznych</w:t>
      </w:r>
      <w:r w:rsidRPr="005C06CC">
        <w:rPr>
          <w:rFonts w:ascii="Cambria" w:eastAsia="Times New Roman" w:hAnsi="Cambria"/>
          <w:sz w:val="24"/>
          <w:szCs w:val="24"/>
          <w:lang w:eastAsia="pl-PL"/>
        </w:rPr>
        <w:t xml:space="preserve">, red. M. Stec, K. Małysa-Sulińska, Warszawa 2021, s. 233-250, </w:t>
      </w:r>
      <w:r>
        <w:rPr>
          <w:rFonts w:ascii="Times New Roman" w:eastAsia="Times New Roman" w:hAnsi="Times New Roman"/>
          <w:sz w:val="24"/>
          <w:szCs w:val="24"/>
          <w:lang w:eastAsia="pl-PL"/>
        </w:rPr>
        <w:t xml:space="preserve">Wolters Kluwer S. A., </w:t>
      </w:r>
      <w:r w:rsidRPr="005C06CC">
        <w:rPr>
          <w:rFonts w:ascii="Cambria" w:eastAsia="Times New Roman" w:hAnsi="Cambria"/>
          <w:sz w:val="24"/>
          <w:szCs w:val="24"/>
          <w:lang w:eastAsia="pl-PL"/>
        </w:rPr>
        <w:t>ISBN: 978-83-8246-247-0</w:t>
      </w:r>
      <w:r w:rsidR="00015018">
        <w:rPr>
          <w:rFonts w:ascii="Cambria" w:eastAsia="Times New Roman" w:hAnsi="Cambria"/>
          <w:sz w:val="24"/>
          <w:szCs w:val="24"/>
          <w:lang w:eastAsia="pl-PL"/>
        </w:rPr>
        <w:t>;</w:t>
      </w:r>
      <w:r w:rsidRPr="005C06CC">
        <w:rPr>
          <w:rFonts w:ascii="Cambria" w:eastAsia="Times New Roman" w:hAnsi="Cambria"/>
          <w:sz w:val="24"/>
          <w:szCs w:val="24"/>
          <w:lang w:eastAsia="pl-PL"/>
        </w:rPr>
        <w:t xml:space="preserve"> </w:t>
      </w:r>
    </w:p>
    <w:p w14:paraId="22D60A03" w14:textId="688A3E80" w:rsidR="0082666B" w:rsidRPr="005C06CC" w:rsidRDefault="0082666B" w:rsidP="0038603B">
      <w:pPr>
        <w:numPr>
          <w:ilvl w:val="0"/>
          <w:numId w:val="19"/>
        </w:numPr>
        <w:spacing w:after="120" w:line="276" w:lineRule="auto"/>
        <w:jc w:val="both"/>
        <w:rPr>
          <w:rFonts w:ascii="Cambria" w:eastAsia="Times New Roman" w:hAnsi="Cambria"/>
          <w:sz w:val="24"/>
          <w:szCs w:val="24"/>
          <w:lang w:eastAsia="pl-PL"/>
        </w:rPr>
      </w:pPr>
      <w:r w:rsidRPr="005C06CC">
        <w:rPr>
          <w:rFonts w:ascii="Cambria" w:eastAsia="Times New Roman" w:hAnsi="Cambria"/>
          <w:i/>
          <w:iCs/>
          <w:sz w:val="24"/>
          <w:szCs w:val="24"/>
          <w:lang w:eastAsia="pl-PL"/>
        </w:rPr>
        <w:t>Pełnomocnictwo substytucyjne a upoważnienie aplikanta do zastępowania radcy prawnego i adwokata – wybrane zagadnienia. Stan obecny i postulaty de lege ferenda</w:t>
      </w:r>
      <w:r w:rsidRPr="005C06CC">
        <w:rPr>
          <w:rFonts w:ascii="Cambria" w:eastAsia="Times New Roman" w:hAnsi="Cambria"/>
          <w:sz w:val="24"/>
          <w:szCs w:val="24"/>
          <w:lang w:eastAsia="pl-PL"/>
        </w:rPr>
        <w:t xml:space="preserve">, [w:]  </w:t>
      </w:r>
      <w:r w:rsidRPr="005C06CC">
        <w:rPr>
          <w:rFonts w:ascii="Cambria" w:eastAsia="Times New Roman" w:hAnsi="Cambria"/>
          <w:i/>
          <w:iCs/>
          <w:sz w:val="24"/>
          <w:szCs w:val="24"/>
          <w:lang w:eastAsia="pl-PL"/>
        </w:rPr>
        <w:t>Samorząd a prawo do sądu</w:t>
      </w:r>
      <w:r w:rsidRPr="005C06CC">
        <w:rPr>
          <w:rFonts w:ascii="Cambria" w:eastAsia="Times New Roman" w:hAnsi="Cambria"/>
          <w:sz w:val="24"/>
          <w:szCs w:val="24"/>
          <w:lang w:eastAsia="pl-PL"/>
        </w:rPr>
        <w:t xml:space="preserve">, J. Sobczak (red.), Lublin 2016, s. 125-144, </w:t>
      </w:r>
      <w:r w:rsidRPr="00796266">
        <w:rPr>
          <w:rFonts w:ascii="Cambria" w:eastAsia="Times New Roman" w:hAnsi="Cambria"/>
          <w:sz w:val="24"/>
          <w:szCs w:val="24"/>
          <w:lang w:eastAsia="pl-PL"/>
        </w:rPr>
        <w:t>Stowarzyszenie Naukowe "Pro Scientia Iuridica"</w:t>
      </w:r>
      <w:r>
        <w:rPr>
          <w:rFonts w:ascii="Cambria" w:eastAsia="Times New Roman" w:hAnsi="Cambria"/>
          <w:sz w:val="24"/>
          <w:szCs w:val="24"/>
          <w:lang w:eastAsia="pl-PL"/>
        </w:rPr>
        <w:t xml:space="preserve">, </w:t>
      </w:r>
      <w:r w:rsidRPr="005C06CC">
        <w:rPr>
          <w:rFonts w:ascii="Cambria" w:eastAsia="Times New Roman" w:hAnsi="Cambria"/>
          <w:sz w:val="24"/>
          <w:szCs w:val="24"/>
          <w:lang w:eastAsia="pl-PL"/>
        </w:rPr>
        <w:t xml:space="preserve">ISBN </w:t>
      </w:r>
      <w:r w:rsidRPr="005C06CC">
        <w:rPr>
          <w:rFonts w:ascii="Cambria" w:eastAsia="Times New Roman" w:hAnsi="Cambria"/>
          <w:color w:val="151515"/>
          <w:sz w:val="24"/>
          <w:szCs w:val="24"/>
          <w:lang w:eastAsia="pl-PL"/>
        </w:rPr>
        <w:t>978-83-64800-02-3</w:t>
      </w:r>
      <w:r w:rsidRPr="005C06CC">
        <w:rPr>
          <w:rFonts w:ascii="Cambria" w:eastAsia="Times New Roman" w:hAnsi="Cambria"/>
          <w:sz w:val="24"/>
          <w:szCs w:val="24"/>
          <w:lang w:eastAsia="pl-PL"/>
        </w:rPr>
        <w:t>;</w:t>
      </w:r>
    </w:p>
    <w:p w14:paraId="38BDCBAF" w14:textId="77777777" w:rsidR="0082666B" w:rsidRPr="005C06CC" w:rsidRDefault="0082666B" w:rsidP="0038603B">
      <w:pPr>
        <w:numPr>
          <w:ilvl w:val="0"/>
          <w:numId w:val="19"/>
        </w:numPr>
        <w:spacing w:after="120" w:line="276" w:lineRule="auto"/>
        <w:jc w:val="both"/>
        <w:rPr>
          <w:rFonts w:ascii="Cambria" w:eastAsia="Times New Roman" w:hAnsi="Cambria"/>
          <w:sz w:val="24"/>
          <w:szCs w:val="24"/>
          <w:lang w:val="en-GB" w:eastAsia="pl-PL"/>
        </w:rPr>
      </w:pPr>
      <w:r w:rsidRPr="005C06CC">
        <w:rPr>
          <w:rFonts w:ascii="Cambria" w:eastAsia="Times New Roman" w:hAnsi="Cambria"/>
          <w:i/>
          <w:iCs/>
          <w:sz w:val="24"/>
          <w:szCs w:val="24"/>
          <w:lang w:val="en-GB" w:eastAsia="pl-PL"/>
        </w:rPr>
        <w:t>Legal Nature of Resolutions issued by the Bodies of the Self - Government of Legal Advisors - EU Perspective,</w:t>
      </w:r>
      <w:r w:rsidRPr="005C06CC">
        <w:rPr>
          <w:rFonts w:ascii="Cambria" w:eastAsia="Times New Roman" w:hAnsi="Cambria"/>
          <w:sz w:val="24"/>
          <w:szCs w:val="24"/>
          <w:lang w:val="en-GB" w:eastAsia="pl-PL"/>
        </w:rPr>
        <w:t xml:space="preserve"> [w:] The International Academic Forum 2015, Nagoya, Aichi, Japan 2015, </w:t>
      </w:r>
      <w:r w:rsidRPr="005C06CC">
        <w:rPr>
          <w:rFonts w:ascii="Cambria" w:eastAsia="Times New Roman" w:hAnsi="Cambria"/>
          <w:color w:val="151515"/>
          <w:sz w:val="24"/>
          <w:szCs w:val="24"/>
          <w:lang w:val="en-GB" w:eastAsia="pl-PL"/>
        </w:rPr>
        <w:t>ISSN: 2188-9694,</w:t>
      </w:r>
      <w:r w:rsidRPr="005C06CC">
        <w:rPr>
          <w:rFonts w:ascii="Cambria" w:eastAsia="Times New Roman" w:hAnsi="Cambria"/>
          <w:sz w:val="24"/>
          <w:szCs w:val="24"/>
          <w:lang w:val="en-GB" w:eastAsia="pl-PL"/>
        </w:rPr>
        <w:t xml:space="preserve"> s. 33-38;</w:t>
      </w:r>
    </w:p>
    <w:p w14:paraId="643BCA65" w14:textId="7C0E9CB4" w:rsidR="0082666B" w:rsidRPr="005C06CC" w:rsidRDefault="0082666B" w:rsidP="0038603B">
      <w:pPr>
        <w:numPr>
          <w:ilvl w:val="0"/>
          <w:numId w:val="19"/>
        </w:numPr>
        <w:spacing w:after="120" w:line="276" w:lineRule="auto"/>
        <w:jc w:val="both"/>
        <w:rPr>
          <w:rFonts w:ascii="Cambria" w:eastAsia="Times New Roman" w:hAnsi="Cambria"/>
          <w:sz w:val="24"/>
          <w:szCs w:val="24"/>
          <w:lang w:eastAsia="pl-PL"/>
        </w:rPr>
      </w:pPr>
      <w:r w:rsidRPr="005C06CC">
        <w:rPr>
          <w:rFonts w:ascii="Cambria" w:eastAsia="Times New Roman" w:hAnsi="Cambria"/>
          <w:i/>
          <w:iCs/>
          <w:sz w:val="24"/>
          <w:szCs w:val="24"/>
          <w:lang w:eastAsia="pl-PL"/>
        </w:rPr>
        <w:t>Kilka uwag o prawnych formach działania organów samorządu zawodowego radców prawnych w świetle konstytucyjnego systemu źródeł prawa </w:t>
      </w:r>
      <w:r w:rsidRPr="005C06CC">
        <w:rPr>
          <w:rFonts w:ascii="Cambria" w:eastAsia="Times New Roman" w:hAnsi="Cambria"/>
          <w:sz w:val="24"/>
          <w:szCs w:val="24"/>
          <w:lang w:eastAsia="pl-PL"/>
        </w:rPr>
        <w:t xml:space="preserve">[w:] </w:t>
      </w:r>
      <w:r w:rsidRPr="005C06CC">
        <w:rPr>
          <w:rFonts w:ascii="Cambria" w:eastAsia="Times New Roman" w:hAnsi="Cambria"/>
          <w:i/>
          <w:iCs/>
          <w:sz w:val="24"/>
          <w:szCs w:val="24"/>
          <w:lang w:eastAsia="pl-PL"/>
        </w:rPr>
        <w:t>Konstytucjonalizacja prawa administracyjnego. Wybrane zagadnienia</w:t>
      </w:r>
      <w:r w:rsidRPr="005C06CC">
        <w:rPr>
          <w:rFonts w:ascii="Cambria" w:eastAsia="Times New Roman" w:hAnsi="Cambria"/>
          <w:sz w:val="24"/>
          <w:szCs w:val="24"/>
          <w:lang w:eastAsia="pl-PL"/>
        </w:rPr>
        <w:t>, red. M. Chrzanowski, J. Nowak, W. Orłowski,  Lublin 2015, s. 207-223, ISBN: 978-83-938785-7-4</w:t>
      </w:r>
      <w:r w:rsidR="00015018">
        <w:rPr>
          <w:rFonts w:ascii="Cambria" w:eastAsia="Times New Roman" w:hAnsi="Cambria"/>
          <w:sz w:val="24"/>
          <w:szCs w:val="24"/>
          <w:lang w:eastAsia="pl-PL"/>
        </w:rPr>
        <w:t>;</w:t>
      </w:r>
    </w:p>
    <w:p w14:paraId="2ACCC1CD" w14:textId="447538DB" w:rsidR="0082666B" w:rsidRPr="008A27FE" w:rsidRDefault="0082666B" w:rsidP="0038603B">
      <w:pPr>
        <w:numPr>
          <w:ilvl w:val="0"/>
          <w:numId w:val="19"/>
        </w:numPr>
        <w:spacing w:after="120" w:line="276" w:lineRule="auto"/>
        <w:jc w:val="both"/>
        <w:rPr>
          <w:rFonts w:ascii="Cambria" w:eastAsia="Times New Roman" w:hAnsi="Cambria"/>
          <w:sz w:val="24"/>
          <w:szCs w:val="24"/>
          <w:lang w:eastAsia="pl-PL"/>
        </w:rPr>
      </w:pPr>
      <w:r w:rsidRPr="005C06CC">
        <w:rPr>
          <w:rFonts w:ascii="Cambria" w:eastAsia="Times New Roman" w:hAnsi="Cambria"/>
          <w:i/>
          <w:iCs/>
          <w:sz w:val="24"/>
          <w:szCs w:val="24"/>
          <w:lang w:eastAsia="pl-PL"/>
        </w:rPr>
        <w:t>System pomocy prawnej w Belgii</w:t>
      </w:r>
      <w:r w:rsidRPr="005C06CC">
        <w:rPr>
          <w:rFonts w:ascii="Cambria" w:eastAsia="Times New Roman" w:hAnsi="Cambria"/>
          <w:sz w:val="24"/>
          <w:szCs w:val="24"/>
          <w:lang w:eastAsia="pl-PL"/>
        </w:rPr>
        <w:t xml:space="preserve"> [w:] </w:t>
      </w:r>
      <w:r w:rsidRPr="005C06CC">
        <w:rPr>
          <w:rFonts w:ascii="Cambria" w:eastAsia="Times New Roman" w:hAnsi="Cambria"/>
          <w:i/>
          <w:iCs/>
          <w:sz w:val="24"/>
          <w:szCs w:val="24"/>
          <w:lang w:eastAsia="pl-PL"/>
        </w:rPr>
        <w:t>Świadczenie pomocy prawnej w państwach europejskich, tom IV: Belgia, Grecja, Islandia, Słowacja</w:t>
      </w:r>
      <w:r w:rsidRPr="005C06CC">
        <w:rPr>
          <w:rFonts w:ascii="Cambria" w:eastAsia="Times New Roman" w:hAnsi="Cambria"/>
          <w:sz w:val="24"/>
          <w:szCs w:val="24"/>
          <w:lang w:eastAsia="pl-PL"/>
        </w:rPr>
        <w:t>, red. A. Bereza, Warszawa: Ośrodek Badań, Studiów i Legislacji Krajowej Rady Radców Prawnych 2014, ISBN</w:t>
      </w:r>
      <w:r w:rsidRPr="005C06CC">
        <w:rPr>
          <w:rFonts w:ascii="Cambria" w:eastAsia="Times New Roman" w:hAnsi="Cambria"/>
          <w:color w:val="151515"/>
          <w:sz w:val="24"/>
          <w:szCs w:val="24"/>
          <w:lang w:eastAsia="pl-PL"/>
        </w:rPr>
        <w:t xml:space="preserve">: </w:t>
      </w:r>
      <w:r w:rsidRPr="00FB3453">
        <w:rPr>
          <w:rFonts w:ascii="Cambria" w:hAnsi="Cambria"/>
          <w:sz w:val="24"/>
          <w:szCs w:val="24"/>
          <w:shd w:val="clear" w:color="auto" w:fill="FFFFFF"/>
        </w:rPr>
        <w:t>978-83-93600-51-9</w:t>
      </w:r>
      <w:r w:rsidRPr="005C06CC">
        <w:rPr>
          <w:rFonts w:ascii="Cambria" w:hAnsi="Cambria"/>
          <w:sz w:val="24"/>
          <w:szCs w:val="24"/>
        </w:rPr>
        <w:t xml:space="preserve">, </w:t>
      </w:r>
      <w:r w:rsidRPr="005C06CC">
        <w:rPr>
          <w:rFonts w:ascii="Cambria" w:eastAsia="Times New Roman" w:hAnsi="Cambria"/>
          <w:sz w:val="24"/>
          <w:szCs w:val="24"/>
          <w:lang w:eastAsia="pl-PL"/>
        </w:rPr>
        <w:t>s. 11-53;</w:t>
      </w:r>
    </w:p>
    <w:p w14:paraId="0C33A1FA" w14:textId="77777777" w:rsidR="0082666B" w:rsidRPr="005C06CC" w:rsidRDefault="0082666B" w:rsidP="0082666B">
      <w:pPr>
        <w:spacing w:after="120" w:line="276" w:lineRule="auto"/>
        <w:ind w:firstLine="708"/>
        <w:jc w:val="both"/>
        <w:rPr>
          <w:rFonts w:ascii="Cambria" w:hAnsi="Cambria"/>
          <w:sz w:val="24"/>
          <w:szCs w:val="24"/>
        </w:rPr>
      </w:pPr>
      <w:r w:rsidRPr="005C06CC">
        <w:rPr>
          <w:rFonts w:ascii="Cambria" w:hAnsi="Cambria"/>
          <w:sz w:val="24"/>
          <w:szCs w:val="24"/>
        </w:rPr>
        <w:t xml:space="preserve">W prowadzonych badaniach przyjęto zarówno optykę instytucjonalną jak i </w:t>
      </w:r>
      <w:r>
        <w:rPr>
          <w:rFonts w:ascii="Cambria" w:hAnsi="Cambria"/>
          <w:sz w:val="24"/>
          <w:szCs w:val="24"/>
        </w:rPr>
        <w:t>korporacyjną</w:t>
      </w:r>
      <w:r w:rsidRPr="005C06CC">
        <w:rPr>
          <w:rFonts w:ascii="Cambria" w:hAnsi="Cambria"/>
          <w:sz w:val="24"/>
          <w:szCs w:val="24"/>
        </w:rPr>
        <w:t xml:space="preserve"> (z punktu widzenia osób wykonujących lub przygotowujących się do wykonywania prawniczych zawodów zaufania publicznego). Analizie poddano obszar dotyczący zarówno organizacji i funkcjonowania samorządu zawodowego radców prawnych (z uwzględnieniem perspektywy porównawczej i kryteriów – podmiotowego i terytorialnego). Porusz</w:t>
      </w:r>
      <w:r>
        <w:rPr>
          <w:rFonts w:ascii="Cambria" w:hAnsi="Cambria"/>
          <w:sz w:val="24"/>
          <w:szCs w:val="24"/>
        </w:rPr>
        <w:t xml:space="preserve">ono </w:t>
      </w:r>
      <w:r w:rsidRPr="005C06CC">
        <w:rPr>
          <w:rFonts w:ascii="Cambria" w:hAnsi="Cambria"/>
          <w:sz w:val="24"/>
          <w:szCs w:val="24"/>
        </w:rPr>
        <w:t xml:space="preserve">szerokie spektrum zagadnień związanych z wykonywaniem profesji prawniczych (zwłaszcza radców prawnych) w Polsce i za granicą. Wypada wskazać, że podejmowana problematyka jest niezwykle rozległa i wielowątkowa nie tylko ze względu na charakter prawnoorganizacyjny samorządu zawodowego radców </w:t>
      </w:r>
      <w:r w:rsidRPr="005C06CC">
        <w:rPr>
          <w:rFonts w:ascii="Cambria" w:hAnsi="Cambria"/>
          <w:sz w:val="24"/>
          <w:szCs w:val="24"/>
        </w:rPr>
        <w:lastRenderedPageBreak/>
        <w:t xml:space="preserve">prawnych (który znajduje gwarancje swojego istnienia na poziomie regulacji konstytucyjnych), ale również dywersyfikację prawnych form jego działania w sferze publicznoprawnej i prywatnoprawnej. </w:t>
      </w:r>
    </w:p>
    <w:p w14:paraId="33D9B8C1" w14:textId="77777777" w:rsidR="0082666B" w:rsidRPr="005C06CC" w:rsidRDefault="0082666B" w:rsidP="0082666B">
      <w:pPr>
        <w:spacing w:after="120" w:line="276" w:lineRule="auto"/>
        <w:ind w:firstLine="708"/>
        <w:jc w:val="both"/>
        <w:rPr>
          <w:rFonts w:ascii="Cambria" w:eastAsia="Times New Roman" w:hAnsi="Cambria"/>
          <w:sz w:val="24"/>
          <w:szCs w:val="24"/>
          <w:lang w:eastAsia="pl-PL"/>
        </w:rPr>
      </w:pPr>
      <w:r w:rsidRPr="005C06CC">
        <w:rPr>
          <w:rFonts w:ascii="Cambria" w:hAnsi="Cambria"/>
          <w:sz w:val="24"/>
          <w:szCs w:val="24"/>
        </w:rPr>
        <w:t>Jeśli chodzi o zagadnienia dotyczące sfery instytucjonalnej (czyli organizacji i funkcjonowania samorządu zawodowego), tematyka została pogłębiona w szeregu publikacji (</w:t>
      </w:r>
      <w:r>
        <w:rPr>
          <w:rFonts w:ascii="Cambria" w:hAnsi="Cambria"/>
          <w:sz w:val="24"/>
          <w:szCs w:val="24"/>
        </w:rPr>
        <w:t xml:space="preserve">recenzowanej </w:t>
      </w:r>
      <w:r w:rsidRPr="005C06CC">
        <w:rPr>
          <w:rFonts w:ascii="Cambria" w:hAnsi="Cambria"/>
          <w:sz w:val="24"/>
          <w:szCs w:val="24"/>
        </w:rPr>
        <w:t>monografii autorskiej, rozdziałach w monografiach</w:t>
      </w:r>
      <w:r>
        <w:rPr>
          <w:rFonts w:ascii="Cambria" w:hAnsi="Cambria"/>
          <w:sz w:val="24"/>
          <w:szCs w:val="24"/>
        </w:rPr>
        <w:t xml:space="preserve"> naukowych</w:t>
      </w:r>
      <w:r w:rsidRPr="005C06CC">
        <w:rPr>
          <w:rFonts w:ascii="Cambria" w:hAnsi="Cambria"/>
          <w:sz w:val="24"/>
          <w:szCs w:val="24"/>
        </w:rPr>
        <w:t xml:space="preserve">, artykułach w czasopismach naukowych), zwłaszcza w takich jak: </w:t>
      </w:r>
      <w:r w:rsidRPr="005C06CC">
        <w:rPr>
          <w:rFonts w:ascii="Cambria" w:eastAsia="Times New Roman" w:hAnsi="Cambria"/>
          <w:i/>
          <w:iCs/>
          <w:sz w:val="24"/>
          <w:szCs w:val="24"/>
          <w:lang w:eastAsia="pl-PL"/>
        </w:rPr>
        <w:t>Prawnicze samorządy zawodowe a inne podmioty administrujące sui generis. Współczesny dyskurs wokół wybranych zagadnień prawnoustrojowych</w:t>
      </w:r>
      <w:r w:rsidRPr="005C06CC">
        <w:rPr>
          <w:rFonts w:ascii="Cambria" w:eastAsia="Times New Roman" w:hAnsi="Cambria"/>
          <w:sz w:val="24"/>
          <w:szCs w:val="24"/>
          <w:lang w:eastAsia="pl-PL"/>
        </w:rPr>
        <w:t xml:space="preserve">, [w:] </w:t>
      </w:r>
      <w:r w:rsidRPr="005C06CC">
        <w:rPr>
          <w:rFonts w:ascii="Cambria" w:eastAsia="Times New Roman" w:hAnsi="Cambria"/>
          <w:i/>
          <w:iCs/>
          <w:sz w:val="24"/>
          <w:szCs w:val="24"/>
          <w:lang w:eastAsia="pl-PL"/>
        </w:rPr>
        <w:t>Samorząd w systemie politycznym i terytorialno – administracyjnym Polski – osiągnięcia i perspektywy rozwoju</w:t>
      </w:r>
      <w:r w:rsidRPr="005C06CC">
        <w:rPr>
          <w:rFonts w:ascii="Cambria" w:eastAsia="Times New Roman" w:hAnsi="Cambria"/>
          <w:sz w:val="24"/>
          <w:szCs w:val="24"/>
          <w:lang w:eastAsia="pl-PL"/>
        </w:rPr>
        <w:t xml:space="preserve">, red. R. Kmieciak, K. Walkowiak, Uniwersytet im. Adama Mickiewicza w Poznaniu, Wydawnictwo Naukowe Wydziału Nauk Politycznych i Dziennikarstwa, Poznań 2022, s. 239-248, ISBN 978-83-66740-66-2; </w:t>
      </w:r>
      <w:r w:rsidRPr="005C06CC">
        <w:rPr>
          <w:rFonts w:ascii="Cambria" w:eastAsia="Times New Roman" w:hAnsi="Cambria"/>
          <w:i/>
          <w:iCs/>
          <w:color w:val="151515"/>
          <w:sz w:val="24"/>
          <w:szCs w:val="24"/>
          <w:lang w:eastAsia="pl-PL"/>
        </w:rPr>
        <w:t>Charakter prawny uchwał organów samorządu zawodowego radców prawnych w Polsce</w:t>
      </w:r>
      <w:r w:rsidRPr="005C06CC">
        <w:rPr>
          <w:rFonts w:ascii="Cambria" w:eastAsia="Times New Roman" w:hAnsi="Cambria"/>
          <w:color w:val="151515"/>
          <w:sz w:val="24"/>
          <w:szCs w:val="24"/>
          <w:lang w:eastAsia="pl-PL"/>
        </w:rPr>
        <w:t xml:space="preserve">, Wydawnictwo UMCS, Lublin 2018, ISBN: 978-83-227-9111-0, ss. 467; </w:t>
      </w:r>
      <w:r w:rsidRPr="005C06CC">
        <w:rPr>
          <w:rFonts w:ascii="Cambria" w:eastAsia="Times New Roman" w:hAnsi="Cambria"/>
          <w:i/>
          <w:iCs/>
          <w:sz w:val="24"/>
          <w:szCs w:val="24"/>
          <w:lang w:eastAsia="pl-PL"/>
        </w:rPr>
        <w:t>Kontrola legalności uchwał organów samorządu zawodowego radców prawnych w świetle kompetencji nadzorczych Ministra Sprawiedliwości - wybrane zagadnienia</w:t>
      </w:r>
      <w:r w:rsidRPr="005C06CC">
        <w:rPr>
          <w:rFonts w:ascii="Cambria" w:eastAsia="Times New Roman" w:hAnsi="Cambria"/>
          <w:sz w:val="24"/>
          <w:szCs w:val="24"/>
          <w:lang w:eastAsia="pl-PL"/>
        </w:rPr>
        <w:t xml:space="preserve">, „Radca Prawny. Zeszyty naukowe ” 2014, nr 1, s. 95-114; </w:t>
      </w:r>
      <w:r w:rsidRPr="005C06CC">
        <w:rPr>
          <w:rFonts w:ascii="Cambria" w:eastAsia="Times New Roman" w:hAnsi="Cambria"/>
          <w:i/>
          <w:iCs/>
          <w:sz w:val="24"/>
          <w:szCs w:val="24"/>
          <w:lang w:eastAsia="pl-PL"/>
        </w:rPr>
        <w:t>Legal Nature of Resolutions issued by the Bodies of the Self - Government of Legal Advisors - EU Perspective,</w:t>
      </w:r>
      <w:r w:rsidRPr="005C06CC">
        <w:rPr>
          <w:rFonts w:ascii="Cambria" w:eastAsia="Times New Roman" w:hAnsi="Cambria"/>
          <w:sz w:val="24"/>
          <w:szCs w:val="24"/>
          <w:lang w:eastAsia="pl-PL"/>
        </w:rPr>
        <w:t xml:space="preserve"> [w:] The International Academic Forum 2015, Nagoya, Aichi, Japan 2015, ISBN </w:t>
      </w:r>
      <w:r w:rsidRPr="005C06CC">
        <w:rPr>
          <w:rFonts w:ascii="Cambria" w:eastAsia="Times New Roman" w:hAnsi="Cambria"/>
          <w:color w:val="151515"/>
          <w:sz w:val="24"/>
          <w:szCs w:val="24"/>
          <w:lang w:eastAsia="pl-PL"/>
        </w:rPr>
        <w:t>ISSN: 2188-9694,</w:t>
      </w:r>
      <w:r w:rsidRPr="005C06CC">
        <w:rPr>
          <w:rFonts w:ascii="Cambria" w:eastAsia="Times New Roman" w:hAnsi="Cambria"/>
          <w:sz w:val="24"/>
          <w:szCs w:val="24"/>
          <w:lang w:eastAsia="pl-PL"/>
        </w:rPr>
        <w:t xml:space="preserve"> s. 33-38; </w:t>
      </w:r>
      <w:r w:rsidRPr="005C06CC">
        <w:rPr>
          <w:rFonts w:ascii="Cambria" w:eastAsia="Times New Roman" w:hAnsi="Cambria"/>
          <w:i/>
          <w:iCs/>
          <w:sz w:val="24"/>
          <w:szCs w:val="24"/>
          <w:lang w:eastAsia="pl-PL"/>
        </w:rPr>
        <w:t>Kilka uwag o prawnych formach działania organów samorządu zawodowego radców prawnych w świetle konstytucyjnego systemu źródeł prawa </w:t>
      </w:r>
      <w:r w:rsidRPr="005C06CC">
        <w:rPr>
          <w:rFonts w:ascii="Cambria" w:eastAsia="Times New Roman" w:hAnsi="Cambria"/>
          <w:sz w:val="24"/>
          <w:szCs w:val="24"/>
          <w:lang w:eastAsia="pl-PL"/>
        </w:rPr>
        <w:t xml:space="preserve">[w:] </w:t>
      </w:r>
      <w:r w:rsidRPr="005C06CC">
        <w:rPr>
          <w:rFonts w:ascii="Cambria" w:eastAsia="Times New Roman" w:hAnsi="Cambria"/>
          <w:i/>
          <w:iCs/>
          <w:sz w:val="24"/>
          <w:szCs w:val="24"/>
          <w:lang w:eastAsia="pl-PL"/>
        </w:rPr>
        <w:t>Konstytucjonalizacja prawa administracyjnego. Wybrane zagadnienia</w:t>
      </w:r>
      <w:r w:rsidRPr="005C06CC">
        <w:rPr>
          <w:rFonts w:ascii="Cambria" w:eastAsia="Times New Roman" w:hAnsi="Cambria"/>
          <w:sz w:val="24"/>
          <w:szCs w:val="24"/>
          <w:lang w:eastAsia="pl-PL"/>
        </w:rPr>
        <w:t>, red. M. Chrzanowski, J. Nowak, W. Orłowski,  Lublin 2015, s. 207-223, ISBN: 978-83-938785-7-4.</w:t>
      </w:r>
    </w:p>
    <w:p w14:paraId="4291A226" w14:textId="77777777" w:rsidR="0082666B" w:rsidRPr="005C06CC" w:rsidRDefault="0082666B" w:rsidP="0082666B">
      <w:pPr>
        <w:spacing w:after="120" w:line="276" w:lineRule="auto"/>
        <w:ind w:firstLine="708"/>
        <w:jc w:val="both"/>
        <w:rPr>
          <w:rFonts w:ascii="Cambria" w:eastAsia="Times New Roman" w:hAnsi="Cambria"/>
          <w:sz w:val="24"/>
          <w:szCs w:val="24"/>
          <w:lang w:eastAsia="pl-PL"/>
        </w:rPr>
      </w:pPr>
      <w:r w:rsidRPr="005C06CC">
        <w:rPr>
          <w:rFonts w:ascii="Cambria" w:eastAsia="Times New Roman" w:hAnsi="Cambria"/>
          <w:sz w:val="24"/>
          <w:szCs w:val="24"/>
          <w:lang w:eastAsia="pl-PL"/>
        </w:rPr>
        <w:t xml:space="preserve">W monografii pt. </w:t>
      </w:r>
      <w:r w:rsidRPr="005C06CC">
        <w:rPr>
          <w:rFonts w:ascii="Cambria" w:eastAsia="Times New Roman" w:hAnsi="Cambria"/>
          <w:i/>
          <w:iCs/>
          <w:sz w:val="24"/>
          <w:szCs w:val="24"/>
          <w:lang w:eastAsia="pl-PL"/>
        </w:rPr>
        <w:t xml:space="preserve">Charakter prawny uchwał organów samorządu zawodowego radców prawnych w Polsce, </w:t>
      </w:r>
      <w:r w:rsidRPr="005C06CC">
        <w:rPr>
          <w:rFonts w:ascii="Cambria" w:eastAsia="Times New Roman" w:hAnsi="Cambria"/>
          <w:color w:val="151515"/>
          <w:sz w:val="24"/>
          <w:szCs w:val="24"/>
          <w:lang w:eastAsia="pl-PL"/>
        </w:rPr>
        <w:t xml:space="preserve">Wydawnictwo UMCS, Lublin 2018, ISBN: 978-83-227-9111-0, ss. 467 </w:t>
      </w:r>
      <w:r w:rsidRPr="005C06CC">
        <w:rPr>
          <w:rFonts w:ascii="Cambria" w:eastAsia="Times New Roman" w:hAnsi="Cambria"/>
          <w:sz w:val="24"/>
          <w:szCs w:val="24"/>
          <w:lang w:eastAsia="pl-PL"/>
        </w:rPr>
        <w:t xml:space="preserve">przedstawiono zagadnienia skoncentrowane wokół organizacji i zasad funkcjonowania samorządu zawodowego radców prawnych, struktury jego organów </w:t>
      </w:r>
      <w:r w:rsidRPr="005C06CC">
        <w:rPr>
          <w:rFonts w:ascii="Cambria" w:eastAsia="Times New Roman" w:hAnsi="Cambria"/>
          <w:i/>
          <w:iCs/>
          <w:sz w:val="24"/>
          <w:szCs w:val="24"/>
          <w:lang w:eastAsia="pl-PL"/>
        </w:rPr>
        <w:t>sensu largo</w:t>
      </w:r>
      <w:r w:rsidRPr="005C06CC">
        <w:rPr>
          <w:rFonts w:ascii="Cambria" w:eastAsia="Times New Roman" w:hAnsi="Cambria"/>
          <w:sz w:val="24"/>
          <w:szCs w:val="24"/>
          <w:lang w:eastAsia="pl-PL"/>
        </w:rPr>
        <w:t xml:space="preserve"> i ich działalności uchwałodawczej z punktu widzenia charakteru prawnego wydawanych rozstrzygnięć.</w:t>
      </w:r>
      <w:r>
        <w:rPr>
          <w:rFonts w:ascii="Cambria" w:eastAsia="Times New Roman" w:hAnsi="Cambria"/>
          <w:sz w:val="24"/>
          <w:szCs w:val="24"/>
          <w:lang w:eastAsia="pl-PL"/>
        </w:rPr>
        <w:t xml:space="preserve"> </w:t>
      </w:r>
      <w:r w:rsidRPr="005C06CC">
        <w:rPr>
          <w:rFonts w:ascii="Cambria" w:eastAsia="Times New Roman" w:hAnsi="Cambria"/>
          <w:sz w:val="24"/>
          <w:szCs w:val="24"/>
          <w:lang w:eastAsia="pl-PL"/>
        </w:rPr>
        <w:t xml:space="preserve">Przeprowadzone badania miały na celu dokonanie oryginalnej, autorskiej klasyfikacji (z uwzględnieniem kryterium charakteru prawnego) uchwał wydawanych przez organy samorządu radcowskiego </w:t>
      </w:r>
      <w:r w:rsidRPr="005C06CC">
        <w:rPr>
          <w:rFonts w:ascii="Cambria" w:eastAsia="Times New Roman" w:hAnsi="Cambria"/>
          <w:i/>
          <w:iCs/>
          <w:sz w:val="24"/>
          <w:szCs w:val="24"/>
          <w:lang w:eastAsia="pl-PL"/>
        </w:rPr>
        <w:t>sensu largo</w:t>
      </w:r>
      <w:r w:rsidRPr="005C06CC">
        <w:rPr>
          <w:rFonts w:ascii="Cambria" w:eastAsia="Times New Roman" w:hAnsi="Cambria"/>
          <w:sz w:val="24"/>
          <w:szCs w:val="24"/>
          <w:lang w:eastAsia="pl-PL"/>
        </w:rPr>
        <w:t xml:space="preserve">. Dostrzeżono, że rozstrzygnięcia te – choć niejednokrotnie nazwane „uchwałami” – mają niejednolity charakter i wywołują zróżnicowane skutki w sferze praw i obowiązków członków samorządu, jak i osób trzecich nieznajdujących się w strukturze samorządu. Celem prowadzonych badań było zatem udzielenie odpowiedzi na postawione pytania: jaki charakter prawny mają poszczególne uchwały wydawane przez właściwe organy samorządu zawodowego radców prawnych, w jakiej sferze - </w:t>
      </w:r>
      <w:r w:rsidRPr="005C06CC">
        <w:rPr>
          <w:rFonts w:ascii="Cambria" w:eastAsia="Times New Roman" w:hAnsi="Cambria"/>
          <w:i/>
          <w:iCs/>
          <w:sz w:val="24"/>
          <w:szCs w:val="24"/>
          <w:lang w:eastAsia="pl-PL"/>
        </w:rPr>
        <w:t>imperium</w:t>
      </w:r>
      <w:r w:rsidRPr="005C06CC">
        <w:rPr>
          <w:rFonts w:ascii="Cambria" w:eastAsia="Times New Roman" w:hAnsi="Cambria"/>
          <w:sz w:val="24"/>
          <w:szCs w:val="24"/>
          <w:lang w:eastAsia="pl-PL"/>
        </w:rPr>
        <w:t xml:space="preserve"> czy </w:t>
      </w:r>
      <w:r w:rsidRPr="005C06CC">
        <w:rPr>
          <w:rFonts w:ascii="Cambria" w:eastAsia="Times New Roman" w:hAnsi="Cambria"/>
          <w:i/>
          <w:iCs/>
          <w:sz w:val="24"/>
          <w:szCs w:val="24"/>
          <w:lang w:eastAsia="pl-PL"/>
        </w:rPr>
        <w:t>dominium</w:t>
      </w:r>
      <w:r w:rsidRPr="005C06CC">
        <w:rPr>
          <w:rFonts w:ascii="Cambria" w:eastAsia="Times New Roman" w:hAnsi="Cambria"/>
          <w:sz w:val="24"/>
          <w:szCs w:val="24"/>
          <w:lang w:eastAsia="pl-PL"/>
        </w:rPr>
        <w:t xml:space="preserve"> - działają organy samorządu, podejmując określone uchwały, w jaki sposób i w jakich formach sprawowana jest kontrola legalności tychże uchwał przez organy samorządu zawodowego radców prawnych oraz sądy powszechne i administracyjne, a także, w jakich formach realizowany jest nadzór wewnętrzny przez właściwe organy samorządu oraz </w:t>
      </w:r>
      <w:r w:rsidRPr="005C06CC">
        <w:rPr>
          <w:rFonts w:ascii="Cambria" w:eastAsia="Times New Roman" w:hAnsi="Cambria"/>
          <w:sz w:val="24"/>
          <w:szCs w:val="24"/>
          <w:lang w:eastAsia="pl-PL"/>
        </w:rPr>
        <w:lastRenderedPageBreak/>
        <w:t>nadzór zewnętrzny sprawowany przez Ministra Sprawiedliwości nad działalnością organów samorządu zawodowego radców prawnych.</w:t>
      </w:r>
    </w:p>
    <w:p w14:paraId="68066411" w14:textId="77777777" w:rsidR="0082666B" w:rsidRPr="005C06CC" w:rsidRDefault="0082666B" w:rsidP="0082666B">
      <w:pPr>
        <w:spacing w:after="120" w:line="276" w:lineRule="auto"/>
        <w:ind w:firstLine="708"/>
        <w:jc w:val="both"/>
        <w:rPr>
          <w:rFonts w:ascii="Cambria" w:eastAsia="Times New Roman" w:hAnsi="Cambria"/>
          <w:sz w:val="24"/>
          <w:szCs w:val="24"/>
          <w:lang w:eastAsia="pl-PL"/>
        </w:rPr>
      </w:pPr>
      <w:r w:rsidRPr="005C06CC">
        <w:rPr>
          <w:rFonts w:ascii="Cambria" w:eastAsia="Times New Roman" w:hAnsi="Cambria"/>
          <w:sz w:val="24"/>
          <w:szCs w:val="24"/>
          <w:lang w:eastAsia="pl-PL"/>
        </w:rPr>
        <w:t xml:space="preserve">Weryfikacja postawionych hipotez przebiegła pozytywnie, prowadząc do sformułowania kilku </w:t>
      </w:r>
      <w:r>
        <w:rPr>
          <w:rFonts w:ascii="Cambria" w:eastAsia="Times New Roman" w:hAnsi="Cambria"/>
          <w:sz w:val="24"/>
          <w:szCs w:val="24"/>
          <w:lang w:eastAsia="pl-PL"/>
        </w:rPr>
        <w:t xml:space="preserve">podstawowych </w:t>
      </w:r>
      <w:r w:rsidRPr="005C06CC">
        <w:rPr>
          <w:rFonts w:ascii="Cambria" w:eastAsia="Times New Roman" w:hAnsi="Cambria"/>
          <w:sz w:val="24"/>
          <w:szCs w:val="24"/>
          <w:lang w:eastAsia="pl-PL"/>
        </w:rPr>
        <w:t>tez badawczych, m. in.</w:t>
      </w:r>
      <w:r>
        <w:rPr>
          <w:rFonts w:ascii="Cambria" w:eastAsia="Times New Roman" w:hAnsi="Cambria"/>
          <w:sz w:val="24"/>
          <w:szCs w:val="24"/>
          <w:lang w:eastAsia="pl-PL"/>
        </w:rPr>
        <w:t>:</w:t>
      </w:r>
      <w:r w:rsidRPr="005C06CC">
        <w:rPr>
          <w:rFonts w:ascii="Cambria" w:eastAsia="Times New Roman" w:hAnsi="Cambria"/>
          <w:sz w:val="24"/>
          <w:szCs w:val="24"/>
          <w:lang w:eastAsia="pl-PL"/>
        </w:rPr>
        <w:t xml:space="preserve"> a) w siatce organów samorządu zawodowego radców prawnych występują zarówno te, które ustawa wprost wskazuje, jak i te, które działają w płaszczyźnie funkcjonalnej (ujęcie </w:t>
      </w:r>
      <w:r w:rsidRPr="005C06CC">
        <w:rPr>
          <w:rFonts w:ascii="Cambria" w:eastAsia="Times New Roman" w:hAnsi="Cambria"/>
          <w:i/>
          <w:iCs/>
          <w:sz w:val="24"/>
          <w:szCs w:val="24"/>
          <w:lang w:eastAsia="pl-PL"/>
        </w:rPr>
        <w:t>sensu largo</w:t>
      </w:r>
      <w:r w:rsidRPr="005C06CC">
        <w:rPr>
          <w:rFonts w:ascii="Cambria" w:eastAsia="Times New Roman" w:hAnsi="Cambria"/>
          <w:sz w:val="24"/>
          <w:szCs w:val="24"/>
          <w:lang w:eastAsia="pl-PL"/>
        </w:rPr>
        <w:t xml:space="preserve">); b) prawidłowe określenie sfery działania samorządu zawodowego radców prawnych determinuje prawidłową ocenę charakteru prawnego rozstrzygnięcia, niezależnie od nadanej mu nazwy (która nie jest decydująca w tych kwestiach); c) w działalności organów samorządu zawodowego radców prawnych można wyróżnić zarówno rozstrzygnięcia mające charakter decyzji administracyjnych, jak i czynności podejmowane w sferze wnętrza organizacyjnego (zakładowego) samorządu zawodowego; d) przepisy nie przewidują trójinstancyjnego postępowania odwoławczego, bowiem należy odróżnić postępowanie wewnątrzsamorządowe w ramach osoby typu korporacyjnego, jaką jest samorząd radców prawnych, od postępowania, w którym Minister Sprawiedliwości działa jako organ nadzorczy, podejmując, w określonym ustawowo zakresie, rozstrzygnięcia nadzorcze; e) Minister Sprawiedliwości powinien sprawować nadzór zewnętrzny w ściśle określonych ustawowo przypadkach, nie powinien on wydawać rozstrzygnięć o charakterze reformatoryjnym, naruszając tym samym przepisy o właściwości organów samorządu zawodowego radców prawnych, a przepisy dotyczące sprawowania nadzoru przez Ministra Sprawiedliwości nad działalnością organów samorządu, powinny być interpretowane zawężająco. </w:t>
      </w:r>
    </w:p>
    <w:p w14:paraId="5839DF54" w14:textId="77777777" w:rsidR="0082666B" w:rsidRPr="005C06CC" w:rsidRDefault="0082666B" w:rsidP="0082666B">
      <w:pPr>
        <w:spacing w:after="120" w:line="276" w:lineRule="auto"/>
        <w:ind w:firstLine="708"/>
        <w:jc w:val="both"/>
        <w:rPr>
          <w:rFonts w:ascii="Cambria" w:eastAsia="Times New Roman" w:hAnsi="Cambria"/>
          <w:sz w:val="24"/>
          <w:szCs w:val="24"/>
          <w:lang w:eastAsia="pl-PL"/>
        </w:rPr>
      </w:pPr>
      <w:r w:rsidRPr="005C06CC">
        <w:rPr>
          <w:rFonts w:ascii="Cambria" w:eastAsia="Times New Roman" w:hAnsi="Cambria"/>
          <w:sz w:val="24"/>
          <w:szCs w:val="24"/>
          <w:lang w:eastAsia="pl-PL"/>
        </w:rPr>
        <w:t xml:space="preserve">Na marginesie wypada wspomnieć, że </w:t>
      </w:r>
      <w:r>
        <w:rPr>
          <w:rFonts w:ascii="Cambria" w:eastAsia="Times New Roman" w:hAnsi="Cambria"/>
          <w:sz w:val="24"/>
          <w:szCs w:val="24"/>
          <w:lang w:eastAsia="pl-PL"/>
        </w:rPr>
        <w:t xml:space="preserve">już </w:t>
      </w:r>
      <w:r w:rsidRPr="005C06CC">
        <w:rPr>
          <w:rFonts w:ascii="Cambria" w:eastAsia="Times New Roman" w:hAnsi="Cambria"/>
          <w:sz w:val="24"/>
          <w:szCs w:val="24"/>
          <w:lang w:eastAsia="pl-PL"/>
        </w:rPr>
        <w:t xml:space="preserve">wstępne wyniki badań przedstawiono na </w:t>
      </w:r>
      <w:r>
        <w:rPr>
          <w:rFonts w:ascii="Cambria" w:eastAsia="Times New Roman" w:hAnsi="Cambria"/>
          <w:sz w:val="24"/>
          <w:szCs w:val="24"/>
          <w:lang w:eastAsia="pl-PL"/>
        </w:rPr>
        <w:t xml:space="preserve">wielu </w:t>
      </w:r>
      <w:r w:rsidRPr="005C06CC">
        <w:rPr>
          <w:rFonts w:ascii="Cambria" w:eastAsia="Times New Roman" w:hAnsi="Cambria"/>
          <w:sz w:val="24"/>
          <w:szCs w:val="24"/>
          <w:lang w:eastAsia="pl-PL"/>
        </w:rPr>
        <w:t xml:space="preserve">międzynarodowych i krajowych konferencjach naukowych, których pokłosiem były publikacje w postaci rozdziałów w </w:t>
      </w:r>
      <w:r>
        <w:rPr>
          <w:rFonts w:ascii="Cambria" w:eastAsia="Times New Roman" w:hAnsi="Cambria"/>
          <w:sz w:val="24"/>
          <w:szCs w:val="24"/>
          <w:lang w:eastAsia="pl-PL"/>
        </w:rPr>
        <w:t xml:space="preserve">recenzowanych </w:t>
      </w:r>
      <w:r w:rsidRPr="005C06CC">
        <w:rPr>
          <w:rFonts w:ascii="Cambria" w:eastAsia="Times New Roman" w:hAnsi="Cambria"/>
          <w:sz w:val="24"/>
          <w:szCs w:val="24"/>
          <w:lang w:eastAsia="pl-PL"/>
        </w:rPr>
        <w:t xml:space="preserve">monografiach pokonferencyjnych i tematycznych oraz artykuł w czasopiśmie naukowym. </w:t>
      </w:r>
      <w:r w:rsidRPr="00FB3453">
        <w:rPr>
          <w:rFonts w:ascii="Cambria" w:eastAsia="Times New Roman" w:hAnsi="Cambria"/>
          <w:sz w:val="24"/>
          <w:szCs w:val="24"/>
          <w:lang w:eastAsia="pl-PL"/>
        </w:rPr>
        <w:t xml:space="preserve">Można w </w:t>
      </w:r>
      <w:r>
        <w:rPr>
          <w:rFonts w:ascii="Cambria" w:eastAsia="Times New Roman" w:hAnsi="Cambria"/>
          <w:sz w:val="24"/>
          <w:szCs w:val="24"/>
          <w:lang w:eastAsia="pl-PL"/>
        </w:rPr>
        <w:t>tym zakresie wymienić następujące publikacje</w:t>
      </w:r>
      <w:r w:rsidRPr="00FB3453">
        <w:rPr>
          <w:rFonts w:ascii="Cambria" w:eastAsia="Times New Roman" w:hAnsi="Cambria"/>
          <w:sz w:val="24"/>
          <w:szCs w:val="24"/>
          <w:lang w:eastAsia="pl-PL"/>
        </w:rPr>
        <w:t xml:space="preserve">: </w:t>
      </w:r>
      <w:r w:rsidRPr="00FB3453">
        <w:rPr>
          <w:rFonts w:ascii="Cambria" w:eastAsia="Times New Roman" w:hAnsi="Cambria"/>
          <w:i/>
          <w:iCs/>
          <w:sz w:val="24"/>
          <w:szCs w:val="24"/>
          <w:lang w:eastAsia="pl-PL"/>
        </w:rPr>
        <w:t>Legal Nature of Resolutions issued by the Bodies of the Self - Government of Legal Advisors - EU Perspective,</w:t>
      </w:r>
      <w:r w:rsidRPr="00FB3453">
        <w:rPr>
          <w:rFonts w:ascii="Cambria" w:eastAsia="Times New Roman" w:hAnsi="Cambria"/>
          <w:sz w:val="24"/>
          <w:szCs w:val="24"/>
          <w:lang w:eastAsia="pl-PL"/>
        </w:rPr>
        <w:t xml:space="preserve"> [w:] The International Academic Forum 2015, Nagoya, Aichi, Japan 2015, ISBN </w:t>
      </w:r>
      <w:r w:rsidRPr="00FB3453">
        <w:rPr>
          <w:rFonts w:ascii="Cambria" w:eastAsia="Times New Roman" w:hAnsi="Cambria"/>
          <w:color w:val="151515"/>
          <w:sz w:val="24"/>
          <w:szCs w:val="24"/>
          <w:lang w:eastAsia="pl-PL"/>
        </w:rPr>
        <w:t>ISSN: 2188-9694,</w:t>
      </w:r>
      <w:r w:rsidRPr="00FB3453">
        <w:rPr>
          <w:rFonts w:ascii="Cambria" w:eastAsia="Times New Roman" w:hAnsi="Cambria"/>
          <w:sz w:val="24"/>
          <w:szCs w:val="24"/>
          <w:lang w:eastAsia="pl-PL"/>
        </w:rPr>
        <w:t xml:space="preserve"> s. 33-38; </w:t>
      </w:r>
      <w:r w:rsidRPr="00FB3453">
        <w:rPr>
          <w:rFonts w:ascii="Cambria" w:eastAsia="Times New Roman" w:hAnsi="Cambria"/>
          <w:i/>
          <w:iCs/>
          <w:sz w:val="24"/>
          <w:szCs w:val="24"/>
          <w:lang w:eastAsia="pl-PL"/>
        </w:rPr>
        <w:t>System pomocy prawnej w Belgii</w:t>
      </w:r>
      <w:r w:rsidRPr="00FB3453">
        <w:rPr>
          <w:rFonts w:ascii="Cambria" w:eastAsia="Times New Roman" w:hAnsi="Cambria"/>
          <w:sz w:val="24"/>
          <w:szCs w:val="24"/>
          <w:lang w:eastAsia="pl-PL"/>
        </w:rPr>
        <w:t xml:space="preserve"> [w:] </w:t>
      </w:r>
      <w:r w:rsidRPr="00FB3453">
        <w:rPr>
          <w:rFonts w:ascii="Cambria" w:eastAsia="Times New Roman" w:hAnsi="Cambria"/>
          <w:i/>
          <w:iCs/>
          <w:sz w:val="24"/>
          <w:szCs w:val="24"/>
          <w:lang w:eastAsia="pl-PL"/>
        </w:rPr>
        <w:t>Świadczenie pomocy prawnej w państwach europejskich, tom IV: Belgia, Grecja, Islandia, Słowacja</w:t>
      </w:r>
      <w:r w:rsidRPr="00FB3453">
        <w:rPr>
          <w:rFonts w:ascii="Cambria" w:eastAsia="Times New Roman" w:hAnsi="Cambria"/>
          <w:sz w:val="24"/>
          <w:szCs w:val="24"/>
          <w:lang w:eastAsia="pl-PL"/>
        </w:rPr>
        <w:t xml:space="preserve">, red. </w:t>
      </w:r>
      <w:r w:rsidRPr="005C06CC">
        <w:rPr>
          <w:rFonts w:ascii="Cambria" w:eastAsia="Times New Roman" w:hAnsi="Cambria"/>
          <w:sz w:val="24"/>
          <w:szCs w:val="24"/>
          <w:lang w:eastAsia="pl-PL"/>
        </w:rPr>
        <w:t xml:space="preserve">A. Bereza, Warszawa: Ośrodek Badań, Studiów i Legislacji Krajowej Rady Radców Prawnych 2014, s. 11-53, ISBN: </w:t>
      </w:r>
      <w:r w:rsidRPr="00C64ACF">
        <w:rPr>
          <w:rFonts w:ascii="Cambria" w:hAnsi="Cambria"/>
          <w:sz w:val="24"/>
          <w:szCs w:val="24"/>
          <w:shd w:val="clear" w:color="auto" w:fill="FFFFFF"/>
        </w:rPr>
        <w:t>978-83-93600-51-9</w:t>
      </w:r>
      <w:r w:rsidRPr="005C06CC">
        <w:rPr>
          <w:rFonts w:ascii="Cambria" w:eastAsia="Times New Roman" w:hAnsi="Cambria"/>
          <w:sz w:val="24"/>
          <w:szCs w:val="24"/>
          <w:lang w:eastAsia="pl-PL"/>
        </w:rPr>
        <w:t xml:space="preserve">; </w:t>
      </w:r>
      <w:r w:rsidRPr="005C06CC">
        <w:rPr>
          <w:rFonts w:ascii="Cambria" w:eastAsia="Times New Roman" w:hAnsi="Cambria"/>
          <w:i/>
          <w:iCs/>
          <w:sz w:val="24"/>
          <w:szCs w:val="24"/>
          <w:lang w:eastAsia="pl-PL"/>
        </w:rPr>
        <w:t>Kilka uwag o prawnych formach działania organów samorządu zawodowego radców prawnych w świetle konstytucyjnego systemu źródeł prawa </w:t>
      </w:r>
      <w:r w:rsidRPr="005C06CC">
        <w:rPr>
          <w:rFonts w:ascii="Cambria" w:eastAsia="Times New Roman" w:hAnsi="Cambria"/>
          <w:sz w:val="24"/>
          <w:szCs w:val="24"/>
          <w:lang w:eastAsia="pl-PL"/>
        </w:rPr>
        <w:t xml:space="preserve">[w:] </w:t>
      </w:r>
      <w:r w:rsidRPr="005C06CC">
        <w:rPr>
          <w:rFonts w:ascii="Cambria" w:eastAsia="Times New Roman" w:hAnsi="Cambria"/>
          <w:i/>
          <w:iCs/>
          <w:sz w:val="24"/>
          <w:szCs w:val="24"/>
          <w:lang w:eastAsia="pl-PL"/>
        </w:rPr>
        <w:t>Konstytucjonalizacja prawa administracyjnego. Wybrane zagadnienia,</w:t>
      </w:r>
      <w:r w:rsidRPr="005C06CC">
        <w:rPr>
          <w:rFonts w:ascii="Cambria" w:eastAsia="Times New Roman" w:hAnsi="Cambria"/>
          <w:sz w:val="24"/>
          <w:szCs w:val="24"/>
          <w:lang w:eastAsia="pl-PL"/>
        </w:rPr>
        <w:t xml:space="preserve"> red. M. Chrzanowski, J. Nowak, W. Orłowski,  Lublin 2015, s. 207-223, ISBN: 978-83-938785-7-4; </w:t>
      </w:r>
      <w:r w:rsidRPr="005C06CC">
        <w:rPr>
          <w:rFonts w:ascii="Cambria" w:eastAsia="Times New Roman" w:hAnsi="Cambria"/>
          <w:i/>
          <w:iCs/>
          <w:sz w:val="24"/>
          <w:szCs w:val="24"/>
          <w:lang w:eastAsia="pl-PL"/>
        </w:rPr>
        <w:t>Kontrola legalności uchwał organów samorządu zawodowego radców prawnych w świetle kompetencji nadzorczych Ministra Sprawiedliwości - wybrane zagadnienia</w:t>
      </w:r>
      <w:r w:rsidRPr="005C06CC">
        <w:rPr>
          <w:rFonts w:ascii="Cambria" w:eastAsia="Times New Roman" w:hAnsi="Cambria"/>
          <w:sz w:val="24"/>
          <w:szCs w:val="24"/>
          <w:lang w:eastAsia="pl-PL"/>
        </w:rPr>
        <w:t>, „Radca Prawny. Zeszyty naukowe ” 2014, nr 1, s. 95-114.</w:t>
      </w:r>
    </w:p>
    <w:p w14:paraId="3F397CB9" w14:textId="77777777" w:rsidR="0082666B" w:rsidRPr="005C06CC" w:rsidRDefault="0082666B" w:rsidP="0082666B">
      <w:pPr>
        <w:spacing w:after="120" w:line="276" w:lineRule="auto"/>
        <w:ind w:firstLine="708"/>
        <w:jc w:val="both"/>
        <w:rPr>
          <w:rFonts w:ascii="Cambria" w:eastAsia="Times New Roman" w:hAnsi="Cambria"/>
          <w:color w:val="151515"/>
          <w:sz w:val="24"/>
          <w:szCs w:val="24"/>
          <w:lang w:eastAsia="pl-PL"/>
        </w:rPr>
      </w:pPr>
      <w:r w:rsidRPr="005C06CC">
        <w:rPr>
          <w:rFonts w:ascii="Cambria" w:eastAsia="Times New Roman" w:hAnsi="Cambria"/>
          <w:sz w:val="24"/>
          <w:szCs w:val="24"/>
          <w:lang w:eastAsia="pl-PL"/>
        </w:rPr>
        <w:t xml:space="preserve">W optyce </w:t>
      </w:r>
      <w:r>
        <w:rPr>
          <w:rFonts w:ascii="Cambria" w:eastAsia="Times New Roman" w:hAnsi="Cambria"/>
          <w:sz w:val="24"/>
          <w:szCs w:val="24"/>
          <w:lang w:eastAsia="pl-PL"/>
        </w:rPr>
        <w:t>korporacyjnej</w:t>
      </w:r>
      <w:r w:rsidRPr="005C06CC">
        <w:rPr>
          <w:rFonts w:ascii="Cambria" w:eastAsia="Times New Roman" w:hAnsi="Cambria"/>
          <w:sz w:val="24"/>
          <w:szCs w:val="24"/>
          <w:lang w:eastAsia="pl-PL"/>
        </w:rPr>
        <w:t xml:space="preserve"> skupiono się na wątkach związanych z wykonywaniem zawodu radcy prawnego, jak również zakresem czynności wykonywanych przez </w:t>
      </w:r>
      <w:r w:rsidRPr="005C06CC">
        <w:rPr>
          <w:rFonts w:ascii="Cambria" w:eastAsia="Times New Roman" w:hAnsi="Cambria"/>
          <w:sz w:val="24"/>
          <w:szCs w:val="24"/>
          <w:lang w:eastAsia="pl-PL"/>
        </w:rPr>
        <w:lastRenderedPageBreak/>
        <w:t xml:space="preserve">aplikantów radcowskich. W odniesieniu do pierwszej grupy, w </w:t>
      </w:r>
      <w:r>
        <w:rPr>
          <w:rFonts w:ascii="Cambria" w:eastAsia="Times New Roman" w:hAnsi="Cambria"/>
          <w:sz w:val="24"/>
          <w:szCs w:val="24"/>
          <w:lang w:eastAsia="pl-PL"/>
        </w:rPr>
        <w:t xml:space="preserve">licznych </w:t>
      </w:r>
      <w:r w:rsidRPr="005C06CC">
        <w:rPr>
          <w:rFonts w:ascii="Cambria" w:eastAsia="Times New Roman" w:hAnsi="Cambria"/>
          <w:sz w:val="24"/>
          <w:szCs w:val="24"/>
          <w:lang w:eastAsia="pl-PL"/>
        </w:rPr>
        <w:t>publikacjach</w:t>
      </w:r>
      <w:r>
        <w:rPr>
          <w:rFonts w:ascii="Cambria" w:eastAsia="Times New Roman" w:hAnsi="Cambria"/>
          <w:sz w:val="24"/>
          <w:szCs w:val="24"/>
          <w:lang w:eastAsia="pl-PL"/>
        </w:rPr>
        <w:t xml:space="preserve"> </w:t>
      </w:r>
      <w:r w:rsidRPr="005C06CC">
        <w:rPr>
          <w:rFonts w:ascii="Cambria" w:eastAsia="Times New Roman" w:hAnsi="Cambria"/>
          <w:color w:val="151515"/>
          <w:sz w:val="24"/>
          <w:szCs w:val="24"/>
          <w:lang w:eastAsia="pl-PL"/>
        </w:rPr>
        <w:t>zwrócono uwagę na paletę dopuszczalnych form wykonywania zawodu, zwłaszcza w kontekście prowadzenia działalności gospodarczej przez radców prawnych i możliwości łączenia różnych form wykonywania zawodu</w:t>
      </w:r>
      <w:r>
        <w:rPr>
          <w:rFonts w:ascii="Cambria" w:eastAsia="Times New Roman" w:hAnsi="Cambria"/>
          <w:sz w:val="24"/>
          <w:szCs w:val="24"/>
          <w:lang w:eastAsia="pl-PL"/>
        </w:rPr>
        <w:t xml:space="preserve"> (</w:t>
      </w:r>
      <w:r w:rsidRPr="005C06CC">
        <w:rPr>
          <w:rFonts w:ascii="Cambria" w:eastAsia="Times New Roman" w:hAnsi="Cambria"/>
          <w:i/>
          <w:iCs/>
          <w:sz w:val="24"/>
          <w:szCs w:val="24"/>
          <w:lang w:eastAsia="pl-PL"/>
        </w:rPr>
        <w:t>Świadczenie nieodpłatnej pomocy prawnej jako zadanie zlecone z zakresu administracji publicznej. Wybrana problematyka</w:t>
      </w:r>
      <w:r w:rsidRPr="005C06CC">
        <w:rPr>
          <w:rFonts w:ascii="Cambria" w:eastAsia="Times New Roman" w:hAnsi="Cambria"/>
          <w:sz w:val="24"/>
          <w:szCs w:val="24"/>
          <w:lang w:eastAsia="pl-PL"/>
        </w:rPr>
        <w:t xml:space="preserve">, [w:] </w:t>
      </w:r>
      <w:r w:rsidRPr="005C06CC">
        <w:rPr>
          <w:rFonts w:ascii="Cambria" w:eastAsia="Times New Roman" w:hAnsi="Cambria"/>
          <w:i/>
          <w:iCs/>
          <w:sz w:val="24"/>
          <w:szCs w:val="24"/>
          <w:lang w:eastAsia="pl-PL"/>
        </w:rPr>
        <w:t>Prawo do dobrego samorządu w kontekście realizacji zadań publicznych</w:t>
      </w:r>
      <w:r w:rsidRPr="005C06CC">
        <w:rPr>
          <w:rFonts w:ascii="Cambria" w:eastAsia="Times New Roman" w:hAnsi="Cambria"/>
          <w:sz w:val="24"/>
          <w:szCs w:val="24"/>
          <w:lang w:eastAsia="pl-PL"/>
        </w:rPr>
        <w:t xml:space="preserve">, red. M. Stec, K. Małysa-Sulińska, Warszawa 2021, s. 233-250, </w:t>
      </w:r>
      <w:r>
        <w:rPr>
          <w:rFonts w:ascii="Times New Roman" w:eastAsia="Times New Roman" w:hAnsi="Times New Roman"/>
          <w:sz w:val="24"/>
          <w:szCs w:val="24"/>
          <w:lang w:eastAsia="pl-PL"/>
        </w:rPr>
        <w:t xml:space="preserve">Wolters Kluwer S. A., </w:t>
      </w:r>
      <w:r w:rsidRPr="005C06CC">
        <w:rPr>
          <w:rFonts w:ascii="Cambria" w:eastAsia="Times New Roman" w:hAnsi="Cambria"/>
          <w:sz w:val="24"/>
          <w:szCs w:val="24"/>
          <w:lang w:eastAsia="pl-PL"/>
        </w:rPr>
        <w:t xml:space="preserve">ISBN: 978-83-8246-247-0 oraz </w:t>
      </w:r>
      <w:r w:rsidRPr="005C06CC">
        <w:rPr>
          <w:rFonts w:ascii="Cambria" w:eastAsia="Times New Roman" w:hAnsi="Cambria"/>
          <w:i/>
          <w:iCs/>
          <w:color w:val="151515"/>
          <w:sz w:val="24"/>
          <w:szCs w:val="24"/>
          <w:lang w:eastAsia="pl-PL"/>
        </w:rPr>
        <w:t>Prawne uwarunkowania wykonywania zawodu przez radcę prawnego w kancelarii radcy prawnego - wybrane zagadnienia</w:t>
      </w:r>
      <w:r w:rsidRPr="005C06CC">
        <w:rPr>
          <w:rFonts w:ascii="Cambria" w:eastAsia="Times New Roman" w:hAnsi="Cambria"/>
          <w:color w:val="151515"/>
          <w:sz w:val="24"/>
          <w:szCs w:val="24"/>
          <w:lang w:eastAsia="pl-PL"/>
        </w:rPr>
        <w:t>, „Studia i Materiały Miscellanea Oeconomicae” 2018, nr 3, tom II, red. R. Frey, s. 311-322</w:t>
      </w:r>
      <w:r>
        <w:rPr>
          <w:rFonts w:ascii="Cambria" w:eastAsia="Times New Roman" w:hAnsi="Cambria"/>
          <w:color w:val="151515"/>
          <w:sz w:val="24"/>
          <w:szCs w:val="24"/>
          <w:lang w:eastAsia="pl-PL"/>
        </w:rPr>
        <w:t>)</w:t>
      </w:r>
      <w:r w:rsidRPr="005C06CC">
        <w:rPr>
          <w:rFonts w:ascii="Cambria" w:eastAsia="Times New Roman" w:hAnsi="Cambria"/>
          <w:color w:val="151515"/>
          <w:sz w:val="24"/>
          <w:szCs w:val="24"/>
          <w:lang w:eastAsia="pl-PL"/>
        </w:rPr>
        <w:t>. Dostrzeżono również zagadnienia związane z udziałem radców prawnych w obszarze bezpłatnego poradnictwa prawnego, któr</w:t>
      </w:r>
      <w:r>
        <w:rPr>
          <w:rFonts w:ascii="Cambria" w:eastAsia="Times New Roman" w:hAnsi="Cambria"/>
          <w:color w:val="151515"/>
          <w:sz w:val="24"/>
          <w:szCs w:val="24"/>
          <w:lang w:eastAsia="pl-PL"/>
        </w:rPr>
        <w:t>e</w:t>
      </w:r>
      <w:r w:rsidRPr="005C06CC">
        <w:rPr>
          <w:rFonts w:ascii="Cambria" w:eastAsia="Times New Roman" w:hAnsi="Cambria"/>
          <w:color w:val="151515"/>
          <w:sz w:val="24"/>
          <w:szCs w:val="24"/>
          <w:lang w:eastAsia="pl-PL"/>
        </w:rPr>
        <w:t xml:space="preserve"> </w:t>
      </w:r>
      <w:r>
        <w:rPr>
          <w:rFonts w:ascii="Cambria" w:eastAsia="Times New Roman" w:hAnsi="Cambria"/>
          <w:color w:val="151515"/>
          <w:sz w:val="24"/>
          <w:szCs w:val="24"/>
          <w:lang w:eastAsia="pl-PL"/>
        </w:rPr>
        <w:t>stanowi</w:t>
      </w:r>
      <w:r w:rsidRPr="005C06CC">
        <w:rPr>
          <w:rFonts w:ascii="Cambria" w:eastAsia="Times New Roman" w:hAnsi="Cambria"/>
          <w:color w:val="151515"/>
          <w:sz w:val="24"/>
          <w:szCs w:val="24"/>
          <w:lang w:eastAsia="pl-PL"/>
        </w:rPr>
        <w:t xml:space="preserve"> sektor aktywności państwa</w:t>
      </w:r>
      <w:r>
        <w:rPr>
          <w:rFonts w:ascii="Cambria" w:eastAsia="Times New Roman" w:hAnsi="Cambria"/>
          <w:color w:val="151515"/>
          <w:sz w:val="24"/>
          <w:szCs w:val="24"/>
          <w:lang w:eastAsia="pl-PL"/>
        </w:rPr>
        <w:t xml:space="preserve"> </w:t>
      </w:r>
      <w:r w:rsidRPr="005C06CC">
        <w:rPr>
          <w:rFonts w:ascii="Cambria" w:eastAsia="Times New Roman" w:hAnsi="Cambria"/>
          <w:color w:val="151515"/>
          <w:sz w:val="24"/>
          <w:szCs w:val="24"/>
          <w:lang w:eastAsia="pl-PL"/>
        </w:rPr>
        <w:t xml:space="preserve">szczególnego rodzaju. Celem badawczym była nie tylko analiza przyjętych rozwiązań legislacyjnych z punktu widzenia oceny formalnoprawnej (aparat właściwych instrumentów prawnych), ale przede wszystkim sformułowanie postulatów </w:t>
      </w:r>
      <w:r w:rsidRPr="005C06CC">
        <w:rPr>
          <w:rFonts w:ascii="Cambria" w:eastAsia="Times New Roman" w:hAnsi="Cambria"/>
          <w:i/>
          <w:iCs/>
          <w:color w:val="151515"/>
          <w:sz w:val="24"/>
          <w:szCs w:val="24"/>
          <w:lang w:eastAsia="pl-PL"/>
        </w:rPr>
        <w:t xml:space="preserve">de lege ferenda </w:t>
      </w:r>
      <w:r w:rsidRPr="005C06CC">
        <w:rPr>
          <w:rFonts w:ascii="Cambria" w:eastAsia="Times New Roman" w:hAnsi="Cambria"/>
          <w:color w:val="151515"/>
          <w:sz w:val="24"/>
          <w:szCs w:val="24"/>
          <w:lang w:eastAsia="pl-PL"/>
        </w:rPr>
        <w:t xml:space="preserve">co do stworzenia takiego wzorca systemowego, który zagwarantuje obywatelom możliwość skutecznej ochrony ich praw konstytucyjnych. Przeprowadzona analiza, w tym wyniki kontroli systemu świadczenia nieodpłatnej pomocy prawnej w Polsce stworzonego w ramach regulacji ustawy z dnia 5 sierpnia 2015 r. o nieodpłatnej pomocy prawnej, nieodpłatnym poradnictwie obywatelskim oraz edukacji prawnej (tekst jedn. Dz. U. z 2021 r., poz. 945, dalej cyt. jako </w:t>
      </w:r>
      <w:r w:rsidRPr="00BA2D1D">
        <w:rPr>
          <w:rFonts w:ascii="Cambria" w:eastAsia="Times New Roman" w:hAnsi="Cambria"/>
          <w:color w:val="151515"/>
          <w:sz w:val="24"/>
          <w:szCs w:val="24"/>
          <w:lang w:eastAsia="pl-PL"/>
        </w:rPr>
        <w:t>„ustawa o nieodpłatnej pomocy prawnej”) obowiązującej</w:t>
      </w:r>
      <w:r w:rsidRPr="005C06CC">
        <w:rPr>
          <w:rFonts w:ascii="Cambria" w:eastAsia="Times New Roman" w:hAnsi="Cambria"/>
          <w:color w:val="151515"/>
          <w:sz w:val="24"/>
          <w:szCs w:val="24"/>
          <w:lang w:eastAsia="pl-PL"/>
        </w:rPr>
        <w:t xml:space="preserve"> od 1 stycznia 2016 r. pozwoliły postawić tezę, że obszar bezpłatnego poradnictwa prawnego i obywatelskiego, jak i edukacja prawna, nadal pozostają sferami działania państwa, na które zapotrzebowanie społeczne nie maleje (a nawet w aktualnej sytuacji rośnie). Przyjęte ramy organizacyjno – informacyjne systemu pomocy prawnej jednak wciąż wymagają ulepszeń, tak w kontekście jakości świadczonych usług, jak i zwiększenia ich dostępności poprzez szeroko zakrojone akcje informacyjne. Stwierdzono również, że należy uwzględnić głębsze przeformułowanie systemu, poprzez wprowadzenie jego dwustopniowości na kształt innych rozwiązań krajów europejskich. Abstrahując od samego ukształtowania pełnego finansowania ze środków publicznych, pożądane byłoby także waloryzowanie kwoty bazowej, która stanowi podstawę do ustalania wysokości dotacji celowej. Niewątpliwie bowiem zapotrzebowanie społeczne na tego rodzaju usługi jest coraz większe (liczba spraw rośnie). Być może rozwiązaniem byłoby także rozważenie wprowadzenia modelu częściowej partycypacji w kosztach pomocy prawnej osób, którym pomoc prawna jest udzielana (z dostosowaniem poziomu do sytuacji materialnej wnioskodawcy). Ma to na celu umożliwienie racjonalnego wykorzystania środków finansowych, jak również zwiększenie odpowiedzialności jednostki za inicjowanie i prowadzenie postępowania.</w:t>
      </w:r>
    </w:p>
    <w:p w14:paraId="1B728B91" w14:textId="359122BD" w:rsidR="0082666B" w:rsidRPr="005C06CC" w:rsidRDefault="0082666B" w:rsidP="0082666B">
      <w:pPr>
        <w:spacing w:after="120" w:line="276" w:lineRule="auto"/>
        <w:ind w:firstLine="708"/>
        <w:jc w:val="both"/>
        <w:rPr>
          <w:rFonts w:ascii="Cambria" w:eastAsia="Times New Roman" w:hAnsi="Cambria"/>
          <w:color w:val="151515"/>
          <w:sz w:val="24"/>
          <w:szCs w:val="24"/>
          <w:lang w:eastAsia="pl-PL"/>
        </w:rPr>
      </w:pPr>
      <w:r w:rsidRPr="005C06CC">
        <w:rPr>
          <w:rFonts w:ascii="Cambria" w:eastAsia="Times New Roman" w:hAnsi="Cambria"/>
          <w:color w:val="151515"/>
          <w:sz w:val="24"/>
          <w:szCs w:val="24"/>
          <w:lang w:eastAsia="pl-PL"/>
        </w:rPr>
        <w:t>W przypadku zagadnień związanych z aktywnością aplikantów radcowskich, zainteresowani</w:t>
      </w:r>
      <w:r>
        <w:rPr>
          <w:rFonts w:ascii="Cambria" w:eastAsia="Times New Roman" w:hAnsi="Cambria"/>
          <w:color w:val="151515"/>
          <w:sz w:val="24"/>
          <w:szCs w:val="24"/>
          <w:lang w:eastAsia="pl-PL"/>
        </w:rPr>
        <w:t>ami</w:t>
      </w:r>
      <w:r w:rsidRPr="005C06CC">
        <w:rPr>
          <w:rFonts w:ascii="Cambria" w:eastAsia="Times New Roman" w:hAnsi="Cambria"/>
          <w:color w:val="151515"/>
          <w:sz w:val="24"/>
          <w:szCs w:val="24"/>
          <w:lang w:eastAsia="pl-PL"/>
        </w:rPr>
        <w:t xml:space="preserve"> badawczym</w:t>
      </w:r>
      <w:r>
        <w:rPr>
          <w:rFonts w:ascii="Cambria" w:eastAsia="Times New Roman" w:hAnsi="Cambria"/>
          <w:color w:val="151515"/>
          <w:sz w:val="24"/>
          <w:szCs w:val="24"/>
          <w:lang w:eastAsia="pl-PL"/>
        </w:rPr>
        <w:t>i</w:t>
      </w:r>
      <w:r w:rsidRPr="005C06CC">
        <w:rPr>
          <w:rFonts w:ascii="Cambria" w:eastAsia="Times New Roman" w:hAnsi="Cambria"/>
          <w:color w:val="151515"/>
          <w:sz w:val="24"/>
          <w:szCs w:val="24"/>
          <w:lang w:eastAsia="pl-PL"/>
        </w:rPr>
        <w:t xml:space="preserve"> objęto problematykę dotyczącą interpretacji przesłanek ustawowych wpisu bądź skreślenia</w:t>
      </w:r>
      <w:r>
        <w:rPr>
          <w:rFonts w:ascii="Cambria" w:eastAsia="Times New Roman" w:hAnsi="Cambria"/>
          <w:color w:val="151515"/>
          <w:sz w:val="24"/>
          <w:szCs w:val="24"/>
          <w:lang w:eastAsia="pl-PL"/>
        </w:rPr>
        <w:t xml:space="preserve"> </w:t>
      </w:r>
      <w:r w:rsidRPr="005C06CC">
        <w:rPr>
          <w:rFonts w:ascii="Cambria" w:eastAsia="Times New Roman" w:hAnsi="Cambria"/>
          <w:color w:val="151515"/>
          <w:sz w:val="24"/>
          <w:szCs w:val="24"/>
          <w:lang w:eastAsia="pl-PL"/>
        </w:rPr>
        <w:t>w kontekście przepisów powszechnie obowiązujących</w:t>
      </w:r>
      <w:r>
        <w:rPr>
          <w:rFonts w:ascii="Cambria" w:eastAsia="Times New Roman" w:hAnsi="Cambria"/>
          <w:color w:val="151515"/>
          <w:sz w:val="24"/>
          <w:szCs w:val="24"/>
          <w:lang w:eastAsia="pl-PL"/>
        </w:rPr>
        <w:t xml:space="preserve"> </w:t>
      </w:r>
      <w:r w:rsidRPr="005C06CC">
        <w:rPr>
          <w:rFonts w:ascii="Cambria" w:eastAsia="Times New Roman" w:hAnsi="Cambria"/>
          <w:color w:val="151515"/>
          <w:sz w:val="24"/>
          <w:szCs w:val="24"/>
          <w:lang w:eastAsia="pl-PL"/>
        </w:rPr>
        <w:t>i wewnętrznych regulacji samorządu radcowskiego. Na tle glosowanego wyroku NSA z dnia 16 października 2018 r., II GSK 2949/16  (</w:t>
      </w:r>
      <w:r w:rsidRPr="005C06CC">
        <w:rPr>
          <w:rFonts w:ascii="Cambria" w:eastAsia="Times New Roman" w:hAnsi="Cambria"/>
          <w:i/>
          <w:iCs/>
          <w:sz w:val="24"/>
          <w:szCs w:val="24"/>
          <w:lang w:eastAsia="pl-PL"/>
        </w:rPr>
        <w:t xml:space="preserve">Nieprzydatność aplikanta radcowskiego do wykonywania zawodu radcy prawnego jako przesłanka skreślenia z listy </w:t>
      </w:r>
      <w:r w:rsidRPr="005C06CC">
        <w:rPr>
          <w:rFonts w:ascii="Cambria" w:eastAsia="Times New Roman" w:hAnsi="Cambria"/>
          <w:i/>
          <w:iCs/>
          <w:sz w:val="24"/>
          <w:szCs w:val="24"/>
          <w:lang w:eastAsia="pl-PL"/>
        </w:rPr>
        <w:lastRenderedPageBreak/>
        <w:t>aplikantów. Glosa częściowo krytyczna do wyroku Naczelnego Sądu Administracyjnego z 16 października 2018 r., II GSK 2949/16</w:t>
      </w:r>
      <w:r w:rsidRPr="005C06CC">
        <w:rPr>
          <w:rFonts w:ascii="Cambria" w:eastAsia="Times New Roman" w:hAnsi="Cambria"/>
          <w:sz w:val="24"/>
          <w:szCs w:val="24"/>
          <w:lang w:eastAsia="pl-PL"/>
        </w:rPr>
        <w:t xml:space="preserve">, „Radca Prawny. Zeszyty Naukowe” 2021, Nr 4 (29), s. 149-162, </w:t>
      </w:r>
      <w:r w:rsidR="00BA2D1D" w:rsidRPr="00BA2D1D">
        <w:rPr>
          <w:rFonts w:ascii="Cambria" w:eastAsia="Times New Roman" w:hAnsi="Cambria"/>
          <w:sz w:val="24"/>
          <w:szCs w:val="24"/>
          <w:lang w:eastAsia="pl-PL"/>
        </w:rPr>
        <w:t>https://doi.org/10.4467/23921943RP.21.038.15415</w:t>
      </w:r>
      <w:r w:rsidRPr="005C06CC">
        <w:rPr>
          <w:rFonts w:ascii="Cambria" w:eastAsia="Times New Roman" w:hAnsi="Cambria"/>
          <w:sz w:val="24"/>
          <w:szCs w:val="24"/>
          <w:lang w:eastAsia="pl-PL"/>
        </w:rPr>
        <w:t>)</w:t>
      </w:r>
      <w:r w:rsidR="00BA2D1D">
        <w:rPr>
          <w:rFonts w:ascii="Cambria" w:eastAsia="Times New Roman" w:hAnsi="Cambria"/>
          <w:sz w:val="24"/>
          <w:szCs w:val="24"/>
          <w:lang w:eastAsia="pl-PL"/>
        </w:rPr>
        <w:t xml:space="preserve"> </w:t>
      </w:r>
      <w:r w:rsidRPr="005C06CC">
        <w:rPr>
          <w:rFonts w:ascii="Cambria" w:eastAsia="Times New Roman" w:hAnsi="Cambria"/>
          <w:color w:val="151515"/>
          <w:sz w:val="24"/>
          <w:szCs w:val="24"/>
          <w:lang w:eastAsia="pl-PL"/>
        </w:rPr>
        <w:t xml:space="preserve">poruszono problematykę wykładni jednej z przesłanek skreślenia z listy aplikantów radcowskich – „nieprzydatności aplikanta radcowskiego do wykonywania zawodu radcy prawnego”. Celem badawczym było przeprowadzenie analizy regulacji, która w praktyce stosowania rodzi szereg wątpliwości. Przesłanka ta choć należy do pojęć o nieostrym zakresie terminologicznym, stanowi podstawę do podejmowania rozstrzygnięć o ważkim znaczeniu dla członków samorządu zawodowego radców prawnych (aplikantów radcowskich) podlegających kontroli sądowej. W glosie częściowo krytycznej wskazano na pojawiające się zastrzeżenia co do kierunku interpretacji przyjętej przez sądy administracyjne (w tym przypadku NSA), tak co do charakteru prawnego uznaniowych decyzji administracyjnych wydawanych w sferze władztwa administracyjnego przez samorząd radcowski, jak i prezentowanej wykładni w płaszczyźnie oceny determinanty w postaci „nieprzydatności aplikanta radcowskiego”. NSA w glosowanym wyroku, jak się wydaje w sposób nieuprawniony, przedstawił koncepcję rozszerzającą zakres sądowej kontroli uchwał (decyzji) uznaniowych wydawanych przez organy samorządu radcowskiego. Przy zaaprobowaniu toku narracji zaprezentowanej przez NSA, wszystkie decyzje samorządowe odnoszące się do przesłanek ocennych (takich jak „nieprzydatność do wykonywania zawodu”), mogłyby być uznawane przez sądy za zbyt arbitralne, przedwczesne, zbyt fragmentarycznie uargumentowane. W konsekwencji, przepisy Konstytucji RP stanowiące o sprawowaniu przez samorządy zawodowe pieczy nad należytym wykonywaniem zawodu zaufania publicznego, byłyby de facto martwe. </w:t>
      </w:r>
    </w:p>
    <w:p w14:paraId="146102A9" w14:textId="77777777" w:rsidR="0082666B" w:rsidRPr="005C06CC" w:rsidRDefault="0082666B" w:rsidP="0082666B">
      <w:pPr>
        <w:spacing w:after="120" w:line="276" w:lineRule="auto"/>
        <w:ind w:firstLine="708"/>
        <w:jc w:val="both"/>
        <w:rPr>
          <w:rFonts w:ascii="Cambria" w:eastAsia="Times New Roman" w:hAnsi="Cambria"/>
          <w:sz w:val="24"/>
          <w:szCs w:val="24"/>
          <w:lang w:eastAsia="pl-PL"/>
        </w:rPr>
      </w:pPr>
      <w:r w:rsidRPr="005C06CC">
        <w:rPr>
          <w:rFonts w:ascii="Cambria" w:eastAsia="Times New Roman" w:hAnsi="Cambria"/>
          <w:color w:val="151515"/>
          <w:sz w:val="24"/>
          <w:szCs w:val="24"/>
          <w:lang w:eastAsia="pl-PL"/>
        </w:rPr>
        <w:t xml:space="preserve">W zakresie prowadzonych badań nie pominięto także wątku proceduralnego. W artykule </w:t>
      </w:r>
      <w:r w:rsidRPr="005C06CC">
        <w:rPr>
          <w:rFonts w:ascii="Cambria" w:eastAsia="Times New Roman" w:hAnsi="Cambria"/>
          <w:sz w:val="24"/>
          <w:szCs w:val="24"/>
          <w:lang w:eastAsia="pl-PL"/>
        </w:rPr>
        <w:t>pt.</w:t>
      </w:r>
      <w:r w:rsidRPr="005C06CC">
        <w:rPr>
          <w:rFonts w:ascii="Cambria" w:eastAsia="Times New Roman" w:hAnsi="Cambria"/>
          <w:i/>
          <w:iCs/>
          <w:sz w:val="24"/>
          <w:szCs w:val="24"/>
          <w:lang w:eastAsia="pl-PL"/>
        </w:rPr>
        <w:t xml:space="preserve"> Pełnomocnictwo substytucyjne a upoważnienie aplikanta do zastępowania radcy prawnego i adwokata – wybrane zagadnienia. Stan obecny i postulaty de lege ferenda</w:t>
      </w:r>
      <w:r w:rsidRPr="005C06CC">
        <w:rPr>
          <w:rFonts w:ascii="Cambria" w:eastAsia="Times New Roman" w:hAnsi="Cambria"/>
          <w:sz w:val="24"/>
          <w:szCs w:val="24"/>
          <w:lang w:eastAsia="pl-PL"/>
        </w:rPr>
        <w:t>, [w:] </w:t>
      </w:r>
      <w:r w:rsidRPr="005C06CC">
        <w:rPr>
          <w:rFonts w:ascii="Cambria" w:eastAsia="Times New Roman" w:hAnsi="Cambria"/>
          <w:i/>
          <w:iCs/>
          <w:sz w:val="24"/>
          <w:szCs w:val="24"/>
          <w:lang w:eastAsia="pl-PL"/>
        </w:rPr>
        <w:t>Samorząd a prawo do sądu</w:t>
      </w:r>
      <w:r w:rsidRPr="005C06CC">
        <w:rPr>
          <w:rFonts w:ascii="Cambria" w:eastAsia="Times New Roman" w:hAnsi="Cambria"/>
          <w:sz w:val="24"/>
          <w:szCs w:val="24"/>
          <w:lang w:eastAsia="pl-PL"/>
        </w:rPr>
        <w:t xml:space="preserve">, J. Sobczak (red.), Lublin 2016, </w:t>
      </w:r>
      <w:r w:rsidRPr="005C11E9">
        <w:rPr>
          <w:rFonts w:ascii="Times New Roman" w:eastAsia="Times New Roman" w:hAnsi="Times New Roman"/>
          <w:color w:val="151515"/>
          <w:sz w:val="24"/>
          <w:szCs w:val="24"/>
          <w:lang w:eastAsia="pl-PL"/>
        </w:rPr>
        <w:t>Stowarzyszenie Naukowe "Pro Scientia Iuridica"</w:t>
      </w:r>
      <w:r>
        <w:rPr>
          <w:rFonts w:ascii="Times New Roman" w:eastAsia="Times New Roman" w:hAnsi="Times New Roman"/>
          <w:color w:val="151515"/>
          <w:sz w:val="24"/>
          <w:szCs w:val="24"/>
          <w:lang w:eastAsia="pl-PL"/>
        </w:rPr>
        <w:t xml:space="preserve">, </w:t>
      </w:r>
      <w:r w:rsidRPr="005C06CC">
        <w:rPr>
          <w:rFonts w:ascii="Cambria" w:eastAsia="Times New Roman" w:hAnsi="Cambria"/>
          <w:sz w:val="24"/>
          <w:szCs w:val="24"/>
          <w:lang w:eastAsia="pl-PL"/>
        </w:rPr>
        <w:t xml:space="preserve">ISBN: </w:t>
      </w:r>
      <w:r w:rsidRPr="005C06CC">
        <w:rPr>
          <w:rFonts w:ascii="Cambria" w:eastAsia="Times New Roman" w:hAnsi="Cambria"/>
          <w:color w:val="151515"/>
          <w:sz w:val="24"/>
          <w:szCs w:val="24"/>
          <w:lang w:eastAsia="pl-PL"/>
        </w:rPr>
        <w:t>978-83-64800-02-3,</w:t>
      </w:r>
      <w:r w:rsidRPr="005C06CC">
        <w:rPr>
          <w:rFonts w:ascii="Cambria" w:eastAsia="Times New Roman" w:hAnsi="Cambria"/>
          <w:sz w:val="24"/>
          <w:szCs w:val="24"/>
          <w:lang w:eastAsia="pl-PL"/>
        </w:rPr>
        <w:t xml:space="preserve"> s. 125-144 za cel badawczy przyjęto nakreślenie problematyki związanej z koniecznością wyraźnego określenia, czym jest udzielenie pełnomocnictwa substytucyjnego przez radcę prawnego lub adwokata, a czym udzielenie upoważnienia aplikantowi radcowskiemu lub adwokackiemu, w celu zastępowania radcy prawnego lub adwokata w określonym zakresie. Ponadto, kluczowe okazało się wskazanie, kiedy odpowiednio możliwe jest udzielenie substytucji radcy prawnemu i adwokatowi, a kiedy udzielenie upoważnienia aplikantowi radcowskiemu lub adwokackiemu. Uwypuklono, że przez udzielenie pełnomocnictwa substytucyjnego powstaje nowy stosunek pełnomocnictwa pomiędzy stroną postępowania a dalszym pełnomocnikiem, tzw. substytutem. Strona ma więc od momentu udzielenia pełnomocnictwa substytucyjnego, dwóch równorzędnych pełnomocników w danym postępowaniu. Substytut staje się pełnomocnikiem strony, a nie pełnomocnika, który udzielił dalszego pełnomocnictwa. Natomiast, poprzez udzielenie upoważnienia aplikantowi do zastępowania adwokata lub radcy prawnego, nie nawiązuje się żaden stosunek pomiędzy nim samym i stroną, a jedynie pomiędzy aplikantem a radcą prawnym lub adwokatem udzielającym upoważnienia, na </w:t>
      </w:r>
      <w:r w:rsidRPr="005C06CC">
        <w:rPr>
          <w:rFonts w:ascii="Cambria" w:eastAsia="Times New Roman" w:hAnsi="Cambria"/>
          <w:sz w:val="24"/>
          <w:szCs w:val="24"/>
          <w:lang w:eastAsia="pl-PL"/>
        </w:rPr>
        <w:lastRenderedPageBreak/>
        <w:t>określonych prawem zasadach i we wskazanych prawnie granicach. Upoważnienie aplikanta do zastępowania radcy prawnego lub adwokata, nazywane często potocznie substytucją - w rzeczywistości nią nie jest. Dodatkowo dokonano interpretacji zakresu katalogu podmiotowego osób, którym może zostać udzielone pełnomocnictwo substytucyjne oraz upoważnienie do zastępowania radcy prawnego lub adwokata. Wskazano także na wynikające z przepisów prawa ograniczenia w tym zakresie, formułując także postulaty de lege ferenda mające na celu wyrównanie pozycji prawnej aplikantów radcowskich (ale i radców prawnych) w tym zakresie.</w:t>
      </w:r>
    </w:p>
    <w:p w14:paraId="68AFBDB9" w14:textId="369F9D0E" w:rsidR="0082666B" w:rsidRDefault="0082666B" w:rsidP="0082666B">
      <w:pPr>
        <w:spacing w:after="120" w:line="276" w:lineRule="auto"/>
        <w:ind w:firstLine="708"/>
        <w:jc w:val="both"/>
        <w:rPr>
          <w:rFonts w:ascii="Cambria" w:eastAsia="Times New Roman" w:hAnsi="Cambria"/>
          <w:color w:val="151515"/>
          <w:sz w:val="24"/>
          <w:szCs w:val="24"/>
          <w:lang w:eastAsia="pl-PL"/>
        </w:rPr>
      </w:pPr>
      <w:r w:rsidRPr="005C06CC">
        <w:rPr>
          <w:rFonts w:ascii="Cambria" w:eastAsia="Times New Roman" w:hAnsi="Cambria"/>
          <w:sz w:val="24"/>
          <w:szCs w:val="24"/>
          <w:lang w:eastAsia="pl-PL"/>
        </w:rPr>
        <w:t xml:space="preserve">W obrębie zainteresowań </w:t>
      </w:r>
      <w:r>
        <w:rPr>
          <w:rFonts w:ascii="Cambria" w:eastAsia="Times New Roman" w:hAnsi="Cambria"/>
          <w:sz w:val="24"/>
          <w:szCs w:val="24"/>
          <w:lang w:eastAsia="pl-PL"/>
        </w:rPr>
        <w:t>badawczych</w:t>
      </w:r>
      <w:r w:rsidRPr="005C06CC">
        <w:rPr>
          <w:rFonts w:ascii="Cambria" w:eastAsia="Times New Roman" w:hAnsi="Cambria"/>
          <w:sz w:val="24"/>
          <w:szCs w:val="24"/>
          <w:lang w:eastAsia="pl-PL"/>
        </w:rPr>
        <w:t xml:space="preserve"> pojawił się również </w:t>
      </w:r>
      <w:r w:rsidR="00BA2D1D">
        <w:rPr>
          <w:rFonts w:ascii="Cambria" w:eastAsia="Times New Roman" w:hAnsi="Cambria"/>
          <w:sz w:val="24"/>
          <w:szCs w:val="24"/>
          <w:lang w:eastAsia="pl-PL"/>
        </w:rPr>
        <w:t xml:space="preserve">przyczynkowy </w:t>
      </w:r>
      <w:r w:rsidRPr="005C06CC">
        <w:rPr>
          <w:rFonts w:ascii="Cambria" w:eastAsia="Times New Roman" w:hAnsi="Cambria"/>
          <w:sz w:val="24"/>
          <w:szCs w:val="24"/>
          <w:lang w:eastAsia="pl-PL"/>
        </w:rPr>
        <w:t>artykuł o zabarwieniu hisorycznoprawnym (</w:t>
      </w:r>
      <w:r w:rsidRPr="005C06CC">
        <w:rPr>
          <w:rFonts w:ascii="Cambria" w:eastAsia="Times New Roman" w:hAnsi="Cambria"/>
          <w:i/>
          <w:color w:val="151515"/>
          <w:sz w:val="24"/>
          <w:szCs w:val="24"/>
          <w:lang w:eastAsia="pl-PL"/>
        </w:rPr>
        <w:t>Sądownictwo obywatelskie w Królestwie Polskim w 1915 r.</w:t>
      </w:r>
      <w:r w:rsidRPr="005C06CC">
        <w:rPr>
          <w:rFonts w:ascii="Cambria" w:eastAsia="Times New Roman" w:hAnsi="Cambria"/>
          <w:color w:val="151515"/>
          <w:sz w:val="24"/>
          <w:szCs w:val="24"/>
          <w:lang w:eastAsia="pl-PL"/>
        </w:rPr>
        <w:t xml:space="preserve"> (współautor A. Bereza), „Kwartalnik Krajowej Rady Sądownictwa” 2016, nr 2, s. 25-33). Chociaż istnienie sądów obywatelskich w Warszawie i Lublinie okazało się jedynie krótkim epizodem w dziejach sądownictwa w Polsce, to jednak dało wyraz wielkiej determinacji elit w pielęgnowaniu przejawów polskości na różnych płaszczyznach życia społecznego, w tym także organizacji wymiaru sprawiedliwości. Jest to niewątpliwie obszar badawczy o istotnym znaczeniu. Struktura sądów obywatelskich w Warszawie i Lublinie różniła się między sobą jedynie w szczegółach ze względu na odrębności okupacyjne </w:t>
      </w:r>
      <w:r w:rsidRPr="005C06CC">
        <w:rPr>
          <w:rFonts w:ascii="Cambria" w:hAnsi="Cambria"/>
          <w:sz w:val="24"/>
          <w:szCs w:val="24"/>
          <w:lang w:eastAsia="pl-PL"/>
        </w:rPr>
        <w:t>i specyfikę lokalną. Podczas kształtowania się sądów obywatelskich</w:t>
      </w:r>
      <w:r w:rsidRPr="005C06CC">
        <w:rPr>
          <w:rFonts w:ascii="Cambria" w:eastAsia="Times New Roman" w:hAnsi="Cambria"/>
          <w:color w:val="151515"/>
          <w:sz w:val="24"/>
          <w:szCs w:val="24"/>
          <w:lang w:eastAsia="pl-PL"/>
        </w:rPr>
        <w:t xml:space="preserve"> </w:t>
      </w:r>
      <w:r w:rsidRPr="005C06CC">
        <w:rPr>
          <w:rFonts w:ascii="Cambria" w:hAnsi="Cambria"/>
          <w:sz w:val="24"/>
          <w:szCs w:val="24"/>
          <w:lang w:eastAsia="pl-PL"/>
        </w:rPr>
        <w:t>w Lublinie wyraźnie podkreślano, że wzorowano się</w:t>
      </w:r>
      <w:r w:rsidRPr="005C06CC">
        <w:rPr>
          <w:rFonts w:ascii="Cambria" w:eastAsia="Times New Roman" w:hAnsi="Cambria"/>
          <w:color w:val="151515"/>
          <w:sz w:val="24"/>
          <w:szCs w:val="24"/>
          <w:lang w:eastAsia="pl-PL"/>
        </w:rPr>
        <w:t xml:space="preserve"> </w:t>
      </w:r>
      <w:r w:rsidRPr="005C06CC">
        <w:rPr>
          <w:rFonts w:ascii="Cambria" w:hAnsi="Cambria"/>
          <w:sz w:val="24"/>
          <w:szCs w:val="24"/>
          <w:lang w:eastAsia="pl-PL"/>
        </w:rPr>
        <w:t>na rozwiązaniach już implementowanych w Regulaminie Organizacji Sądów Obywatelskich z 27.07.1915 r. Działalność</w:t>
      </w:r>
      <w:r w:rsidRPr="005C06CC">
        <w:rPr>
          <w:rFonts w:ascii="Cambria" w:eastAsia="Times New Roman" w:hAnsi="Cambria"/>
          <w:color w:val="151515"/>
          <w:sz w:val="24"/>
          <w:szCs w:val="24"/>
          <w:lang w:eastAsia="pl-PL"/>
        </w:rPr>
        <w:t xml:space="preserve"> </w:t>
      </w:r>
      <w:r w:rsidRPr="005C06CC">
        <w:rPr>
          <w:rFonts w:ascii="Cambria" w:hAnsi="Cambria"/>
          <w:sz w:val="24"/>
          <w:szCs w:val="24"/>
          <w:lang w:eastAsia="pl-PL"/>
        </w:rPr>
        <w:t>sądów obywatelskich to szkoła służby publicznej na rzecz</w:t>
      </w:r>
      <w:r w:rsidRPr="005C06CC">
        <w:rPr>
          <w:rFonts w:ascii="Cambria" w:eastAsia="Times New Roman" w:hAnsi="Cambria"/>
          <w:color w:val="151515"/>
          <w:sz w:val="24"/>
          <w:szCs w:val="24"/>
          <w:lang w:eastAsia="pl-PL"/>
        </w:rPr>
        <w:t xml:space="preserve"> </w:t>
      </w:r>
      <w:r w:rsidRPr="005C06CC">
        <w:rPr>
          <w:rFonts w:ascii="Cambria" w:hAnsi="Cambria"/>
          <w:sz w:val="24"/>
          <w:szCs w:val="24"/>
          <w:lang w:eastAsia="pl-PL"/>
        </w:rPr>
        <w:t>miejscowego społeczeństwa oraz zdany egzamin z patriotyzmu</w:t>
      </w:r>
      <w:r w:rsidRPr="005C06CC">
        <w:rPr>
          <w:rFonts w:ascii="Cambria" w:eastAsia="Times New Roman" w:hAnsi="Cambria"/>
          <w:color w:val="151515"/>
          <w:sz w:val="24"/>
          <w:szCs w:val="24"/>
          <w:lang w:eastAsia="pl-PL"/>
        </w:rPr>
        <w:t xml:space="preserve"> </w:t>
      </w:r>
      <w:r w:rsidRPr="005C06CC">
        <w:rPr>
          <w:rFonts w:ascii="Cambria" w:hAnsi="Cambria"/>
          <w:sz w:val="24"/>
          <w:szCs w:val="24"/>
          <w:lang w:eastAsia="pl-PL"/>
        </w:rPr>
        <w:t>i poświęcenia ze strony przedstawicieli polskich prawników.</w:t>
      </w:r>
      <w:r w:rsidRPr="005C06CC">
        <w:rPr>
          <w:rFonts w:ascii="Cambria" w:eastAsia="Times New Roman" w:hAnsi="Cambria"/>
          <w:color w:val="151515"/>
          <w:sz w:val="24"/>
          <w:szCs w:val="24"/>
          <w:lang w:eastAsia="pl-PL"/>
        </w:rPr>
        <w:t xml:space="preserve"> </w:t>
      </w:r>
      <w:r w:rsidRPr="005C06CC">
        <w:rPr>
          <w:rFonts w:ascii="Cambria" w:hAnsi="Cambria"/>
          <w:sz w:val="24"/>
          <w:szCs w:val="24"/>
          <w:lang w:eastAsia="pl-PL"/>
        </w:rPr>
        <w:t>Nie jest więc przypadkiem, że ci, którzy zaangażowali się</w:t>
      </w:r>
      <w:r w:rsidRPr="005C06CC">
        <w:rPr>
          <w:rFonts w:ascii="Cambria" w:eastAsia="Times New Roman" w:hAnsi="Cambria"/>
          <w:color w:val="151515"/>
          <w:sz w:val="24"/>
          <w:szCs w:val="24"/>
          <w:lang w:eastAsia="pl-PL"/>
        </w:rPr>
        <w:t xml:space="preserve"> </w:t>
      </w:r>
      <w:r w:rsidRPr="005C06CC">
        <w:rPr>
          <w:rFonts w:ascii="Cambria" w:hAnsi="Cambria"/>
          <w:sz w:val="24"/>
          <w:szCs w:val="24"/>
          <w:lang w:eastAsia="pl-PL"/>
        </w:rPr>
        <w:t>w funkcjonowanie sądownictwa obywatelskiego, w 1917 r.</w:t>
      </w:r>
      <w:r w:rsidRPr="005C06CC">
        <w:rPr>
          <w:rFonts w:ascii="Cambria" w:eastAsia="Times New Roman" w:hAnsi="Cambria"/>
          <w:color w:val="151515"/>
          <w:sz w:val="24"/>
          <w:szCs w:val="24"/>
          <w:lang w:eastAsia="pl-PL"/>
        </w:rPr>
        <w:t xml:space="preserve"> </w:t>
      </w:r>
      <w:r w:rsidRPr="005C06CC">
        <w:rPr>
          <w:rFonts w:ascii="Cambria" w:hAnsi="Cambria"/>
          <w:sz w:val="24"/>
          <w:szCs w:val="24"/>
          <w:lang w:eastAsia="pl-PL"/>
        </w:rPr>
        <w:t>ponownie stanęli w pierwszym szeregu, gotowi do pracy</w:t>
      </w:r>
      <w:r w:rsidRPr="005C06CC">
        <w:rPr>
          <w:rFonts w:ascii="Cambria" w:eastAsia="Times New Roman" w:hAnsi="Cambria"/>
          <w:color w:val="151515"/>
          <w:sz w:val="24"/>
          <w:szCs w:val="24"/>
          <w:lang w:eastAsia="pl-PL"/>
        </w:rPr>
        <w:t xml:space="preserve"> </w:t>
      </w:r>
      <w:r w:rsidRPr="005C06CC">
        <w:rPr>
          <w:rFonts w:ascii="Cambria" w:hAnsi="Cambria"/>
          <w:sz w:val="24"/>
          <w:szCs w:val="24"/>
          <w:lang w:eastAsia="pl-PL"/>
        </w:rPr>
        <w:t>w sądach królewsko-polskich, które stały się fundamentem</w:t>
      </w:r>
      <w:r w:rsidRPr="005C06CC">
        <w:rPr>
          <w:rFonts w:ascii="Cambria" w:eastAsia="Times New Roman" w:hAnsi="Cambria"/>
          <w:color w:val="151515"/>
          <w:sz w:val="24"/>
          <w:szCs w:val="24"/>
          <w:lang w:eastAsia="pl-PL"/>
        </w:rPr>
        <w:t xml:space="preserve"> </w:t>
      </w:r>
      <w:r w:rsidRPr="005C06CC">
        <w:rPr>
          <w:rFonts w:ascii="Cambria" w:hAnsi="Cambria"/>
          <w:sz w:val="24"/>
          <w:szCs w:val="24"/>
          <w:lang w:eastAsia="pl-PL"/>
        </w:rPr>
        <w:t>sądownictwa Odrodzonego Państwa Polskiego.</w:t>
      </w:r>
    </w:p>
    <w:p w14:paraId="390E421E" w14:textId="07F6AE2A" w:rsidR="0082666B" w:rsidRPr="00A90E64" w:rsidRDefault="0082666B" w:rsidP="008A27FE">
      <w:pPr>
        <w:spacing w:after="120" w:line="276" w:lineRule="auto"/>
        <w:jc w:val="both"/>
        <w:rPr>
          <w:rFonts w:ascii="Cambria" w:eastAsia="Times New Roman" w:hAnsi="Cambria"/>
          <w:color w:val="151515"/>
          <w:sz w:val="24"/>
          <w:szCs w:val="24"/>
          <w:lang w:eastAsia="pl-PL"/>
        </w:rPr>
      </w:pPr>
      <w:r w:rsidRPr="00A53058">
        <w:rPr>
          <w:rFonts w:ascii="Cambria" w:eastAsia="Times New Roman" w:hAnsi="Cambria"/>
          <w:b/>
          <w:bCs/>
          <w:color w:val="151515"/>
          <w:sz w:val="24"/>
          <w:szCs w:val="24"/>
          <w:lang w:eastAsia="pl-PL"/>
        </w:rPr>
        <w:t>Ad. 4</w:t>
      </w:r>
      <w:r w:rsidR="008A27FE">
        <w:rPr>
          <w:rFonts w:ascii="Cambria" w:eastAsia="Times New Roman" w:hAnsi="Cambria"/>
          <w:b/>
          <w:bCs/>
          <w:color w:val="151515"/>
          <w:sz w:val="24"/>
          <w:szCs w:val="24"/>
          <w:lang w:eastAsia="pl-PL"/>
        </w:rPr>
        <w:t>)</w:t>
      </w:r>
      <w:r>
        <w:rPr>
          <w:rFonts w:ascii="Cambria" w:eastAsia="Times New Roman" w:hAnsi="Cambria"/>
          <w:color w:val="151515"/>
          <w:sz w:val="24"/>
          <w:szCs w:val="24"/>
          <w:lang w:eastAsia="pl-PL"/>
        </w:rPr>
        <w:t xml:space="preserve"> </w:t>
      </w:r>
      <w:r w:rsidRPr="005C06CC">
        <w:rPr>
          <w:rFonts w:ascii="Cambria" w:eastAsia="Times New Roman" w:hAnsi="Cambria"/>
          <w:b/>
          <w:bCs/>
          <w:sz w:val="24"/>
          <w:szCs w:val="24"/>
          <w:lang w:eastAsia="pl-PL"/>
        </w:rPr>
        <w:t>Prawo medyczne</w:t>
      </w:r>
      <w:r w:rsidR="006A2ACC">
        <w:rPr>
          <w:rFonts w:ascii="Cambria" w:eastAsia="Times New Roman" w:hAnsi="Cambria"/>
          <w:b/>
          <w:bCs/>
          <w:sz w:val="24"/>
          <w:szCs w:val="24"/>
          <w:lang w:eastAsia="pl-PL"/>
        </w:rPr>
        <w:t xml:space="preserve"> (</w:t>
      </w:r>
      <w:r w:rsidRPr="005C06CC">
        <w:rPr>
          <w:rFonts w:ascii="Cambria" w:eastAsia="Times New Roman" w:hAnsi="Cambria"/>
          <w:b/>
          <w:bCs/>
          <w:sz w:val="24"/>
          <w:szCs w:val="24"/>
          <w:lang w:eastAsia="pl-PL"/>
        </w:rPr>
        <w:t>w szczególności system preferencji podatkowych w kontekście świadczenia wybranych usług medycznych</w:t>
      </w:r>
      <w:r w:rsidR="006A2ACC">
        <w:rPr>
          <w:rFonts w:ascii="Cambria" w:eastAsia="Times New Roman" w:hAnsi="Cambria"/>
          <w:b/>
          <w:bCs/>
          <w:sz w:val="24"/>
          <w:szCs w:val="24"/>
          <w:lang w:eastAsia="pl-PL"/>
        </w:rPr>
        <w:t>)</w:t>
      </w:r>
      <w:r w:rsidRPr="005C06CC">
        <w:rPr>
          <w:rFonts w:ascii="Cambria" w:eastAsia="Times New Roman" w:hAnsi="Cambria"/>
          <w:b/>
          <w:bCs/>
          <w:color w:val="FF0000"/>
          <w:sz w:val="24"/>
          <w:szCs w:val="24"/>
          <w:lang w:eastAsia="pl-PL"/>
        </w:rPr>
        <w:t xml:space="preserve"> </w:t>
      </w:r>
    </w:p>
    <w:p w14:paraId="730B3F8E" w14:textId="77777777" w:rsidR="0082666B" w:rsidRPr="005C06CC" w:rsidRDefault="0082666B" w:rsidP="0082666B">
      <w:pPr>
        <w:spacing w:after="0" w:line="240" w:lineRule="auto"/>
        <w:jc w:val="both"/>
        <w:rPr>
          <w:rFonts w:ascii="Cambria" w:eastAsia="Times New Roman" w:hAnsi="Cambria"/>
          <w:bCs/>
          <w:sz w:val="24"/>
          <w:szCs w:val="24"/>
          <w:lang w:eastAsia="pl-PL"/>
        </w:rPr>
      </w:pPr>
    </w:p>
    <w:p w14:paraId="7549ACA1" w14:textId="267081B8" w:rsidR="00015018" w:rsidRDefault="00015018" w:rsidP="00015018">
      <w:pPr>
        <w:spacing w:after="0" w:line="240" w:lineRule="auto"/>
        <w:jc w:val="both"/>
        <w:rPr>
          <w:rFonts w:ascii="Cambria" w:eastAsia="Times New Roman" w:hAnsi="Cambria"/>
          <w:bCs/>
          <w:sz w:val="24"/>
          <w:szCs w:val="24"/>
          <w:lang w:eastAsia="pl-PL"/>
        </w:rPr>
      </w:pPr>
      <w:r>
        <w:rPr>
          <w:rFonts w:ascii="Cambria" w:eastAsia="Times New Roman" w:hAnsi="Cambria"/>
          <w:bCs/>
          <w:sz w:val="24"/>
          <w:szCs w:val="24"/>
          <w:lang w:eastAsia="pl-PL"/>
        </w:rPr>
        <w:t xml:space="preserve">Problematykę związaną z </w:t>
      </w:r>
      <w:r w:rsidRPr="005C06CC">
        <w:rPr>
          <w:rFonts w:ascii="Cambria" w:eastAsia="Times New Roman" w:hAnsi="Cambria"/>
          <w:bCs/>
          <w:sz w:val="24"/>
          <w:szCs w:val="24"/>
          <w:lang w:eastAsia="pl-PL"/>
        </w:rPr>
        <w:t>niniejszym obszar</w:t>
      </w:r>
      <w:r>
        <w:rPr>
          <w:rFonts w:ascii="Cambria" w:eastAsia="Times New Roman" w:hAnsi="Cambria"/>
          <w:bCs/>
          <w:sz w:val="24"/>
          <w:szCs w:val="24"/>
          <w:lang w:eastAsia="pl-PL"/>
        </w:rPr>
        <w:t>em</w:t>
      </w:r>
      <w:r w:rsidRPr="005C06CC">
        <w:rPr>
          <w:rFonts w:ascii="Cambria" w:eastAsia="Times New Roman" w:hAnsi="Cambria"/>
          <w:bCs/>
          <w:sz w:val="24"/>
          <w:szCs w:val="24"/>
          <w:lang w:eastAsia="pl-PL"/>
        </w:rPr>
        <w:t xml:space="preserve"> badawczym </w:t>
      </w:r>
      <w:r>
        <w:rPr>
          <w:rFonts w:ascii="Cambria" w:eastAsia="Times New Roman" w:hAnsi="Cambria"/>
          <w:bCs/>
          <w:sz w:val="24"/>
          <w:szCs w:val="24"/>
          <w:lang w:eastAsia="pl-PL"/>
        </w:rPr>
        <w:t>rozwinięto w</w:t>
      </w:r>
      <w:r w:rsidRPr="005C06CC">
        <w:rPr>
          <w:rFonts w:ascii="Cambria" w:eastAsia="Times New Roman" w:hAnsi="Cambria"/>
          <w:bCs/>
          <w:sz w:val="24"/>
          <w:szCs w:val="24"/>
          <w:lang w:eastAsia="pl-PL"/>
        </w:rPr>
        <w:t xml:space="preserve"> publikacj</w:t>
      </w:r>
      <w:r>
        <w:rPr>
          <w:rFonts w:ascii="Cambria" w:eastAsia="Times New Roman" w:hAnsi="Cambria"/>
          <w:bCs/>
          <w:sz w:val="24"/>
          <w:szCs w:val="24"/>
          <w:lang w:eastAsia="pl-PL"/>
        </w:rPr>
        <w:t>ach</w:t>
      </w:r>
      <w:r w:rsidRPr="005C06CC">
        <w:rPr>
          <w:rFonts w:ascii="Cambria" w:eastAsia="Times New Roman" w:hAnsi="Cambria"/>
          <w:bCs/>
          <w:sz w:val="24"/>
          <w:szCs w:val="24"/>
          <w:lang w:eastAsia="pl-PL"/>
        </w:rPr>
        <w:t xml:space="preserve"> o charakterze</w:t>
      </w:r>
      <w:r>
        <w:rPr>
          <w:rFonts w:ascii="Cambria" w:eastAsia="Times New Roman" w:hAnsi="Cambria"/>
          <w:bCs/>
          <w:sz w:val="24"/>
          <w:szCs w:val="24"/>
          <w:lang w:eastAsia="pl-PL"/>
        </w:rPr>
        <w:t xml:space="preserve">: </w:t>
      </w:r>
      <w:r w:rsidRPr="005C06CC">
        <w:rPr>
          <w:rFonts w:ascii="Cambria" w:eastAsia="Times New Roman" w:hAnsi="Cambria"/>
          <w:bCs/>
          <w:sz w:val="24"/>
          <w:szCs w:val="24"/>
          <w:lang w:eastAsia="pl-PL"/>
        </w:rPr>
        <w:t xml:space="preserve">artykułów </w:t>
      </w:r>
      <w:r>
        <w:rPr>
          <w:rFonts w:ascii="Cambria" w:eastAsia="Times New Roman" w:hAnsi="Cambria"/>
          <w:bCs/>
          <w:sz w:val="24"/>
          <w:szCs w:val="24"/>
          <w:lang w:eastAsia="pl-PL"/>
        </w:rPr>
        <w:t xml:space="preserve">w czasopismach </w:t>
      </w:r>
      <w:r w:rsidRPr="005C06CC">
        <w:rPr>
          <w:rFonts w:ascii="Cambria" w:eastAsia="Times New Roman" w:hAnsi="Cambria"/>
          <w:bCs/>
          <w:sz w:val="24"/>
          <w:szCs w:val="24"/>
          <w:lang w:eastAsia="pl-PL"/>
        </w:rPr>
        <w:t xml:space="preserve">naukowych, rozdziałów w </w:t>
      </w:r>
      <w:r>
        <w:rPr>
          <w:rFonts w:ascii="Cambria" w:eastAsia="Times New Roman" w:hAnsi="Cambria"/>
          <w:bCs/>
          <w:sz w:val="24"/>
          <w:szCs w:val="24"/>
          <w:lang w:eastAsia="pl-PL"/>
        </w:rPr>
        <w:t xml:space="preserve">recenzowanych </w:t>
      </w:r>
      <w:r w:rsidRPr="005C06CC">
        <w:rPr>
          <w:rFonts w:ascii="Cambria" w:eastAsia="Times New Roman" w:hAnsi="Cambria"/>
          <w:bCs/>
          <w:sz w:val="24"/>
          <w:szCs w:val="24"/>
          <w:lang w:eastAsia="pl-PL"/>
        </w:rPr>
        <w:t>monografiach</w:t>
      </w:r>
      <w:r>
        <w:rPr>
          <w:rFonts w:ascii="Cambria" w:eastAsia="Times New Roman" w:hAnsi="Cambria"/>
          <w:bCs/>
          <w:sz w:val="24"/>
          <w:szCs w:val="24"/>
          <w:lang w:eastAsia="pl-PL"/>
        </w:rPr>
        <w:t xml:space="preserve"> naukowych</w:t>
      </w:r>
      <w:r w:rsidRPr="005C06CC">
        <w:rPr>
          <w:rFonts w:ascii="Cambria" w:eastAsia="Times New Roman" w:hAnsi="Cambria"/>
          <w:bCs/>
          <w:sz w:val="24"/>
          <w:szCs w:val="24"/>
          <w:lang w:eastAsia="pl-PL"/>
        </w:rPr>
        <w:t>, tj.:</w:t>
      </w:r>
    </w:p>
    <w:p w14:paraId="797AC0F7" w14:textId="77777777" w:rsidR="00015018" w:rsidRDefault="00015018" w:rsidP="0082666B">
      <w:pPr>
        <w:spacing w:after="0" w:line="240" w:lineRule="auto"/>
        <w:jc w:val="both"/>
        <w:rPr>
          <w:rFonts w:ascii="Cambria" w:eastAsia="Times New Roman" w:hAnsi="Cambria"/>
          <w:bCs/>
          <w:sz w:val="24"/>
          <w:szCs w:val="24"/>
          <w:lang w:eastAsia="pl-PL"/>
        </w:rPr>
      </w:pPr>
    </w:p>
    <w:p w14:paraId="2B672869" w14:textId="13448B35" w:rsidR="0082666B" w:rsidRPr="00015018" w:rsidRDefault="00015018" w:rsidP="0038603B">
      <w:pPr>
        <w:pStyle w:val="Akapitzlist"/>
        <w:numPr>
          <w:ilvl w:val="0"/>
          <w:numId w:val="31"/>
        </w:numPr>
        <w:spacing w:after="120" w:line="276" w:lineRule="auto"/>
        <w:rPr>
          <w:rFonts w:ascii="Cambria" w:eastAsia="Times New Roman" w:hAnsi="Cambria"/>
          <w:sz w:val="24"/>
          <w:szCs w:val="24"/>
          <w:u w:val="single"/>
          <w:lang w:eastAsia="pl-PL"/>
        </w:rPr>
      </w:pPr>
      <w:r w:rsidRPr="00015018">
        <w:rPr>
          <w:rFonts w:ascii="Cambria" w:eastAsia="Times New Roman" w:hAnsi="Cambria"/>
          <w:sz w:val="24"/>
          <w:szCs w:val="24"/>
          <w:u w:val="single"/>
          <w:lang w:eastAsia="pl-PL"/>
        </w:rPr>
        <w:t>Artykuły w czasopismach naukowych</w:t>
      </w:r>
      <w:r>
        <w:rPr>
          <w:rFonts w:ascii="Cambria" w:eastAsia="Times New Roman" w:hAnsi="Cambria"/>
          <w:sz w:val="24"/>
          <w:szCs w:val="24"/>
          <w:u w:val="single"/>
          <w:lang w:eastAsia="pl-PL"/>
        </w:rPr>
        <w:t>:</w:t>
      </w:r>
    </w:p>
    <w:p w14:paraId="2F860D20" w14:textId="77777777" w:rsidR="0082666B" w:rsidRPr="005C06CC" w:rsidRDefault="0082666B" w:rsidP="0038603B">
      <w:pPr>
        <w:numPr>
          <w:ilvl w:val="0"/>
          <w:numId w:val="22"/>
        </w:numPr>
        <w:spacing w:after="120" w:line="276" w:lineRule="auto"/>
        <w:jc w:val="both"/>
        <w:rPr>
          <w:rFonts w:ascii="Cambria" w:eastAsia="Times New Roman" w:hAnsi="Cambria"/>
          <w:sz w:val="24"/>
          <w:szCs w:val="24"/>
          <w:lang w:eastAsia="pl-PL"/>
        </w:rPr>
      </w:pPr>
      <w:r w:rsidRPr="005C06CC">
        <w:rPr>
          <w:rFonts w:ascii="Cambria" w:hAnsi="Cambria"/>
          <w:i/>
          <w:iCs/>
          <w:sz w:val="24"/>
          <w:szCs w:val="24"/>
        </w:rPr>
        <w:t>Usługa pobrania i przechowywania komórek macierzystych a zwolnienie z VAT – glosa do wyroku Naczelnego Sądu Administracyjnego z dnia 15 marca 2018 roku, I FSK 750/16</w:t>
      </w:r>
      <w:r w:rsidRPr="005C06CC">
        <w:rPr>
          <w:rFonts w:ascii="Cambria" w:hAnsi="Cambria"/>
          <w:sz w:val="24"/>
          <w:szCs w:val="24"/>
        </w:rPr>
        <w:t>, „</w:t>
      </w:r>
      <w:r w:rsidRPr="005C06CC">
        <w:rPr>
          <w:rFonts w:ascii="Cambria" w:eastAsia="Times New Roman" w:hAnsi="Cambria"/>
          <w:sz w:val="24"/>
          <w:szCs w:val="24"/>
          <w:lang w:eastAsia="pl-PL"/>
        </w:rPr>
        <w:t>Acta Iuris Stetinensis” 2021, nr 3 (vol. 35), 137–149, DOI: 10.18276/ais.2021.35-09;</w:t>
      </w:r>
    </w:p>
    <w:p w14:paraId="384A1718" w14:textId="0D64D641" w:rsidR="00015018" w:rsidRDefault="00015018" w:rsidP="0038603B">
      <w:pPr>
        <w:numPr>
          <w:ilvl w:val="0"/>
          <w:numId w:val="22"/>
        </w:numPr>
        <w:spacing w:after="120" w:line="276" w:lineRule="auto"/>
        <w:jc w:val="both"/>
        <w:rPr>
          <w:rFonts w:ascii="Cambria" w:eastAsia="Times New Roman" w:hAnsi="Cambria"/>
          <w:sz w:val="24"/>
          <w:szCs w:val="24"/>
          <w:lang w:eastAsia="pl-PL"/>
        </w:rPr>
      </w:pPr>
      <w:r w:rsidRPr="005C06CC">
        <w:rPr>
          <w:rFonts w:ascii="Cambria" w:eastAsia="Times New Roman" w:hAnsi="Cambria"/>
          <w:i/>
          <w:sz w:val="24"/>
          <w:szCs w:val="24"/>
          <w:lang w:eastAsia="pl-PL"/>
        </w:rPr>
        <w:t>Zmiany w ustawodawstwie z zakresu prawa medycznego – wybrana problematyka</w:t>
      </w:r>
      <w:r w:rsidRPr="005C06CC">
        <w:rPr>
          <w:rFonts w:ascii="Cambria" w:eastAsia="Times New Roman" w:hAnsi="Cambria"/>
          <w:sz w:val="24"/>
          <w:szCs w:val="24"/>
          <w:lang w:eastAsia="pl-PL"/>
        </w:rPr>
        <w:t>, „Prawnik. Czasopismo Okręgowej Izby Radców Prawnych w Lublinie” 2012, nr 2/27, s. 32 – 41.</w:t>
      </w:r>
    </w:p>
    <w:p w14:paraId="707C299E" w14:textId="6CB2AD2A" w:rsidR="00015018" w:rsidRPr="00015018" w:rsidRDefault="00015018" w:rsidP="0038603B">
      <w:pPr>
        <w:pStyle w:val="Akapitzlist"/>
        <w:numPr>
          <w:ilvl w:val="0"/>
          <w:numId w:val="31"/>
        </w:numPr>
        <w:spacing w:after="120" w:line="276" w:lineRule="auto"/>
        <w:jc w:val="both"/>
        <w:rPr>
          <w:rFonts w:ascii="Cambria" w:eastAsia="Times New Roman" w:hAnsi="Cambria"/>
          <w:iCs/>
          <w:sz w:val="24"/>
          <w:szCs w:val="24"/>
          <w:lang w:eastAsia="pl-PL"/>
        </w:rPr>
      </w:pPr>
      <w:r w:rsidRPr="00015018">
        <w:rPr>
          <w:rFonts w:ascii="Cambria" w:eastAsia="Times New Roman" w:hAnsi="Cambria"/>
          <w:iCs/>
          <w:sz w:val="24"/>
          <w:szCs w:val="24"/>
          <w:u w:val="single"/>
          <w:lang w:eastAsia="pl-PL"/>
        </w:rPr>
        <w:lastRenderedPageBreak/>
        <w:t>Rozdziały w recenzowanych monografiach naukowych</w:t>
      </w:r>
      <w:r>
        <w:rPr>
          <w:rFonts w:ascii="Cambria" w:eastAsia="Times New Roman" w:hAnsi="Cambria"/>
          <w:iCs/>
          <w:sz w:val="24"/>
          <w:szCs w:val="24"/>
          <w:lang w:eastAsia="pl-PL"/>
        </w:rPr>
        <w:t>:</w:t>
      </w:r>
    </w:p>
    <w:p w14:paraId="44B25B51" w14:textId="77777777" w:rsidR="0082666B" w:rsidRPr="005C06CC" w:rsidRDefault="0082666B" w:rsidP="0038603B">
      <w:pPr>
        <w:numPr>
          <w:ilvl w:val="0"/>
          <w:numId w:val="22"/>
        </w:numPr>
        <w:spacing w:after="120" w:line="276" w:lineRule="auto"/>
        <w:jc w:val="both"/>
        <w:rPr>
          <w:rFonts w:ascii="Cambria" w:eastAsia="Times New Roman" w:hAnsi="Cambria"/>
          <w:sz w:val="24"/>
          <w:szCs w:val="24"/>
          <w:lang w:eastAsia="pl-PL"/>
        </w:rPr>
      </w:pPr>
      <w:r w:rsidRPr="005C06CC">
        <w:rPr>
          <w:rFonts w:ascii="Cambria" w:eastAsia="Times New Roman" w:hAnsi="Cambria"/>
          <w:i/>
          <w:iCs/>
          <w:sz w:val="24"/>
          <w:szCs w:val="24"/>
          <w:lang w:val="en-GB" w:eastAsia="pl-PL"/>
        </w:rPr>
        <w:t>Individual Health Therapy and VAT Exemption. Gloss to the Judgement of the Supreme Administrative Court of 6 December 2017, I FSK 308/16, I FSK 308/16, LEX No. 2428591</w:t>
      </w:r>
      <w:r w:rsidRPr="005C06CC">
        <w:rPr>
          <w:rFonts w:ascii="Cambria" w:eastAsia="Times New Roman" w:hAnsi="Cambria"/>
          <w:sz w:val="24"/>
          <w:szCs w:val="24"/>
          <w:lang w:val="en-GB" w:eastAsia="pl-PL"/>
        </w:rPr>
        <w:t xml:space="preserve">, [w:] </w:t>
      </w:r>
      <w:r w:rsidRPr="005C06CC">
        <w:rPr>
          <w:rFonts w:ascii="Cambria" w:eastAsia="Times New Roman" w:hAnsi="Cambria"/>
          <w:i/>
          <w:iCs/>
          <w:sz w:val="24"/>
          <w:szCs w:val="24"/>
          <w:lang w:val="en-GB" w:eastAsia="pl-PL"/>
        </w:rPr>
        <w:t xml:space="preserve">Współczesne nauki farmaceutyczne. </w:t>
      </w:r>
      <w:r w:rsidRPr="005C06CC">
        <w:rPr>
          <w:rFonts w:ascii="Cambria" w:eastAsia="Times New Roman" w:hAnsi="Cambria"/>
          <w:i/>
          <w:iCs/>
          <w:sz w:val="24"/>
          <w:szCs w:val="24"/>
          <w:lang w:eastAsia="pl-PL"/>
        </w:rPr>
        <w:t>Postępy, wyzwania, perspektywy</w:t>
      </w:r>
      <w:r w:rsidRPr="005C06CC">
        <w:rPr>
          <w:rFonts w:ascii="Cambria" w:eastAsia="Times New Roman" w:hAnsi="Cambria"/>
          <w:sz w:val="24"/>
          <w:szCs w:val="24"/>
          <w:lang w:eastAsia="pl-PL"/>
        </w:rPr>
        <w:t xml:space="preserve">, red. M. Naumowicz, M. Kusaczuk, Łódź – Kielce 2021, </w:t>
      </w:r>
      <w:r w:rsidRPr="00807BB9">
        <w:rPr>
          <w:rFonts w:ascii="Cambria" w:eastAsia="Times New Roman" w:hAnsi="Cambria"/>
          <w:sz w:val="24"/>
          <w:szCs w:val="24"/>
          <w:lang w:eastAsia="pl-PL"/>
        </w:rPr>
        <w:t>ArchaeGraph</w:t>
      </w:r>
      <w:r>
        <w:rPr>
          <w:rFonts w:ascii="Cambria" w:eastAsia="Times New Roman" w:hAnsi="Cambria"/>
          <w:sz w:val="24"/>
          <w:szCs w:val="24"/>
          <w:lang w:eastAsia="pl-PL"/>
        </w:rPr>
        <w:t xml:space="preserve">, </w:t>
      </w:r>
      <w:r w:rsidRPr="005C06CC">
        <w:rPr>
          <w:rFonts w:ascii="Cambria" w:eastAsia="Times New Roman" w:hAnsi="Cambria"/>
          <w:sz w:val="24"/>
          <w:szCs w:val="24"/>
          <w:lang w:eastAsia="pl-PL"/>
        </w:rPr>
        <w:t>ISBN: 978-83-67074-28-5, s. 125-140;</w:t>
      </w:r>
    </w:p>
    <w:p w14:paraId="09661256" w14:textId="77777777" w:rsidR="0082666B" w:rsidRPr="005C06CC" w:rsidRDefault="0082666B" w:rsidP="0038603B">
      <w:pPr>
        <w:numPr>
          <w:ilvl w:val="0"/>
          <w:numId w:val="22"/>
        </w:numPr>
        <w:spacing w:after="120" w:line="276" w:lineRule="auto"/>
        <w:jc w:val="both"/>
        <w:rPr>
          <w:rFonts w:ascii="Cambria" w:eastAsia="Times New Roman" w:hAnsi="Cambria"/>
          <w:sz w:val="24"/>
          <w:szCs w:val="24"/>
          <w:lang w:eastAsia="pl-PL"/>
        </w:rPr>
      </w:pPr>
      <w:r w:rsidRPr="005C06CC">
        <w:rPr>
          <w:rFonts w:ascii="Cambria" w:eastAsia="Times New Roman" w:hAnsi="Cambria"/>
          <w:i/>
          <w:iCs/>
          <w:sz w:val="24"/>
          <w:szCs w:val="24"/>
          <w:lang w:eastAsia="pl-PL"/>
        </w:rPr>
        <w:t>Usługa sekwencjonowania genomu ludzkiego przez podmiot leczniczy wraz z analizą danych a zwolnienie z VAT. Glosa częściowo krytyczna do wyroku WSA w Białymstoku z dnia 28 października 2020 r., I SA/Bk 667/20, LEX nr 3088192</w:t>
      </w:r>
      <w:r w:rsidRPr="005C06CC">
        <w:rPr>
          <w:rFonts w:ascii="Cambria" w:eastAsia="Times New Roman" w:hAnsi="Cambria"/>
          <w:sz w:val="24"/>
          <w:szCs w:val="24"/>
          <w:lang w:eastAsia="pl-PL"/>
        </w:rPr>
        <w:t xml:space="preserve">, [w:] </w:t>
      </w:r>
      <w:r w:rsidRPr="005C06CC">
        <w:rPr>
          <w:rFonts w:ascii="Cambria" w:eastAsia="Times New Roman" w:hAnsi="Cambria"/>
          <w:i/>
          <w:iCs/>
          <w:sz w:val="24"/>
          <w:szCs w:val="24"/>
          <w:lang w:eastAsia="pl-PL"/>
        </w:rPr>
        <w:t>Rozwój człowieka we współczesnym świecie</w:t>
      </w:r>
      <w:r w:rsidRPr="005C06CC">
        <w:rPr>
          <w:rFonts w:ascii="Cambria" w:eastAsia="Times New Roman" w:hAnsi="Cambria"/>
          <w:sz w:val="24"/>
          <w:szCs w:val="24"/>
          <w:lang w:eastAsia="pl-PL"/>
        </w:rPr>
        <w:t xml:space="preserve">, red. J. Kata, K. Lisowska, Łódź – Kielce 2021, </w:t>
      </w:r>
      <w:r w:rsidRPr="00604E0C">
        <w:rPr>
          <w:rFonts w:ascii="Cambria" w:eastAsia="Times New Roman" w:hAnsi="Cambria"/>
          <w:sz w:val="24"/>
          <w:szCs w:val="24"/>
          <w:lang w:eastAsia="pl-PL"/>
        </w:rPr>
        <w:t>ArchaeGraph</w:t>
      </w:r>
      <w:r>
        <w:rPr>
          <w:rFonts w:ascii="Cambria" w:eastAsia="Times New Roman" w:hAnsi="Cambria"/>
          <w:sz w:val="24"/>
          <w:szCs w:val="24"/>
          <w:lang w:eastAsia="pl-PL"/>
        </w:rPr>
        <w:t xml:space="preserve">, </w:t>
      </w:r>
      <w:r w:rsidRPr="005C06CC">
        <w:rPr>
          <w:rFonts w:ascii="Cambria" w:eastAsia="Times New Roman" w:hAnsi="Cambria"/>
          <w:sz w:val="24"/>
          <w:szCs w:val="24"/>
          <w:lang w:eastAsia="pl-PL"/>
        </w:rPr>
        <w:t>ISBN: : 978-83-66709-76-0, s. 155-168;</w:t>
      </w:r>
    </w:p>
    <w:p w14:paraId="2BDA33E7" w14:textId="77777777" w:rsidR="0082666B" w:rsidRPr="005C06CC" w:rsidRDefault="0082666B" w:rsidP="0038603B">
      <w:pPr>
        <w:numPr>
          <w:ilvl w:val="0"/>
          <w:numId w:val="22"/>
        </w:numPr>
        <w:spacing w:after="120" w:line="276" w:lineRule="auto"/>
        <w:jc w:val="both"/>
        <w:rPr>
          <w:rFonts w:ascii="Cambria" w:eastAsia="Times New Roman" w:hAnsi="Cambria"/>
          <w:sz w:val="24"/>
          <w:szCs w:val="24"/>
          <w:lang w:eastAsia="pl-PL"/>
        </w:rPr>
      </w:pPr>
      <w:r w:rsidRPr="005C06CC">
        <w:rPr>
          <w:rFonts w:ascii="Cambria" w:eastAsia="Times New Roman" w:hAnsi="Cambria"/>
          <w:i/>
          <w:iCs/>
          <w:sz w:val="24"/>
          <w:szCs w:val="24"/>
          <w:lang w:eastAsia="pl-PL"/>
        </w:rPr>
        <w:t>Bezpieczeństwo systemu ochrony zdrowia w czasie pandemii SARS-CoV-2 a rozwój eksperymentów leczniczych. Wybrane zagadnienia podatkowoprawne</w:t>
      </w:r>
      <w:r w:rsidRPr="005C06CC">
        <w:rPr>
          <w:rFonts w:ascii="Cambria" w:eastAsia="Times New Roman" w:hAnsi="Cambria"/>
          <w:sz w:val="24"/>
          <w:szCs w:val="24"/>
          <w:lang w:eastAsia="pl-PL"/>
        </w:rPr>
        <w:t>, [w:] Aktualne zagrożenia i wyzwania w obszarze bezpieczeństwa społecznego i gospodarczego, red. M. Pomykała, I. Oleksiewicz, Rzeszów 2022, Oficyna Wydawnicza Politechniki Rzeszowskiej, ISBN 978-83-7934-566-3, s. 133-144.</w:t>
      </w:r>
    </w:p>
    <w:p w14:paraId="15F1F95B" w14:textId="77777777" w:rsidR="0082666B" w:rsidRPr="005C06CC" w:rsidRDefault="0082666B" w:rsidP="0082666B">
      <w:pPr>
        <w:spacing w:after="120" w:line="276" w:lineRule="auto"/>
        <w:jc w:val="both"/>
        <w:rPr>
          <w:rFonts w:ascii="Cambria" w:eastAsia="Times New Roman" w:hAnsi="Cambria"/>
          <w:color w:val="ED7D31"/>
          <w:sz w:val="24"/>
          <w:szCs w:val="24"/>
          <w:lang w:eastAsia="pl-PL"/>
        </w:rPr>
      </w:pPr>
    </w:p>
    <w:p w14:paraId="7EF7D32C" w14:textId="77777777" w:rsidR="0082666B" w:rsidRPr="005C06CC" w:rsidRDefault="0082666B" w:rsidP="0082666B">
      <w:pPr>
        <w:spacing w:after="120" w:line="276" w:lineRule="auto"/>
        <w:ind w:firstLine="502"/>
        <w:jc w:val="both"/>
        <w:rPr>
          <w:rFonts w:ascii="Cambria" w:eastAsia="Times New Roman" w:hAnsi="Cambria"/>
          <w:sz w:val="24"/>
          <w:szCs w:val="24"/>
          <w:lang w:eastAsia="pl-PL"/>
        </w:rPr>
      </w:pPr>
      <w:r w:rsidRPr="005C06CC">
        <w:rPr>
          <w:rFonts w:ascii="Cambria" w:eastAsia="Times New Roman" w:hAnsi="Cambria"/>
          <w:sz w:val="24"/>
          <w:szCs w:val="24"/>
          <w:lang w:eastAsia="pl-PL"/>
        </w:rPr>
        <w:t xml:space="preserve">Zdrowie obywateli UE niewątpliwie należy do grupy priorytetów polityczno-społecznych (szczególnie w kontekście aktualnych zagrożeń pandemicznych). Kluczowe znaczenie ma także rozwój profilaktyki. Z punktu widzenia jej innowacyjności i wpływu, niezbędne jest stworzenie preferencyjnych ram prawno-organizacyjnych (w tym również ustalenie pożądanego kształtu preferencji podatkowych, które wzmocnią poziom oddziaływania regulacji materialnoprawnych z zakresu prawa medycznego). W obszarze zainteresowań badawczych rozwinięto problematykę rzadko podejmowaną w prawniczej literaturze przedmiotu (szczególnie </w:t>
      </w:r>
      <w:r>
        <w:rPr>
          <w:rFonts w:ascii="Cambria" w:eastAsia="Times New Roman" w:hAnsi="Cambria"/>
          <w:sz w:val="24"/>
          <w:szCs w:val="24"/>
          <w:lang w:eastAsia="pl-PL"/>
        </w:rPr>
        <w:t>jeśli chodzi o</w:t>
      </w:r>
      <w:r w:rsidRPr="005C06CC">
        <w:rPr>
          <w:rFonts w:ascii="Cambria" w:eastAsia="Times New Roman" w:hAnsi="Cambria"/>
          <w:sz w:val="24"/>
          <w:szCs w:val="24"/>
          <w:lang w:eastAsia="pl-PL"/>
        </w:rPr>
        <w:t xml:space="preserve"> uwzględnienie</w:t>
      </w:r>
      <w:r>
        <w:rPr>
          <w:rFonts w:ascii="Cambria" w:eastAsia="Times New Roman" w:hAnsi="Cambria"/>
          <w:sz w:val="24"/>
          <w:szCs w:val="24"/>
          <w:lang w:eastAsia="pl-PL"/>
        </w:rPr>
        <w:t xml:space="preserve"> zachodzących</w:t>
      </w:r>
      <w:r w:rsidRPr="005C06CC">
        <w:rPr>
          <w:rFonts w:ascii="Cambria" w:eastAsia="Times New Roman" w:hAnsi="Cambria"/>
          <w:sz w:val="24"/>
          <w:szCs w:val="24"/>
          <w:lang w:eastAsia="pl-PL"/>
        </w:rPr>
        <w:t xml:space="preserve"> związków pomiędzy przepisami prawa medycznego i podatkowego – zob. art. 43 ust. 1 pkt 8) ustawy z dnia 11 marca 2004 r. o podatku od towarów i usług (tekst jedn. Dz.U. z 2021 r., poz. 685 ze zm., dalej cyt. jako </w:t>
      </w:r>
      <w:r w:rsidRPr="00BA2D1D">
        <w:rPr>
          <w:rFonts w:ascii="Cambria" w:eastAsia="Times New Roman" w:hAnsi="Cambria"/>
          <w:sz w:val="24"/>
          <w:szCs w:val="24"/>
          <w:lang w:eastAsia="pl-PL"/>
        </w:rPr>
        <w:t>„ustawa o VAT”).</w:t>
      </w:r>
      <w:r w:rsidRPr="005C06CC">
        <w:rPr>
          <w:rFonts w:ascii="Cambria" w:eastAsia="Times New Roman" w:hAnsi="Cambria"/>
          <w:sz w:val="24"/>
          <w:szCs w:val="24"/>
          <w:lang w:eastAsia="pl-PL"/>
        </w:rPr>
        <w:t xml:space="preserve"> </w:t>
      </w:r>
    </w:p>
    <w:p w14:paraId="046D4B41" w14:textId="77777777" w:rsidR="0082666B" w:rsidRPr="005C06CC" w:rsidRDefault="0082666B" w:rsidP="0082666B">
      <w:pPr>
        <w:spacing w:after="120" w:line="276" w:lineRule="auto"/>
        <w:ind w:firstLine="502"/>
        <w:jc w:val="both"/>
        <w:rPr>
          <w:rFonts w:ascii="Cambria" w:eastAsia="Times New Roman" w:hAnsi="Cambria"/>
          <w:sz w:val="24"/>
          <w:szCs w:val="24"/>
          <w:lang w:eastAsia="pl-PL"/>
        </w:rPr>
      </w:pPr>
      <w:r w:rsidRPr="005C06CC">
        <w:rPr>
          <w:rFonts w:ascii="Cambria" w:eastAsia="Times New Roman" w:hAnsi="Cambria"/>
          <w:sz w:val="24"/>
          <w:szCs w:val="24"/>
          <w:lang w:eastAsia="pl-PL"/>
        </w:rPr>
        <w:t>Zasadniczo w polskim porządku prawnym obowiązuje zwolnienie z opodatkowania podatkiem od towarów i usług (VAT) usług w zakresie opieki medycznej, służących profilaktyce, zachowaniu, ratowaniu, przywracaniu i poprawie zdrowia, oraz dostawy towarów i świadczenia usług ściśle z tymi usługami związanych, wykonywanych w ramach działalności leczniczej przez podmioty lecznicze. Wskazana regulacja prowokuje jednak liczne wątpliwości interpretacyjne, które mogą stać się realną blokadą w rozwoju nowoczesnej profilaktyki zdrowotnej w Polsce. Źródłem dylematów jest nie tylko warstwa legislacyjna (sposób redakcji przepisu, w tym brak definicji legalnej używanych pojęć w ustawie podatkowej), ale również treść normatywna, która nie zapewnia możliwości precyzyjnego odkodowania zakresu pojęciowego z obowiązujących przepisów (z uwzględnieniem ich wzajemnych relacji zewnątrzsystemowych).</w:t>
      </w:r>
      <w:r>
        <w:rPr>
          <w:rFonts w:ascii="Cambria" w:eastAsia="Times New Roman" w:hAnsi="Cambria"/>
          <w:sz w:val="24"/>
          <w:szCs w:val="24"/>
          <w:lang w:eastAsia="pl-PL"/>
        </w:rPr>
        <w:t xml:space="preserve"> </w:t>
      </w:r>
      <w:r w:rsidRPr="005C06CC">
        <w:rPr>
          <w:rFonts w:ascii="Cambria" w:eastAsia="Times New Roman" w:hAnsi="Cambria"/>
          <w:sz w:val="24"/>
          <w:szCs w:val="24"/>
          <w:lang w:eastAsia="pl-PL"/>
        </w:rPr>
        <w:t xml:space="preserve">W tym kontekście niezbędne więc okazało się podjęcie próby pogłębionej analizy i oceny przepisów podatkowych w szerszym kontekście, w szczególności z uwzględnieniem </w:t>
      </w:r>
      <w:r w:rsidRPr="005C06CC">
        <w:rPr>
          <w:rFonts w:ascii="Cambria" w:eastAsia="Times New Roman" w:hAnsi="Cambria"/>
          <w:sz w:val="24"/>
          <w:szCs w:val="24"/>
          <w:lang w:eastAsia="pl-PL"/>
        </w:rPr>
        <w:lastRenderedPageBreak/>
        <w:t>zachodzących powiązań zewnątrzsystemowych. Oprócz analizy semantycznej poszczególnych pojęć, i nawiązania do orzecznictwa TSUE, niezbędne jest przyjęcie szerszej perspektywy normatywnej. Zbyt wąska, a zarazem powierzchowna wykładnia, prowadzi de facto do wypaczenia ratio preferencyjnego charakteru regulacji podatkowej (nawet uwzględniając zasadę ścisłej interpretacji zwolnień podatkowych), wybiórczego (a zatem zniekształconego) podejścia do profilaktyki zdrowotnej, zablokowania procesu rozwoju innowacyjnych metod leczenia.</w:t>
      </w:r>
      <w:r>
        <w:rPr>
          <w:rFonts w:ascii="Cambria" w:eastAsia="Times New Roman" w:hAnsi="Cambria"/>
          <w:sz w:val="24"/>
          <w:szCs w:val="24"/>
          <w:lang w:eastAsia="pl-PL"/>
        </w:rPr>
        <w:t xml:space="preserve"> </w:t>
      </w:r>
      <w:r w:rsidRPr="005C06CC">
        <w:rPr>
          <w:rFonts w:ascii="Cambria" w:eastAsia="Times New Roman" w:hAnsi="Cambria"/>
          <w:sz w:val="24"/>
          <w:szCs w:val="24"/>
          <w:lang w:eastAsia="pl-PL"/>
        </w:rPr>
        <w:t>Dotyczy to m. in. zagadnienia magazynowania (bankowania) komórek macierzystych (</w:t>
      </w:r>
      <w:r w:rsidRPr="005C06CC">
        <w:rPr>
          <w:rFonts w:ascii="Cambria" w:hAnsi="Cambria"/>
          <w:i/>
          <w:iCs/>
          <w:sz w:val="24"/>
          <w:szCs w:val="24"/>
        </w:rPr>
        <w:t>Usługa pobrania i przechowywania komórek macierzystych a zwolnienie z VAT – glosa do wyroku Naczelnego Sądu Administracyjnego z dnia 15 marca 2018 roku, I FSK 750/16</w:t>
      </w:r>
      <w:r w:rsidRPr="005C06CC">
        <w:rPr>
          <w:rFonts w:ascii="Cambria" w:hAnsi="Cambria"/>
          <w:sz w:val="24"/>
          <w:szCs w:val="24"/>
        </w:rPr>
        <w:t xml:space="preserve">, </w:t>
      </w:r>
      <w:r w:rsidRPr="005C06CC">
        <w:rPr>
          <w:rFonts w:ascii="Cambria" w:eastAsia="Times New Roman" w:hAnsi="Cambria"/>
          <w:sz w:val="24"/>
          <w:szCs w:val="24"/>
          <w:lang w:eastAsia="pl-PL"/>
        </w:rPr>
        <w:t xml:space="preserve">„Acta Iuris Stetinensis” 2021, nr 3 (vol. 35), 137–149, DOI: 10.18276/ais.2021.35-09). W tym przypadku celem badawczym było przeprowadzenie oceny przyjętych rozwiązań z punktu widzenia ich oddziaływania prawnopodatkowego (zwłaszcza w kontekście zwolnienia z opodatkowania podatkiem od towarów i usług). Przeprowadzona analiza ujawniła liczne niejasności, a w konsekwencji rozbieżności, które w rzeczywistości stanowią realną barierę w progresie dla innowacyjnych metod profilaktycznych. Podobnie w przypadku indywidualnych terapii zdrowotnych (np. usług sekwencjonowania genomu ludzkiego) i kwalifikacji tego rodzaju działań jako znajdujących się w obrębie preferencji podatkowych  (zob. </w:t>
      </w:r>
      <w:r w:rsidRPr="005C06CC">
        <w:rPr>
          <w:rFonts w:ascii="Cambria" w:eastAsia="Times New Roman" w:hAnsi="Cambria"/>
          <w:i/>
          <w:iCs/>
          <w:sz w:val="24"/>
          <w:szCs w:val="24"/>
          <w:lang w:val="en-GB" w:eastAsia="pl-PL"/>
        </w:rPr>
        <w:t>Individual Health Therapy and VAT Exemption. Gloss to the Judgement of the Supreme Administrative Court of 6 December 2017, I FSK 308/16, I FSK 308/16, LEX No. 2428591</w:t>
      </w:r>
      <w:r w:rsidRPr="005C06CC">
        <w:rPr>
          <w:rFonts w:ascii="Cambria" w:eastAsia="Times New Roman" w:hAnsi="Cambria"/>
          <w:sz w:val="24"/>
          <w:szCs w:val="24"/>
          <w:lang w:val="en-GB" w:eastAsia="pl-PL"/>
        </w:rPr>
        <w:t xml:space="preserve">, [w:] </w:t>
      </w:r>
      <w:r w:rsidRPr="005C06CC">
        <w:rPr>
          <w:rFonts w:ascii="Cambria" w:eastAsia="Times New Roman" w:hAnsi="Cambria"/>
          <w:i/>
          <w:iCs/>
          <w:sz w:val="24"/>
          <w:szCs w:val="24"/>
          <w:lang w:val="en-GB" w:eastAsia="pl-PL"/>
        </w:rPr>
        <w:t xml:space="preserve">Współczesne nauki farmaceutyczne. </w:t>
      </w:r>
      <w:r w:rsidRPr="005C06CC">
        <w:rPr>
          <w:rFonts w:ascii="Cambria" w:eastAsia="Times New Roman" w:hAnsi="Cambria"/>
          <w:i/>
          <w:iCs/>
          <w:sz w:val="24"/>
          <w:szCs w:val="24"/>
          <w:lang w:eastAsia="pl-PL"/>
        </w:rPr>
        <w:t>Postępy, wyzwania, perspektywy</w:t>
      </w:r>
      <w:r w:rsidRPr="005C06CC">
        <w:rPr>
          <w:rFonts w:ascii="Cambria" w:eastAsia="Times New Roman" w:hAnsi="Cambria"/>
          <w:sz w:val="24"/>
          <w:szCs w:val="24"/>
          <w:lang w:eastAsia="pl-PL"/>
        </w:rPr>
        <w:t xml:space="preserve">, red. M. Naumowicz, M. Kusaczuk, Łódź – Kielce 2021, </w:t>
      </w:r>
      <w:r w:rsidRPr="00807BB9">
        <w:rPr>
          <w:rFonts w:ascii="Cambria" w:eastAsia="Times New Roman" w:hAnsi="Cambria"/>
          <w:sz w:val="24"/>
          <w:szCs w:val="24"/>
          <w:lang w:eastAsia="pl-PL"/>
        </w:rPr>
        <w:t>ArchaeGraph</w:t>
      </w:r>
      <w:r>
        <w:rPr>
          <w:rFonts w:ascii="Cambria" w:eastAsia="Times New Roman" w:hAnsi="Cambria"/>
          <w:sz w:val="24"/>
          <w:szCs w:val="24"/>
          <w:lang w:eastAsia="pl-PL"/>
        </w:rPr>
        <w:t xml:space="preserve">, </w:t>
      </w:r>
      <w:r w:rsidRPr="005C06CC">
        <w:rPr>
          <w:rFonts w:ascii="Cambria" w:eastAsia="Times New Roman" w:hAnsi="Cambria"/>
          <w:sz w:val="24"/>
          <w:szCs w:val="24"/>
          <w:lang w:eastAsia="pl-PL"/>
        </w:rPr>
        <w:t xml:space="preserve">ISBN: 978-83-67074-28-5, s. 125-140, lub </w:t>
      </w:r>
      <w:r w:rsidRPr="005C06CC">
        <w:rPr>
          <w:rFonts w:ascii="Cambria" w:eastAsia="Times New Roman" w:hAnsi="Cambria"/>
          <w:i/>
          <w:iCs/>
          <w:sz w:val="24"/>
          <w:szCs w:val="24"/>
          <w:lang w:eastAsia="pl-PL"/>
        </w:rPr>
        <w:t>Usługa sekwencjonowania genomu ludzkiego przez podmiot leczniczy wraz z analizą danych a zwolnienie z VAT. Glosa częściowo krytyczna do wyroku WSA w Białymstoku z dnia 28 października 2020 r., I SA/Bk 667/20, LEX nr 3088192</w:t>
      </w:r>
      <w:r w:rsidRPr="005C06CC">
        <w:rPr>
          <w:rFonts w:ascii="Cambria" w:eastAsia="Times New Roman" w:hAnsi="Cambria"/>
          <w:sz w:val="24"/>
          <w:szCs w:val="24"/>
          <w:lang w:eastAsia="pl-PL"/>
        </w:rPr>
        <w:t xml:space="preserve">, [w:] </w:t>
      </w:r>
      <w:r w:rsidRPr="005C06CC">
        <w:rPr>
          <w:rFonts w:ascii="Cambria" w:eastAsia="Times New Roman" w:hAnsi="Cambria"/>
          <w:i/>
          <w:iCs/>
          <w:sz w:val="24"/>
          <w:szCs w:val="24"/>
          <w:lang w:eastAsia="pl-PL"/>
        </w:rPr>
        <w:t>Rozwój człowieka we współczesnym świecie</w:t>
      </w:r>
      <w:r w:rsidRPr="005C06CC">
        <w:rPr>
          <w:rFonts w:ascii="Cambria" w:eastAsia="Times New Roman" w:hAnsi="Cambria"/>
          <w:sz w:val="24"/>
          <w:szCs w:val="24"/>
          <w:lang w:eastAsia="pl-PL"/>
        </w:rPr>
        <w:t xml:space="preserve">, red. J. Kata, K. Lisowska, Łódź – Kielce 2021, </w:t>
      </w:r>
      <w:r w:rsidRPr="00604E0C">
        <w:rPr>
          <w:rFonts w:ascii="Cambria" w:eastAsia="Times New Roman" w:hAnsi="Cambria"/>
          <w:sz w:val="24"/>
          <w:szCs w:val="24"/>
          <w:lang w:eastAsia="pl-PL"/>
        </w:rPr>
        <w:t>ArchaeGraph</w:t>
      </w:r>
      <w:r>
        <w:rPr>
          <w:rFonts w:ascii="Cambria" w:eastAsia="Times New Roman" w:hAnsi="Cambria"/>
          <w:sz w:val="24"/>
          <w:szCs w:val="24"/>
          <w:lang w:eastAsia="pl-PL"/>
        </w:rPr>
        <w:t xml:space="preserve">, </w:t>
      </w:r>
      <w:r w:rsidRPr="005C06CC">
        <w:rPr>
          <w:rFonts w:ascii="Cambria" w:eastAsia="Times New Roman" w:hAnsi="Cambria"/>
          <w:sz w:val="24"/>
          <w:szCs w:val="24"/>
          <w:lang w:eastAsia="pl-PL"/>
        </w:rPr>
        <w:t>ISBN: 978-83-66709-76-0, s. 155-168.</w:t>
      </w:r>
    </w:p>
    <w:p w14:paraId="6FECB149" w14:textId="77777777" w:rsidR="0082666B" w:rsidRPr="005C06CC" w:rsidRDefault="0082666B" w:rsidP="0082666B">
      <w:pPr>
        <w:spacing w:after="120" w:line="276" w:lineRule="auto"/>
        <w:ind w:firstLine="502"/>
        <w:jc w:val="both"/>
        <w:rPr>
          <w:rFonts w:ascii="Cambria" w:eastAsia="Times New Roman" w:hAnsi="Cambria"/>
          <w:sz w:val="24"/>
          <w:szCs w:val="24"/>
          <w:lang w:eastAsia="pl-PL"/>
        </w:rPr>
      </w:pPr>
      <w:r w:rsidRPr="005C06CC">
        <w:rPr>
          <w:rFonts w:ascii="Cambria" w:eastAsia="Times New Roman" w:hAnsi="Cambria"/>
          <w:sz w:val="24"/>
          <w:szCs w:val="24"/>
          <w:lang w:eastAsia="pl-PL"/>
        </w:rPr>
        <w:t>Dostrzeżono również wpływ zmieniającej się mapy zagrożeń zdrowotnych na rozwój sfery badań klinicznych i innych eksperymentów medycznych, a w konsekwencji również na kształt regulacji prawnych (</w:t>
      </w:r>
      <w:r w:rsidRPr="005C06CC">
        <w:rPr>
          <w:rFonts w:ascii="Cambria" w:eastAsia="Times New Roman" w:hAnsi="Cambria"/>
          <w:i/>
          <w:iCs/>
          <w:sz w:val="24"/>
          <w:szCs w:val="24"/>
          <w:lang w:eastAsia="pl-PL"/>
        </w:rPr>
        <w:t>Bezpieczeństwo systemu ochrony zdrowia w czasie pandemii SARS-CoV-2 a rozwój eksperymentów leczniczych. Wybrane zagadnienia podatkowoprawne</w:t>
      </w:r>
      <w:r w:rsidRPr="005C06CC">
        <w:rPr>
          <w:rFonts w:ascii="Cambria" w:eastAsia="Times New Roman" w:hAnsi="Cambria"/>
          <w:sz w:val="24"/>
          <w:szCs w:val="24"/>
          <w:lang w:eastAsia="pl-PL"/>
        </w:rPr>
        <w:t xml:space="preserve">, [w:] </w:t>
      </w:r>
      <w:r w:rsidRPr="005C06CC">
        <w:rPr>
          <w:rFonts w:ascii="Cambria" w:eastAsia="Times New Roman" w:hAnsi="Cambria"/>
          <w:i/>
          <w:iCs/>
          <w:sz w:val="24"/>
          <w:szCs w:val="24"/>
          <w:lang w:eastAsia="pl-PL"/>
        </w:rPr>
        <w:t>Aktualne zagrożenia i wyzwania w obszarze bezpieczeństwa społecznego i gospodarczego</w:t>
      </w:r>
      <w:r w:rsidRPr="005C06CC">
        <w:rPr>
          <w:rFonts w:ascii="Cambria" w:eastAsia="Times New Roman" w:hAnsi="Cambria"/>
          <w:sz w:val="24"/>
          <w:szCs w:val="24"/>
          <w:lang w:eastAsia="pl-PL"/>
        </w:rPr>
        <w:t xml:space="preserve">, red. M. Pomykała, I. Oleksiewicz, Rzeszów 2022, Oficyna Wydawnicza Politechniki Rzeszowskiej, ISBN 978-83-7934-566-3, s. 133-144; </w:t>
      </w:r>
      <w:r w:rsidRPr="005C06CC">
        <w:rPr>
          <w:rFonts w:ascii="Cambria" w:eastAsia="Times New Roman" w:hAnsi="Cambria"/>
          <w:i/>
          <w:sz w:val="24"/>
          <w:szCs w:val="24"/>
          <w:lang w:eastAsia="pl-PL"/>
        </w:rPr>
        <w:t>Zmiany w ustawodawstwie z zakresu prawa medycznego – wybrana problematyka</w:t>
      </w:r>
      <w:r w:rsidRPr="005C06CC">
        <w:rPr>
          <w:rFonts w:ascii="Cambria" w:eastAsia="Times New Roman" w:hAnsi="Cambria"/>
          <w:sz w:val="24"/>
          <w:szCs w:val="24"/>
          <w:lang w:eastAsia="pl-PL"/>
        </w:rPr>
        <w:t xml:space="preserve">, „Prawnik. Czasopismo Okręgowej Izby Radców Prawnych w Lublinie” 2012, nr 2/27, s. 32 – 41). Zagadnienie prowadzenia badań klinicznych budzi liczne wątpliwości od dłuższego czasu. Wciąż jednak brak stosowych (kompleksowych) regulacji na poziomie ustawowym. Aktualnie organy podatkowe i sądy administracyjne prezentują niekorzystną dla podatników linię argumentacji, generalnie wykluczając możliwość zastosowania zwolnienia w podatku dochodowym od towarów i usług dla działalności polegającej prowadzeniu komercyjnych badań klinicznych. Wydaje się jednak, że w najnowszych orzeczeniach stale powtarza się jednie powierzchowną narrację, nie różnicując podejścia </w:t>
      </w:r>
      <w:r w:rsidRPr="005C06CC">
        <w:rPr>
          <w:rFonts w:ascii="Cambria" w:eastAsia="Times New Roman" w:hAnsi="Cambria"/>
          <w:sz w:val="24"/>
          <w:szCs w:val="24"/>
          <w:lang w:eastAsia="pl-PL"/>
        </w:rPr>
        <w:lastRenderedPageBreak/>
        <w:t xml:space="preserve">w zależności od rodzaju prowadzonej aktywności badawczej. Odwołując się do orzecznictwa Trybunału Sprawiedliwości Unii Europejskiej (TSUE), zarazem lekceważy się podstawowe reguły wykładni językowej, a pomocniczo, także związki międzygałęziowe prawa podatkowego z prawem medycznym. </w:t>
      </w:r>
    </w:p>
    <w:p w14:paraId="665A31F5" w14:textId="77777777" w:rsidR="0082666B" w:rsidRDefault="0082666B" w:rsidP="0082666B">
      <w:pPr>
        <w:spacing w:after="120" w:line="23" w:lineRule="atLeast"/>
        <w:jc w:val="both"/>
        <w:rPr>
          <w:rFonts w:ascii="Cambria" w:eastAsia="Times New Roman" w:hAnsi="Cambria"/>
          <w:sz w:val="24"/>
          <w:szCs w:val="24"/>
          <w:lang w:eastAsia="pl-PL"/>
        </w:rPr>
      </w:pPr>
    </w:p>
    <w:p w14:paraId="2D3B6856" w14:textId="030BB24F" w:rsidR="0082666B" w:rsidRPr="005C06CC" w:rsidRDefault="0082666B" w:rsidP="00015018">
      <w:pPr>
        <w:spacing w:after="120" w:line="23" w:lineRule="atLeast"/>
        <w:jc w:val="both"/>
        <w:rPr>
          <w:rFonts w:ascii="Cambria" w:eastAsia="Times New Roman" w:hAnsi="Cambria"/>
          <w:b/>
          <w:bCs/>
          <w:sz w:val="24"/>
          <w:szCs w:val="24"/>
          <w:lang w:eastAsia="pl-PL"/>
        </w:rPr>
      </w:pPr>
      <w:r w:rsidRPr="005135F5">
        <w:rPr>
          <w:rFonts w:ascii="Cambria" w:eastAsia="Times New Roman" w:hAnsi="Cambria"/>
          <w:b/>
          <w:bCs/>
          <w:sz w:val="24"/>
          <w:szCs w:val="24"/>
          <w:lang w:eastAsia="pl-PL"/>
        </w:rPr>
        <w:t>Ad. 5</w:t>
      </w:r>
      <w:r w:rsidR="00CC064E">
        <w:rPr>
          <w:rFonts w:ascii="Cambria" w:eastAsia="Times New Roman" w:hAnsi="Cambria"/>
          <w:b/>
          <w:bCs/>
          <w:sz w:val="24"/>
          <w:szCs w:val="24"/>
          <w:lang w:eastAsia="pl-PL"/>
        </w:rPr>
        <w:t>)</w:t>
      </w:r>
      <w:r>
        <w:rPr>
          <w:rFonts w:ascii="Cambria" w:eastAsia="Times New Roman" w:hAnsi="Cambria"/>
          <w:sz w:val="24"/>
          <w:szCs w:val="24"/>
          <w:lang w:eastAsia="pl-PL"/>
        </w:rPr>
        <w:t xml:space="preserve"> </w:t>
      </w:r>
      <w:r w:rsidRPr="005C06CC">
        <w:rPr>
          <w:rFonts w:ascii="Cambria" w:eastAsia="Times New Roman" w:hAnsi="Cambria"/>
          <w:b/>
          <w:bCs/>
          <w:sz w:val="24"/>
          <w:szCs w:val="24"/>
          <w:lang w:eastAsia="pl-PL"/>
        </w:rPr>
        <w:t xml:space="preserve">Prawo finansów publicznych i prawo podatkowe, w szczególności w kontekście działalności prowadzonej przez jednostki szkolnictwa wyższego i nauki, świadczenia pomocy prawnej, oraz prowadzenia działalności o charakterze twórczym </w:t>
      </w:r>
    </w:p>
    <w:p w14:paraId="5B1E6709" w14:textId="77777777" w:rsidR="0082666B" w:rsidRPr="005C06CC" w:rsidRDefault="0082666B" w:rsidP="0082666B">
      <w:pPr>
        <w:spacing w:after="120" w:line="276" w:lineRule="auto"/>
        <w:jc w:val="both"/>
        <w:rPr>
          <w:rFonts w:ascii="Cambria" w:eastAsia="Times New Roman" w:hAnsi="Cambria"/>
          <w:color w:val="FF0000"/>
          <w:sz w:val="24"/>
          <w:szCs w:val="24"/>
          <w:lang w:eastAsia="pl-PL"/>
        </w:rPr>
      </w:pPr>
    </w:p>
    <w:p w14:paraId="2942F996" w14:textId="4722B26A" w:rsidR="00CC064E" w:rsidRDefault="00CC064E" w:rsidP="00CC064E">
      <w:pPr>
        <w:spacing w:after="0" w:line="240" w:lineRule="auto"/>
        <w:jc w:val="both"/>
        <w:rPr>
          <w:rFonts w:ascii="Cambria" w:eastAsia="Times New Roman" w:hAnsi="Cambria"/>
          <w:bCs/>
          <w:sz w:val="24"/>
          <w:szCs w:val="24"/>
          <w:lang w:eastAsia="pl-PL"/>
        </w:rPr>
      </w:pPr>
      <w:r>
        <w:rPr>
          <w:rFonts w:ascii="Cambria" w:eastAsia="Times New Roman" w:hAnsi="Cambria"/>
          <w:bCs/>
          <w:sz w:val="24"/>
          <w:szCs w:val="24"/>
          <w:lang w:eastAsia="pl-PL"/>
        </w:rPr>
        <w:t xml:space="preserve">Problematykę związaną z </w:t>
      </w:r>
      <w:r w:rsidRPr="005C06CC">
        <w:rPr>
          <w:rFonts w:ascii="Cambria" w:eastAsia="Times New Roman" w:hAnsi="Cambria"/>
          <w:bCs/>
          <w:sz w:val="24"/>
          <w:szCs w:val="24"/>
          <w:lang w:eastAsia="pl-PL"/>
        </w:rPr>
        <w:t>niniejszym obszar</w:t>
      </w:r>
      <w:r>
        <w:rPr>
          <w:rFonts w:ascii="Cambria" w:eastAsia="Times New Roman" w:hAnsi="Cambria"/>
          <w:bCs/>
          <w:sz w:val="24"/>
          <w:szCs w:val="24"/>
          <w:lang w:eastAsia="pl-PL"/>
        </w:rPr>
        <w:t>em</w:t>
      </w:r>
      <w:r w:rsidRPr="005C06CC">
        <w:rPr>
          <w:rFonts w:ascii="Cambria" w:eastAsia="Times New Roman" w:hAnsi="Cambria"/>
          <w:bCs/>
          <w:sz w:val="24"/>
          <w:szCs w:val="24"/>
          <w:lang w:eastAsia="pl-PL"/>
        </w:rPr>
        <w:t xml:space="preserve"> badawczym </w:t>
      </w:r>
      <w:r>
        <w:rPr>
          <w:rFonts w:ascii="Cambria" w:eastAsia="Times New Roman" w:hAnsi="Cambria"/>
          <w:bCs/>
          <w:sz w:val="24"/>
          <w:szCs w:val="24"/>
          <w:lang w:eastAsia="pl-PL"/>
        </w:rPr>
        <w:t>rozwinięto w</w:t>
      </w:r>
      <w:r w:rsidRPr="005C06CC">
        <w:rPr>
          <w:rFonts w:ascii="Cambria" w:eastAsia="Times New Roman" w:hAnsi="Cambria"/>
          <w:bCs/>
          <w:sz w:val="24"/>
          <w:szCs w:val="24"/>
          <w:lang w:eastAsia="pl-PL"/>
        </w:rPr>
        <w:t xml:space="preserve"> publikacj</w:t>
      </w:r>
      <w:r>
        <w:rPr>
          <w:rFonts w:ascii="Cambria" w:eastAsia="Times New Roman" w:hAnsi="Cambria"/>
          <w:bCs/>
          <w:sz w:val="24"/>
          <w:szCs w:val="24"/>
          <w:lang w:eastAsia="pl-PL"/>
        </w:rPr>
        <w:t>ach</w:t>
      </w:r>
      <w:r w:rsidRPr="005C06CC">
        <w:rPr>
          <w:rFonts w:ascii="Cambria" w:eastAsia="Times New Roman" w:hAnsi="Cambria"/>
          <w:bCs/>
          <w:sz w:val="24"/>
          <w:szCs w:val="24"/>
          <w:lang w:eastAsia="pl-PL"/>
        </w:rPr>
        <w:t xml:space="preserve"> o charakterze</w:t>
      </w:r>
      <w:r>
        <w:rPr>
          <w:rFonts w:ascii="Cambria" w:eastAsia="Times New Roman" w:hAnsi="Cambria"/>
          <w:bCs/>
          <w:sz w:val="24"/>
          <w:szCs w:val="24"/>
          <w:lang w:eastAsia="pl-PL"/>
        </w:rPr>
        <w:t>:</w:t>
      </w:r>
      <w:r w:rsidRPr="005C06CC">
        <w:rPr>
          <w:rFonts w:ascii="Cambria" w:eastAsia="Times New Roman" w:hAnsi="Cambria"/>
          <w:bCs/>
          <w:sz w:val="24"/>
          <w:szCs w:val="24"/>
          <w:lang w:eastAsia="pl-PL"/>
        </w:rPr>
        <w:t xml:space="preserve"> </w:t>
      </w:r>
      <w:r>
        <w:rPr>
          <w:rFonts w:ascii="Cambria" w:eastAsia="Times New Roman" w:hAnsi="Cambria"/>
          <w:bCs/>
          <w:sz w:val="24"/>
          <w:szCs w:val="24"/>
          <w:lang w:eastAsia="pl-PL"/>
        </w:rPr>
        <w:t xml:space="preserve">recenzowanej monografii naukowej, </w:t>
      </w:r>
      <w:r w:rsidRPr="005C06CC">
        <w:rPr>
          <w:rFonts w:ascii="Cambria" w:eastAsia="Times New Roman" w:hAnsi="Cambria"/>
          <w:bCs/>
          <w:sz w:val="24"/>
          <w:szCs w:val="24"/>
          <w:lang w:eastAsia="pl-PL"/>
        </w:rPr>
        <w:t xml:space="preserve">artykułów </w:t>
      </w:r>
      <w:r>
        <w:rPr>
          <w:rFonts w:ascii="Cambria" w:eastAsia="Times New Roman" w:hAnsi="Cambria"/>
          <w:bCs/>
          <w:sz w:val="24"/>
          <w:szCs w:val="24"/>
          <w:lang w:eastAsia="pl-PL"/>
        </w:rPr>
        <w:t xml:space="preserve">w czasopismach </w:t>
      </w:r>
      <w:r w:rsidRPr="005C06CC">
        <w:rPr>
          <w:rFonts w:ascii="Cambria" w:eastAsia="Times New Roman" w:hAnsi="Cambria"/>
          <w:bCs/>
          <w:sz w:val="24"/>
          <w:szCs w:val="24"/>
          <w:lang w:eastAsia="pl-PL"/>
        </w:rPr>
        <w:t xml:space="preserve">naukowych, rozdziałów w </w:t>
      </w:r>
      <w:r>
        <w:rPr>
          <w:rFonts w:ascii="Cambria" w:eastAsia="Times New Roman" w:hAnsi="Cambria"/>
          <w:bCs/>
          <w:sz w:val="24"/>
          <w:szCs w:val="24"/>
          <w:lang w:eastAsia="pl-PL"/>
        </w:rPr>
        <w:t xml:space="preserve">recenzowanych </w:t>
      </w:r>
      <w:r w:rsidRPr="005C06CC">
        <w:rPr>
          <w:rFonts w:ascii="Cambria" w:eastAsia="Times New Roman" w:hAnsi="Cambria"/>
          <w:bCs/>
          <w:sz w:val="24"/>
          <w:szCs w:val="24"/>
          <w:lang w:eastAsia="pl-PL"/>
        </w:rPr>
        <w:t>monografiach</w:t>
      </w:r>
      <w:r>
        <w:rPr>
          <w:rFonts w:ascii="Cambria" w:eastAsia="Times New Roman" w:hAnsi="Cambria"/>
          <w:bCs/>
          <w:sz w:val="24"/>
          <w:szCs w:val="24"/>
          <w:lang w:eastAsia="pl-PL"/>
        </w:rPr>
        <w:t xml:space="preserve"> naukowych, </w:t>
      </w:r>
      <w:r w:rsidRPr="005C06CC">
        <w:rPr>
          <w:rFonts w:ascii="Cambria" w:eastAsia="Times New Roman" w:hAnsi="Cambria"/>
          <w:bCs/>
          <w:sz w:val="24"/>
          <w:szCs w:val="24"/>
          <w:lang w:eastAsia="pl-PL"/>
        </w:rPr>
        <w:t>tj.</w:t>
      </w:r>
    </w:p>
    <w:p w14:paraId="606AAD34" w14:textId="77777777" w:rsidR="0082666B" w:rsidRPr="005C06CC" w:rsidRDefault="0082666B" w:rsidP="0082666B">
      <w:pPr>
        <w:spacing w:after="0" w:line="240" w:lineRule="auto"/>
        <w:jc w:val="both"/>
        <w:rPr>
          <w:rFonts w:ascii="Cambria" w:eastAsia="Times New Roman" w:hAnsi="Cambria"/>
          <w:bCs/>
          <w:sz w:val="24"/>
          <w:szCs w:val="24"/>
          <w:u w:val="single"/>
          <w:lang w:eastAsia="pl-PL"/>
        </w:rPr>
      </w:pPr>
    </w:p>
    <w:p w14:paraId="77839BB3" w14:textId="3F406B9E" w:rsidR="0082666B" w:rsidRDefault="00CC064E" w:rsidP="0038603B">
      <w:pPr>
        <w:pStyle w:val="Akapitzlist"/>
        <w:numPr>
          <w:ilvl w:val="0"/>
          <w:numId w:val="31"/>
        </w:numPr>
        <w:spacing w:after="120" w:line="276" w:lineRule="auto"/>
        <w:jc w:val="both"/>
        <w:rPr>
          <w:rFonts w:ascii="Cambria" w:eastAsia="Times New Roman" w:hAnsi="Cambria"/>
          <w:sz w:val="24"/>
          <w:szCs w:val="24"/>
          <w:u w:val="single"/>
          <w:lang w:eastAsia="pl-PL"/>
        </w:rPr>
      </w:pPr>
      <w:r w:rsidRPr="00CC064E">
        <w:rPr>
          <w:rFonts w:ascii="Cambria" w:eastAsia="Times New Roman" w:hAnsi="Cambria"/>
          <w:sz w:val="24"/>
          <w:szCs w:val="24"/>
          <w:u w:val="single"/>
          <w:lang w:eastAsia="pl-PL"/>
        </w:rPr>
        <w:t>Recenzowana monografia naukowa:</w:t>
      </w:r>
    </w:p>
    <w:p w14:paraId="11883349" w14:textId="5C39765A" w:rsidR="00CC064E" w:rsidRPr="001D4D65" w:rsidRDefault="00CC064E" w:rsidP="0038603B">
      <w:pPr>
        <w:pStyle w:val="Akapitzlist"/>
        <w:numPr>
          <w:ilvl w:val="0"/>
          <w:numId w:val="34"/>
        </w:numPr>
        <w:spacing w:after="120" w:line="276" w:lineRule="auto"/>
        <w:jc w:val="both"/>
        <w:rPr>
          <w:rFonts w:ascii="Cambria" w:eastAsia="Times New Roman" w:hAnsi="Cambria"/>
          <w:color w:val="FF0000"/>
          <w:sz w:val="24"/>
          <w:szCs w:val="24"/>
          <w:lang w:val="en-GB" w:eastAsia="pl-PL"/>
        </w:rPr>
      </w:pPr>
      <w:r w:rsidRPr="00CC064E">
        <w:rPr>
          <w:rFonts w:ascii="Cambria" w:eastAsia="Times New Roman" w:hAnsi="Cambria"/>
          <w:i/>
          <w:iCs/>
          <w:sz w:val="24"/>
          <w:szCs w:val="24"/>
          <w:lang w:val="en-GB" w:eastAsia="pl-PL"/>
        </w:rPr>
        <w:t xml:space="preserve">Taxes in the higher education system in Poland. Selected issues concerning CIT, PIT and VAT </w:t>
      </w:r>
      <w:r w:rsidRPr="00CC064E">
        <w:rPr>
          <w:rFonts w:ascii="Cambria" w:eastAsia="Times New Roman" w:hAnsi="Cambria"/>
          <w:sz w:val="24"/>
          <w:szCs w:val="24"/>
          <w:lang w:val="en-GB" w:eastAsia="pl-PL"/>
        </w:rPr>
        <w:t>(współaut</w:t>
      </w:r>
      <w:r>
        <w:rPr>
          <w:rFonts w:ascii="Cambria" w:eastAsia="Times New Roman" w:hAnsi="Cambria"/>
          <w:sz w:val="24"/>
          <w:szCs w:val="24"/>
          <w:lang w:val="en-GB" w:eastAsia="pl-PL"/>
        </w:rPr>
        <w:t>or: P. Smoleń)</w:t>
      </w:r>
      <w:r w:rsidRPr="00CC064E">
        <w:rPr>
          <w:rFonts w:ascii="Cambria" w:eastAsia="Times New Roman" w:hAnsi="Cambria"/>
          <w:sz w:val="24"/>
          <w:szCs w:val="24"/>
          <w:lang w:val="en-GB" w:eastAsia="pl-PL"/>
        </w:rPr>
        <w:t>, Lublin 2020, Towarzystwo Naukowe Katolickiego Uniwersytetu Lubelskiego Jana Pawla II,  ISBN: 978-83-7306-973-2, ss.152;</w:t>
      </w:r>
    </w:p>
    <w:p w14:paraId="237E4E50" w14:textId="77777777" w:rsidR="001D4D65" w:rsidRPr="00CC064E" w:rsidRDefault="001D4D65" w:rsidP="001D4D65">
      <w:pPr>
        <w:pStyle w:val="Akapitzlist"/>
        <w:spacing w:after="120" w:line="276" w:lineRule="auto"/>
        <w:ind w:left="360"/>
        <w:jc w:val="both"/>
        <w:rPr>
          <w:rFonts w:ascii="Cambria" w:eastAsia="Times New Roman" w:hAnsi="Cambria"/>
          <w:color w:val="FF0000"/>
          <w:sz w:val="24"/>
          <w:szCs w:val="24"/>
          <w:lang w:val="en-GB" w:eastAsia="pl-PL"/>
        </w:rPr>
      </w:pPr>
    </w:p>
    <w:p w14:paraId="256D6D95" w14:textId="33056C86" w:rsidR="00CC064E" w:rsidRPr="00CC064E" w:rsidRDefault="001D4D65" w:rsidP="0038603B">
      <w:pPr>
        <w:pStyle w:val="Akapitzlist"/>
        <w:numPr>
          <w:ilvl w:val="0"/>
          <w:numId w:val="31"/>
        </w:numPr>
        <w:spacing w:after="120" w:line="276" w:lineRule="auto"/>
        <w:jc w:val="both"/>
        <w:rPr>
          <w:rFonts w:ascii="Cambria" w:eastAsia="Times New Roman" w:hAnsi="Cambria"/>
          <w:sz w:val="24"/>
          <w:szCs w:val="24"/>
          <w:u w:val="single"/>
          <w:lang w:val="en-GB" w:eastAsia="pl-PL"/>
        </w:rPr>
      </w:pPr>
      <w:r>
        <w:rPr>
          <w:rFonts w:ascii="Cambria" w:eastAsia="Times New Roman" w:hAnsi="Cambria"/>
          <w:sz w:val="24"/>
          <w:szCs w:val="24"/>
          <w:u w:val="single"/>
          <w:lang w:val="en-GB" w:eastAsia="pl-PL"/>
        </w:rPr>
        <w:t>Artykuły w czasopismach naukowych:</w:t>
      </w:r>
    </w:p>
    <w:p w14:paraId="28E7DA2F" w14:textId="77777777" w:rsidR="0082666B" w:rsidRPr="005C06CC" w:rsidRDefault="0082666B" w:rsidP="005E36AB">
      <w:pPr>
        <w:numPr>
          <w:ilvl w:val="0"/>
          <w:numId w:val="34"/>
        </w:numPr>
        <w:spacing w:after="120" w:line="276" w:lineRule="auto"/>
        <w:jc w:val="both"/>
        <w:rPr>
          <w:rFonts w:ascii="Cambria" w:eastAsia="Times New Roman" w:hAnsi="Cambria"/>
          <w:sz w:val="24"/>
          <w:szCs w:val="24"/>
          <w:lang w:val="en-GB" w:eastAsia="pl-PL"/>
        </w:rPr>
      </w:pPr>
      <w:r w:rsidRPr="005C06CC">
        <w:rPr>
          <w:rFonts w:ascii="Cambria" w:eastAsia="Times New Roman" w:hAnsi="Cambria"/>
          <w:i/>
          <w:iCs/>
          <w:sz w:val="24"/>
          <w:szCs w:val="24"/>
          <w:lang w:val="en-GB" w:eastAsia="pl-PL"/>
        </w:rPr>
        <w:t>Property Tax Exemptions for Polish Higher Education Institutions. Problems and Dilemmas</w:t>
      </w:r>
      <w:r w:rsidRPr="005C06CC">
        <w:rPr>
          <w:rFonts w:ascii="Cambria" w:eastAsia="Times New Roman" w:hAnsi="Cambria"/>
          <w:sz w:val="24"/>
          <w:szCs w:val="24"/>
          <w:lang w:val="en-GB" w:eastAsia="pl-PL"/>
        </w:rPr>
        <w:t xml:space="preserve">, „Lex Localis – Journal of Local Self – Government” 2021, </w:t>
      </w:r>
      <w:r w:rsidRPr="005C06CC">
        <w:rPr>
          <w:rFonts w:ascii="Cambria" w:hAnsi="Cambria"/>
          <w:sz w:val="24"/>
          <w:szCs w:val="24"/>
          <w:lang w:val="en-GB"/>
        </w:rPr>
        <w:t xml:space="preserve">vol. 19, nr 2, s. </w:t>
      </w:r>
      <w:r w:rsidRPr="005C06CC">
        <w:rPr>
          <w:rFonts w:ascii="Cambria" w:eastAsia="Times New Roman" w:hAnsi="Cambria"/>
          <w:sz w:val="24"/>
          <w:szCs w:val="24"/>
          <w:lang w:val="en-GB" w:eastAsia="pl-PL"/>
        </w:rPr>
        <w:t>377-395, https://doi.org/10.4335/19.2.377-395(2021);</w:t>
      </w:r>
    </w:p>
    <w:p w14:paraId="61AA0BF9" w14:textId="77777777" w:rsidR="0082666B" w:rsidRPr="005C06CC" w:rsidRDefault="0082666B" w:rsidP="005E36AB">
      <w:pPr>
        <w:numPr>
          <w:ilvl w:val="0"/>
          <w:numId w:val="34"/>
        </w:numPr>
        <w:spacing w:after="120" w:line="276" w:lineRule="auto"/>
        <w:jc w:val="both"/>
        <w:rPr>
          <w:rFonts w:ascii="Cambria" w:eastAsia="Times New Roman" w:hAnsi="Cambria"/>
          <w:sz w:val="24"/>
          <w:szCs w:val="24"/>
          <w:lang w:eastAsia="pl-PL"/>
        </w:rPr>
      </w:pPr>
      <w:r w:rsidRPr="005C06CC">
        <w:rPr>
          <w:rFonts w:ascii="Cambria" w:eastAsia="Times New Roman" w:hAnsi="Cambria"/>
          <w:i/>
          <w:iCs/>
          <w:sz w:val="24"/>
          <w:szCs w:val="24"/>
          <w:lang w:eastAsia="pl-PL"/>
        </w:rPr>
        <w:t>Przekazanie przez uczelnię nieruchomości w posiadanie zależne a stosowanie zwolnienia podatkowego. Glosa częściowo aprobująca do wyroku Wojewódzkiego Sądu Administracyjnego w Gorzowie Wielkopolskim z dnia 20 listopada 2019 r., I SA/Go 668/19, LEX nr 2749256</w:t>
      </w:r>
      <w:r w:rsidRPr="005C06CC">
        <w:rPr>
          <w:rFonts w:ascii="Cambria" w:eastAsia="Times New Roman" w:hAnsi="Cambria"/>
          <w:sz w:val="24"/>
          <w:szCs w:val="24"/>
          <w:lang w:eastAsia="pl-PL"/>
        </w:rPr>
        <w:t xml:space="preserve"> (współautor: P. Smoleń), „Studia Prawnicze KUL” 2021, nr 1(85), s. 307-320, DOI: https://doi.org/10.31743/sp.11152;</w:t>
      </w:r>
    </w:p>
    <w:p w14:paraId="5DB8E890" w14:textId="32243850" w:rsidR="0082666B" w:rsidRPr="005C06CC" w:rsidRDefault="0082666B" w:rsidP="005E36AB">
      <w:pPr>
        <w:numPr>
          <w:ilvl w:val="0"/>
          <w:numId w:val="34"/>
        </w:numPr>
        <w:spacing w:after="120" w:line="276" w:lineRule="auto"/>
        <w:jc w:val="both"/>
        <w:rPr>
          <w:rFonts w:ascii="Cambria" w:eastAsia="Times New Roman" w:hAnsi="Cambria"/>
          <w:sz w:val="24"/>
          <w:szCs w:val="24"/>
          <w:lang w:eastAsia="pl-PL"/>
        </w:rPr>
      </w:pPr>
      <w:r w:rsidRPr="005C06CC">
        <w:rPr>
          <w:rFonts w:ascii="Cambria" w:eastAsia="Times New Roman" w:hAnsi="Cambria"/>
          <w:i/>
          <w:iCs/>
          <w:sz w:val="24"/>
          <w:szCs w:val="24"/>
          <w:lang w:eastAsia="pl-PL"/>
        </w:rPr>
        <w:t>Opodatkowanie wyrobisk górniczych. Niekończące się kontrowersje?</w:t>
      </w:r>
      <w:r w:rsidRPr="005C06CC">
        <w:rPr>
          <w:rFonts w:ascii="Cambria" w:eastAsia="Times New Roman" w:hAnsi="Cambria"/>
          <w:sz w:val="24"/>
          <w:szCs w:val="24"/>
          <w:lang w:eastAsia="pl-PL"/>
        </w:rPr>
        <w:t>, „Nieruchomości@</w:t>
      </w:r>
      <w:r w:rsidR="00926760">
        <w:rPr>
          <w:rFonts w:ascii="Cambria" w:eastAsia="Times New Roman" w:hAnsi="Cambria"/>
          <w:sz w:val="24"/>
          <w:szCs w:val="24"/>
          <w:lang w:eastAsia="pl-PL"/>
        </w:rPr>
        <w:t>Kwartalnik Ministerstwa Sprawiedliwości</w:t>
      </w:r>
      <w:r w:rsidRPr="005C06CC">
        <w:rPr>
          <w:rFonts w:ascii="Cambria" w:eastAsia="Times New Roman" w:hAnsi="Cambria"/>
          <w:sz w:val="24"/>
          <w:szCs w:val="24"/>
          <w:lang w:eastAsia="pl-PL"/>
        </w:rPr>
        <w:t>”</w:t>
      </w:r>
      <w:r w:rsidRPr="005C06CC">
        <w:rPr>
          <w:rFonts w:ascii="Cambria" w:eastAsia="Times New Roman" w:hAnsi="Cambria"/>
          <w:i/>
          <w:iCs/>
          <w:sz w:val="24"/>
          <w:szCs w:val="24"/>
          <w:lang w:eastAsia="pl-PL"/>
        </w:rPr>
        <w:t xml:space="preserve"> </w:t>
      </w:r>
      <w:r w:rsidRPr="005C06CC">
        <w:rPr>
          <w:rFonts w:ascii="Cambria" w:eastAsia="Times New Roman" w:hAnsi="Cambria"/>
          <w:sz w:val="24"/>
          <w:szCs w:val="24"/>
          <w:lang w:eastAsia="pl-PL"/>
        </w:rPr>
        <w:t>2021, Nr 5, s. 173-184, DOI: 10.5604/01.3001.0015.5830;</w:t>
      </w:r>
    </w:p>
    <w:p w14:paraId="19BEC092" w14:textId="77777777" w:rsidR="0082666B" w:rsidRPr="005C06CC" w:rsidRDefault="0082666B" w:rsidP="005E36AB">
      <w:pPr>
        <w:numPr>
          <w:ilvl w:val="0"/>
          <w:numId w:val="34"/>
        </w:numPr>
        <w:spacing w:after="120" w:line="276" w:lineRule="auto"/>
        <w:jc w:val="both"/>
        <w:rPr>
          <w:rFonts w:ascii="Cambria" w:eastAsia="Times New Roman" w:hAnsi="Cambria"/>
          <w:sz w:val="24"/>
          <w:szCs w:val="24"/>
          <w:lang w:val="en-GB" w:eastAsia="pl-PL"/>
        </w:rPr>
      </w:pPr>
      <w:r w:rsidRPr="005C06CC">
        <w:rPr>
          <w:rFonts w:ascii="Cambria" w:eastAsia="Times New Roman" w:hAnsi="Cambria"/>
          <w:i/>
          <w:iCs/>
          <w:sz w:val="24"/>
          <w:szCs w:val="24"/>
          <w:lang w:val="en-GB" w:eastAsia="pl-PL"/>
        </w:rPr>
        <w:t>Financial-Law Problems in Providing Free-of-Charge Legal Aid in Poland. Legal Comparative Aspects. Review of European and Comparative Law</w:t>
      </w:r>
      <w:r w:rsidRPr="005C06CC">
        <w:rPr>
          <w:rFonts w:ascii="Cambria" w:eastAsia="Times New Roman" w:hAnsi="Cambria"/>
          <w:sz w:val="24"/>
          <w:szCs w:val="24"/>
          <w:lang w:val="en-GB" w:eastAsia="pl-PL"/>
        </w:rPr>
        <w:t xml:space="preserve"> 2021, Nr 44(1), s. 103-126. https://doi.org/10.31743/recl.11495;</w:t>
      </w:r>
    </w:p>
    <w:p w14:paraId="45EE55DD" w14:textId="77777777" w:rsidR="0082666B" w:rsidRPr="005C06CC" w:rsidRDefault="0082666B" w:rsidP="005E36AB">
      <w:pPr>
        <w:numPr>
          <w:ilvl w:val="0"/>
          <w:numId w:val="34"/>
        </w:numPr>
        <w:spacing w:after="120" w:line="276" w:lineRule="auto"/>
        <w:jc w:val="both"/>
        <w:rPr>
          <w:rFonts w:ascii="Cambria" w:eastAsia="Times New Roman" w:hAnsi="Cambria"/>
          <w:sz w:val="24"/>
          <w:szCs w:val="24"/>
          <w:lang w:eastAsia="pl-PL"/>
        </w:rPr>
      </w:pPr>
      <w:r w:rsidRPr="005C06CC">
        <w:rPr>
          <w:rFonts w:ascii="Cambria" w:eastAsia="Times New Roman" w:hAnsi="Cambria"/>
          <w:i/>
          <w:iCs/>
          <w:sz w:val="24"/>
          <w:szCs w:val="24"/>
          <w:lang w:eastAsia="pl-PL"/>
        </w:rPr>
        <w:t>Glosa aprobująca do wyroku Naczelnego Sądu Administracyjnego z dnia 10 stycznia 2020 r., sygn. akt: II FSK 532/18, LEX nr 2777589</w:t>
      </w:r>
      <w:r w:rsidRPr="005C06CC">
        <w:rPr>
          <w:rFonts w:ascii="Cambria" w:eastAsia="Times New Roman" w:hAnsi="Cambria"/>
          <w:sz w:val="24"/>
          <w:szCs w:val="24"/>
          <w:lang w:eastAsia="pl-PL"/>
        </w:rPr>
        <w:t>, „Studia Iuridica Lubliniensa” 2021, Vol 30, Nr 1, s. 429-440, DOI: http://dx.doi.org/10.17951/sil.2021.30.1.429-440.</w:t>
      </w:r>
    </w:p>
    <w:p w14:paraId="21D1FEBF" w14:textId="77777777" w:rsidR="00926760" w:rsidRPr="005C06CC" w:rsidRDefault="00926760" w:rsidP="005E36AB">
      <w:pPr>
        <w:numPr>
          <w:ilvl w:val="0"/>
          <w:numId w:val="34"/>
        </w:numPr>
        <w:spacing w:after="120" w:line="276" w:lineRule="auto"/>
        <w:jc w:val="both"/>
        <w:rPr>
          <w:rFonts w:ascii="Cambria" w:eastAsia="Times New Roman" w:hAnsi="Cambria"/>
          <w:sz w:val="24"/>
          <w:szCs w:val="24"/>
          <w:lang w:eastAsia="pl-PL"/>
        </w:rPr>
      </w:pPr>
      <w:r w:rsidRPr="005C06CC">
        <w:rPr>
          <w:rFonts w:ascii="Cambria" w:eastAsia="Times New Roman" w:hAnsi="Cambria"/>
          <w:i/>
          <w:iCs/>
          <w:sz w:val="24"/>
          <w:szCs w:val="24"/>
          <w:lang w:eastAsia="pl-PL"/>
        </w:rPr>
        <w:t>Aspekty podatkowoprawne świadczenia nieodpłatnej pomocy prawnej przez radcę prawnego</w:t>
      </w:r>
      <w:r w:rsidRPr="005C06CC">
        <w:rPr>
          <w:rFonts w:ascii="Cambria" w:eastAsia="Times New Roman" w:hAnsi="Cambria"/>
          <w:sz w:val="24"/>
          <w:szCs w:val="24"/>
          <w:lang w:eastAsia="pl-PL"/>
        </w:rPr>
        <w:t>, „Teka Komisji Prawniczej PAN Oddział w Lublinie”, tom XIII, 2020, nr 2, s. 493-504, https://doi.org/10.32084/tekapr.2020.13.2-38;</w:t>
      </w:r>
    </w:p>
    <w:p w14:paraId="1026B4BD" w14:textId="7DF108CE" w:rsidR="00926760" w:rsidRPr="00926760" w:rsidRDefault="00926760" w:rsidP="005E36AB">
      <w:pPr>
        <w:numPr>
          <w:ilvl w:val="0"/>
          <w:numId w:val="34"/>
        </w:numPr>
        <w:spacing w:after="120" w:line="276" w:lineRule="auto"/>
        <w:jc w:val="both"/>
        <w:rPr>
          <w:rFonts w:ascii="Cambria" w:eastAsia="Times New Roman" w:hAnsi="Cambria"/>
          <w:color w:val="FF0000"/>
          <w:sz w:val="24"/>
          <w:szCs w:val="24"/>
          <w:lang w:eastAsia="pl-PL"/>
        </w:rPr>
      </w:pPr>
      <w:r w:rsidRPr="005C06CC">
        <w:rPr>
          <w:rFonts w:ascii="Cambria" w:eastAsia="Times New Roman" w:hAnsi="Cambria"/>
          <w:i/>
          <w:iCs/>
          <w:color w:val="151515"/>
          <w:sz w:val="24"/>
          <w:szCs w:val="24"/>
          <w:lang w:eastAsia="pl-PL"/>
        </w:rPr>
        <w:lastRenderedPageBreak/>
        <w:t>Praktyka opodatkowania wyrobisk górniczych po wyroku Trybunału Konstytucyjnego z dnia 13 września 2011 r. (P 33/09)</w:t>
      </w:r>
      <w:r w:rsidRPr="005C06CC">
        <w:rPr>
          <w:rFonts w:ascii="Cambria" w:eastAsia="Times New Roman" w:hAnsi="Cambria"/>
          <w:color w:val="151515"/>
          <w:sz w:val="24"/>
          <w:szCs w:val="24"/>
          <w:lang w:eastAsia="pl-PL"/>
        </w:rPr>
        <w:t xml:space="preserve"> (współautor: P. Smoleń), „Roczniki Nauk Prawnych” 2019, tom XXIX, nr 3, DOI: </w:t>
      </w:r>
      <w:r w:rsidRPr="00926760">
        <w:rPr>
          <w:rFonts w:ascii="Cambria" w:eastAsia="Times New Roman" w:hAnsi="Cambria"/>
          <w:sz w:val="24"/>
          <w:szCs w:val="24"/>
          <w:lang w:eastAsia="pl-PL"/>
        </w:rPr>
        <w:t>http://dx.doi.org/10.18290/rnp.2019.29.3-7</w:t>
      </w:r>
      <w:r w:rsidRPr="005C06CC">
        <w:rPr>
          <w:rFonts w:ascii="Cambria" w:eastAsia="Times New Roman" w:hAnsi="Cambria"/>
          <w:color w:val="151515"/>
          <w:sz w:val="24"/>
          <w:szCs w:val="24"/>
          <w:lang w:eastAsia="pl-PL"/>
        </w:rPr>
        <w:t>.</w:t>
      </w:r>
    </w:p>
    <w:p w14:paraId="53426C51" w14:textId="3154D899" w:rsidR="00926760" w:rsidRDefault="00926760" w:rsidP="005E36AB">
      <w:pPr>
        <w:numPr>
          <w:ilvl w:val="0"/>
          <w:numId w:val="34"/>
        </w:numPr>
        <w:spacing w:after="120" w:line="23" w:lineRule="atLeast"/>
        <w:jc w:val="both"/>
        <w:rPr>
          <w:rFonts w:ascii="Cambria" w:eastAsia="Times New Roman" w:hAnsi="Cambria"/>
          <w:sz w:val="24"/>
          <w:szCs w:val="24"/>
          <w:lang w:eastAsia="pl-PL"/>
        </w:rPr>
      </w:pPr>
      <w:r w:rsidRPr="005C06CC">
        <w:rPr>
          <w:rFonts w:ascii="Cambria" w:eastAsia="Times New Roman" w:hAnsi="Cambria"/>
          <w:i/>
          <w:iCs/>
          <w:sz w:val="24"/>
          <w:szCs w:val="24"/>
          <w:lang w:eastAsia="pl-PL"/>
        </w:rPr>
        <w:t>Zwolnienie stypendiów z PIT a warunek ich zatwierdzenia przez ministra właściwego do spraw szkolnictwa wyższego i nauki. Glosa krytyczna do wyroku NSA z dnia 4 listopada 2020 r., II FSK 1774/18, LEX nr 3079981</w:t>
      </w:r>
      <w:r w:rsidRPr="005C06CC">
        <w:rPr>
          <w:rFonts w:ascii="Cambria" w:eastAsia="Times New Roman" w:hAnsi="Cambria"/>
          <w:sz w:val="24"/>
          <w:szCs w:val="24"/>
          <w:lang w:eastAsia="pl-PL"/>
        </w:rPr>
        <w:t>, „Krytyka Prawa. Studia niezależne nad prawem” 2022, nr 3 (oddane do druku);</w:t>
      </w:r>
    </w:p>
    <w:p w14:paraId="4A6EC9ED" w14:textId="020FBC68" w:rsidR="00926760" w:rsidRDefault="00926760" w:rsidP="005E36AB">
      <w:pPr>
        <w:numPr>
          <w:ilvl w:val="0"/>
          <w:numId w:val="34"/>
        </w:numPr>
        <w:spacing w:after="120" w:line="23" w:lineRule="atLeast"/>
        <w:jc w:val="both"/>
        <w:rPr>
          <w:rFonts w:ascii="Cambria" w:eastAsia="Times New Roman" w:hAnsi="Cambria"/>
          <w:sz w:val="24"/>
          <w:szCs w:val="24"/>
          <w:lang w:eastAsia="pl-PL"/>
        </w:rPr>
      </w:pPr>
      <w:r w:rsidRPr="005C06CC">
        <w:rPr>
          <w:rFonts w:ascii="Cambria" w:eastAsia="Times New Roman" w:hAnsi="Cambria"/>
          <w:i/>
          <w:iCs/>
          <w:sz w:val="24"/>
          <w:szCs w:val="24"/>
          <w:lang w:eastAsia="pl-PL"/>
        </w:rPr>
        <w:t xml:space="preserve">Wyłączenie z opodatkowania czynności cywilnoprawnych dotyczących nieruchomości w sferze nauki i szkolnictwa wyższego </w:t>
      </w:r>
      <w:r w:rsidRPr="005C06CC">
        <w:rPr>
          <w:rFonts w:ascii="Cambria" w:eastAsia="Times New Roman" w:hAnsi="Cambria"/>
          <w:sz w:val="24"/>
          <w:szCs w:val="24"/>
          <w:lang w:eastAsia="pl-PL"/>
        </w:rPr>
        <w:t>(oddane do druku do czasopisma „Nieruchomości@</w:t>
      </w:r>
      <w:r>
        <w:rPr>
          <w:rFonts w:ascii="Cambria" w:eastAsia="Times New Roman" w:hAnsi="Cambria"/>
          <w:sz w:val="24"/>
          <w:szCs w:val="24"/>
          <w:lang w:eastAsia="pl-PL"/>
        </w:rPr>
        <w:t>Kwartalnik Ministerstwa Sprawiedliwości</w:t>
      </w:r>
      <w:r w:rsidRPr="005C06CC">
        <w:rPr>
          <w:rFonts w:ascii="Cambria" w:eastAsia="Times New Roman" w:hAnsi="Cambria"/>
          <w:sz w:val="24"/>
          <w:szCs w:val="24"/>
          <w:lang w:eastAsia="pl-PL"/>
        </w:rPr>
        <w:t>” – publikacja nr 4/2022);</w:t>
      </w:r>
    </w:p>
    <w:p w14:paraId="30BBA059" w14:textId="77777777" w:rsidR="005E36AB" w:rsidRPr="005C06CC" w:rsidRDefault="005E36AB" w:rsidP="005E36AB">
      <w:pPr>
        <w:spacing w:after="120" w:line="23" w:lineRule="atLeast"/>
        <w:ind w:left="360"/>
        <w:jc w:val="both"/>
        <w:rPr>
          <w:rFonts w:ascii="Cambria" w:eastAsia="Times New Roman" w:hAnsi="Cambria"/>
          <w:sz w:val="24"/>
          <w:szCs w:val="24"/>
          <w:lang w:eastAsia="pl-PL"/>
        </w:rPr>
      </w:pPr>
    </w:p>
    <w:p w14:paraId="1F062965" w14:textId="46C462B1" w:rsidR="00926760" w:rsidRPr="00926760" w:rsidRDefault="00926760" w:rsidP="00926760">
      <w:pPr>
        <w:pStyle w:val="Akapitzlist"/>
        <w:numPr>
          <w:ilvl w:val="0"/>
          <w:numId w:val="52"/>
        </w:numPr>
        <w:spacing w:after="120" w:line="23" w:lineRule="atLeast"/>
        <w:jc w:val="both"/>
        <w:rPr>
          <w:rFonts w:ascii="Cambria" w:eastAsia="Times New Roman" w:hAnsi="Cambria"/>
          <w:sz w:val="24"/>
          <w:szCs w:val="24"/>
          <w:lang w:eastAsia="pl-PL"/>
        </w:rPr>
      </w:pPr>
      <w:r w:rsidRPr="00926760">
        <w:rPr>
          <w:rFonts w:ascii="Cambria" w:eastAsia="Times New Roman" w:hAnsi="Cambria"/>
          <w:sz w:val="24"/>
          <w:szCs w:val="24"/>
          <w:u w:val="single"/>
          <w:lang w:eastAsia="pl-PL"/>
        </w:rPr>
        <w:t>Rozdziały w recenzowanych monografiach naukowych</w:t>
      </w:r>
      <w:r>
        <w:rPr>
          <w:rFonts w:ascii="Cambria" w:eastAsia="Times New Roman" w:hAnsi="Cambria"/>
          <w:sz w:val="24"/>
          <w:szCs w:val="24"/>
          <w:lang w:eastAsia="pl-PL"/>
        </w:rPr>
        <w:t>;</w:t>
      </w:r>
    </w:p>
    <w:p w14:paraId="47896574" w14:textId="77777777" w:rsidR="00926760" w:rsidRPr="005C06CC" w:rsidRDefault="00926760" w:rsidP="005E36AB">
      <w:pPr>
        <w:numPr>
          <w:ilvl w:val="0"/>
          <w:numId w:val="34"/>
        </w:numPr>
        <w:spacing w:after="120" w:line="276" w:lineRule="auto"/>
        <w:jc w:val="both"/>
        <w:rPr>
          <w:rFonts w:ascii="Cambria" w:eastAsia="Times New Roman" w:hAnsi="Cambria"/>
          <w:sz w:val="24"/>
          <w:szCs w:val="24"/>
          <w:lang w:eastAsia="pl-PL"/>
        </w:rPr>
      </w:pPr>
      <w:r w:rsidRPr="005C06CC">
        <w:rPr>
          <w:rFonts w:ascii="Cambria" w:eastAsia="Times New Roman" w:hAnsi="Cambria"/>
          <w:i/>
          <w:iCs/>
          <w:sz w:val="24"/>
          <w:szCs w:val="24"/>
          <w:lang w:eastAsia="pl-PL"/>
        </w:rPr>
        <w:t>Konstytucyjne podstawy finansów publicznych</w:t>
      </w:r>
      <w:r w:rsidRPr="005C06CC">
        <w:rPr>
          <w:rFonts w:ascii="Cambria" w:eastAsia="Times New Roman" w:hAnsi="Cambria"/>
          <w:sz w:val="24"/>
          <w:szCs w:val="24"/>
          <w:lang w:eastAsia="pl-PL"/>
        </w:rPr>
        <w:t xml:space="preserve">, [w:] </w:t>
      </w:r>
      <w:r w:rsidRPr="005C06CC">
        <w:rPr>
          <w:rFonts w:ascii="Cambria" w:eastAsia="Times New Roman" w:hAnsi="Cambria"/>
          <w:i/>
          <w:iCs/>
          <w:sz w:val="24"/>
          <w:szCs w:val="24"/>
          <w:lang w:eastAsia="pl-PL"/>
        </w:rPr>
        <w:t>Prawo finansów publicznych. Vademecum akademickie</w:t>
      </w:r>
      <w:r w:rsidRPr="005C06CC">
        <w:rPr>
          <w:rFonts w:ascii="Cambria" w:eastAsia="Times New Roman" w:hAnsi="Cambria"/>
          <w:sz w:val="24"/>
          <w:szCs w:val="24"/>
          <w:lang w:eastAsia="pl-PL"/>
        </w:rPr>
        <w:t xml:space="preserve">, red. P. Smoleń, Warszawa 2022, </w:t>
      </w:r>
      <w:r>
        <w:rPr>
          <w:rFonts w:ascii="Cambria" w:eastAsia="Times New Roman" w:hAnsi="Cambria"/>
          <w:sz w:val="24"/>
          <w:szCs w:val="24"/>
          <w:lang w:eastAsia="pl-PL"/>
        </w:rPr>
        <w:t xml:space="preserve">Wolters Kluwer S. A., </w:t>
      </w:r>
      <w:r w:rsidRPr="005C06CC">
        <w:rPr>
          <w:rFonts w:ascii="Cambria" w:eastAsia="Times New Roman" w:hAnsi="Cambria"/>
          <w:sz w:val="24"/>
          <w:szCs w:val="24"/>
          <w:lang w:eastAsia="pl-PL"/>
        </w:rPr>
        <w:t>ISBN: 978-83-8286-549-3, s. 23-31;</w:t>
      </w:r>
    </w:p>
    <w:p w14:paraId="6360DB4C" w14:textId="229B78B1" w:rsidR="0082666B" w:rsidRPr="005C06CC" w:rsidRDefault="0082666B" w:rsidP="005E36AB">
      <w:pPr>
        <w:numPr>
          <w:ilvl w:val="0"/>
          <w:numId w:val="34"/>
        </w:numPr>
        <w:spacing w:after="120" w:line="276" w:lineRule="auto"/>
        <w:jc w:val="both"/>
        <w:rPr>
          <w:rFonts w:ascii="Cambria" w:eastAsia="Times New Roman" w:hAnsi="Cambria"/>
          <w:sz w:val="24"/>
          <w:szCs w:val="24"/>
          <w:lang w:eastAsia="pl-PL"/>
        </w:rPr>
      </w:pPr>
      <w:r w:rsidRPr="005C06CC">
        <w:rPr>
          <w:rFonts w:ascii="Cambria" w:eastAsia="Times New Roman" w:hAnsi="Cambria"/>
          <w:i/>
          <w:iCs/>
          <w:sz w:val="24"/>
          <w:szCs w:val="24"/>
          <w:lang w:eastAsia="pl-PL"/>
        </w:rPr>
        <w:t>Opodatkowanie domów studenckich. Kilka uwag na tle orzecznictwa</w:t>
      </w:r>
      <w:r w:rsidRPr="005C06CC">
        <w:rPr>
          <w:rFonts w:ascii="Cambria" w:eastAsia="Times New Roman" w:hAnsi="Cambria"/>
          <w:sz w:val="24"/>
          <w:szCs w:val="24"/>
          <w:lang w:eastAsia="pl-PL"/>
        </w:rPr>
        <w:t xml:space="preserve">, [w:] </w:t>
      </w:r>
      <w:r w:rsidRPr="005C06CC">
        <w:rPr>
          <w:rFonts w:ascii="Cambria" w:eastAsia="Times New Roman" w:hAnsi="Cambria"/>
          <w:i/>
          <w:iCs/>
          <w:sz w:val="24"/>
          <w:szCs w:val="24"/>
          <w:lang w:eastAsia="pl-PL"/>
        </w:rPr>
        <w:t>Rodzina, prawo i kultura w zglobalizowanym świecie</w:t>
      </w:r>
      <w:r w:rsidRPr="005C06CC">
        <w:rPr>
          <w:rFonts w:ascii="Cambria" w:eastAsia="Times New Roman" w:hAnsi="Cambria"/>
          <w:sz w:val="24"/>
          <w:szCs w:val="24"/>
          <w:lang w:eastAsia="pl-PL"/>
        </w:rPr>
        <w:t xml:space="preserve">, red. J. Kozłowska, M. Iwaniuk, Lublin 2021, </w:t>
      </w:r>
      <w:r>
        <w:rPr>
          <w:rFonts w:ascii="Times New Roman" w:eastAsia="Times New Roman" w:hAnsi="Times New Roman"/>
          <w:sz w:val="24"/>
          <w:szCs w:val="24"/>
          <w:lang w:eastAsia="pl-PL"/>
        </w:rPr>
        <w:t>Wydawnictwo Naukowe TYGIEL</w:t>
      </w:r>
      <w:r>
        <w:rPr>
          <w:rFonts w:ascii="Cambria" w:eastAsia="Times New Roman" w:hAnsi="Cambria"/>
          <w:sz w:val="24"/>
          <w:szCs w:val="24"/>
          <w:lang w:eastAsia="pl-PL"/>
        </w:rPr>
        <w:t xml:space="preserve">, </w:t>
      </w:r>
      <w:r w:rsidRPr="005C06CC">
        <w:rPr>
          <w:rFonts w:ascii="Cambria" w:eastAsia="Times New Roman" w:hAnsi="Cambria"/>
          <w:sz w:val="24"/>
          <w:szCs w:val="24"/>
          <w:lang w:eastAsia="pl-PL"/>
        </w:rPr>
        <w:t>ISBN 978-83-66489-71-4, s. 76-85.</w:t>
      </w:r>
    </w:p>
    <w:p w14:paraId="758A6E9B" w14:textId="77777777" w:rsidR="005E36AB" w:rsidRDefault="0082666B" w:rsidP="005E36AB">
      <w:pPr>
        <w:numPr>
          <w:ilvl w:val="0"/>
          <w:numId w:val="34"/>
        </w:numPr>
        <w:spacing w:after="120" w:line="276" w:lineRule="auto"/>
        <w:jc w:val="both"/>
        <w:rPr>
          <w:rFonts w:ascii="Cambria" w:eastAsia="Times New Roman" w:hAnsi="Cambria"/>
          <w:sz w:val="24"/>
          <w:szCs w:val="24"/>
          <w:lang w:eastAsia="pl-PL"/>
        </w:rPr>
      </w:pPr>
      <w:r w:rsidRPr="005C06CC">
        <w:rPr>
          <w:rFonts w:ascii="Cambria" w:eastAsia="Times New Roman" w:hAnsi="Cambria"/>
          <w:i/>
          <w:iCs/>
          <w:sz w:val="24"/>
          <w:szCs w:val="24"/>
          <w:lang w:eastAsia="pl-PL"/>
        </w:rPr>
        <w:t>Opłata roczna za aplikację radcowską jako koszt uzyskania przychodu</w:t>
      </w:r>
      <w:r w:rsidRPr="005C06CC">
        <w:rPr>
          <w:rFonts w:ascii="Cambria" w:eastAsia="Times New Roman" w:hAnsi="Cambria"/>
          <w:sz w:val="24"/>
          <w:szCs w:val="24"/>
          <w:lang w:eastAsia="pl-PL"/>
        </w:rPr>
        <w:t xml:space="preserve">, [w:] </w:t>
      </w:r>
      <w:r w:rsidRPr="005C06CC">
        <w:rPr>
          <w:rFonts w:ascii="Cambria" w:eastAsia="Times New Roman" w:hAnsi="Cambria"/>
          <w:i/>
          <w:iCs/>
          <w:sz w:val="24"/>
          <w:szCs w:val="24"/>
          <w:lang w:eastAsia="pl-PL"/>
        </w:rPr>
        <w:t>Bezpieczeństwo prawne państwa i podatnika a sprawiedliwy system podatkowy</w:t>
      </w:r>
      <w:r w:rsidRPr="005C06CC">
        <w:rPr>
          <w:rFonts w:ascii="Cambria" w:eastAsia="Times New Roman" w:hAnsi="Cambria"/>
          <w:sz w:val="24"/>
          <w:szCs w:val="24"/>
          <w:lang w:eastAsia="pl-PL"/>
        </w:rPr>
        <w:t>, red. J. Krukowski, M. Sitarz, A. Romanko, Stowarzyszenie Absolwentów i Przyjaciół Wydziału Prawa Katolickiego Uniwersytetu Lubelskiego, Lublin 2020, s. 191-209;</w:t>
      </w:r>
    </w:p>
    <w:p w14:paraId="5FDAB076" w14:textId="71236299" w:rsidR="005E36AB" w:rsidRPr="005E36AB" w:rsidRDefault="005E36AB" w:rsidP="005E36AB">
      <w:pPr>
        <w:numPr>
          <w:ilvl w:val="0"/>
          <w:numId w:val="34"/>
        </w:numPr>
        <w:spacing w:after="120" w:line="276" w:lineRule="auto"/>
        <w:jc w:val="both"/>
        <w:rPr>
          <w:rFonts w:ascii="Cambria" w:eastAsia="Times New Roman" w:hAnsi="Cambria"/>
          <w:sz w:val="24"/>
          <w:szCs w:val="24"/>
          <w:lang w:eastAsia="pl-PL"/>
        </w:rPr>
      </w:pPr>
      <w:r w:rsidRPr="005E36AB">
        <w:rPr>
          <w:rFonts w:ascii="Cambria" w:hAnsi="Cambria"/>
          <w:bCs/>
          <w:i/>
          <w:iCs/>
          <w:sz w:val="24"/>
          <w:szCs w:val="24"/>
        </w:rPr>
        <w:t xml:space="preserve">Finansowoprawne aspekty wsparcia uczelni publicznych przez jednostki samorządu terytorialnego po wstąpieniu Polski do Unii </w:t>
      </w:r>
      <w:r w:rsidRPr="005E36AB">
        <w:rPr>
          <w:rFonts w:ascii="Cambria" w:hAnsi="Cambria"/>
          <w:bCs/>
          <w:sz w:val="24"/>
          <w:szCs w:val="24"/>
        </w:rPr>
        <w:t xml:space="preserve">Europejskiej, [w:] </w:t>
      </w:r>
      <w:r w:rsidRPr="005E36AB">
        <w:rPr>
          <w:rFonts w:ascii="Cambria" w:hAnsi="Cambria"/>
          <w:bCs/>
          <w:i/>
          <w:iCs/>
          <w:sz w:val="24"/>
          <w:szCs w:val="24"/>
        </w:rPr>
        <w:t>Wspólnotowy wymiar samorządu terytorialnego – rzeczywistość a oczekiwania</w:t>
      </w:r>
      <w:r w:rsidRPr="005E36AB">
        <w:rPr>
          <w:rFonts w:ascii="Cambria" w:hAnsi="Cambria"/>
          <w:bCs/>
          <w:sz w:val="24"/>
          <w:szCs w:val="24"/>
        </w:rPr>
        <w:t>, red. M. Stec, K. Małysa – Sulińska, Wolters Kluwer S. A., Warszawa 2022, s. 127-142 (oddane do druku).</w:t>
      </w:r>
    </w:p>
    <w:p w14:paraId="0923EF1A" w14:textId="77777777" w:rsidR="005E36AB" w:rsidRDefault="005E36AB" w:rsidP="0082666B">
      <w:pPr>
        <w:spacing w:after="120" w:line="276" w:lineRule="auto"/>
        <w:ind w:firstLine="360"/>
        <w:jc w:val="both"/>
        <w:rPr>
          <w:rFonts w:ascii="Cambria" w:eastAsia="Times New Roman" w:hAnsi="Cambria"/>
          <w:sz w:val="24"/>
          <w:szCs w:val="24"/>
          <w:lang w:eastAsia="pl-PL"/>
        </w:rPr>
      </w:pPr>
    </w:p>
    <w:p w14:paraId="64D0EBC9" w14:textId="63B09A7F" w:rsidR="0082666B" w:rsidRPr="005C06CC" w:rsidRDefault="00D047EB" w:rsidP="0082666B">
      <w:pPr>
        <w:spacing w:after="120" w:line="276" w:lineRule="auto"/>
        <w:ind w:firstLine="360"/>
        <w:jc w:val="both"/>
        <w:rPr>
          <w:rFonts w:ascii="Cambria" w:eastAsia="Times New Roman" w:hAnsi="Cambria"/>
          <w:sz w:val="24"/>
          <w:szCs w:val="24"/>
          <w:lang w:eastAsia="pl-PL"/>
        </w:rPr>
      </w:pPr>
      <w:r>
        <w:rPr>
          <w:rFonts w:ascii="Cambria" w:eastAsia="Times New Roman" w:hAnsi="Cambria"/>
          <w:sz w:val="24"/>
          <w:szCs w:val="24"/>
          <w:lang w:eastAsia="pl-PL"/>
        </w:rPr>
        <w:t>W a</w:t>
      </w:r>
      <w:r w:rsidR="0082666B" w:rsidRPr="005C06CC">
        <w:rPr>
          <w:rFonts w:ascii="Cambria" w:eastAsia="Times New Roman" w:hAnsi="Cambria"/>
          <w:sz w:val="24"/>
          <w:szCs w:val="24"/>
          <w:lang w:eastAsia="pl-PL"/>
        </w:rPr>
        <w:t>nalizowany</w:t>
      </w:r>
      <w:r>
        <w:rPr>
          <w:rFonts w:ascii="Cambria" w:eastAsia="Times New Roman" w:hAnsi="Cambria"/>
          <w:sz w:val="24"/>
          <w:szCs w:val="24"/>
          <w:lang w:eastAsia="pl-PL"/>
        </w:rPr>
        <w:t>m</w:t>
      </w:r>
      <w:r w:rsidR="0082666B" w:rsidRPr="005C06CC">
        <w:rPr>
          <w:rFonts w:ascii="Cambria" w:eastAsia="Times New Roman" w:hAnsi="Cambria"/>
          <w:sz w:val="24"/>
          <w:szCs w:val="24"/>
          <w:lang w:eastAsia="pl-PL"/>
        </w:rPr>
        <w:t xml:space="preserve"> obszar</w:t>
      </w:r>
      <w:r>
        <w:rPr>
          <w:rFonts w:ascii="Cambria" w:eastAsia="Times New Roman" w:hAnsi="Cambria"/>
          <w:sz w:val="24"/>
          <w:szCs w:val="24"/>
          <w:lang w:eastAsia="pl-PL"/>
        </w:rPr>
        <w:t>ze</w:t>
      </w:r>
      <w:r w:rsidR="0082666B" w:rsidRPr="005C06CC">
        <w:rPr>
          <w:rFonts w:ascii="Cambria" w:eastAsia="Times New Roman" w:hAnsi="Cambria"/>
          <w:sz w:val="24"/>
          <w:szCs w:val="24"/>
          <w:lang w:eastAsia="pl-PL"/>
        </w:rPr>
        <w:t xml:space="preserve"> badawczy</w:t>
      </w:r>
      <w:r>
        <w:rPr>
          <w:rFonts w:ascii="Cambria" w:eastAsia="Times New Roman" w:hAnsi="Cambria"/>
          <w:sz w:val="24"/>
          <w:szCs w:val="24"/>
          <w:lang w:eastAsia="pl-PL"/>
        </w:rPr>
        <w:t xml:space="preserve">m </w:t>
      </w:r>
      <w:r w:rsidR="0082666B">
        <w:rPr>
          <w:rFonts w:ascii="Cambria" w:eastAsia="Times New Roman" w:hAnsi="Cambria"/>
          <w:sz w:val="24"/>
          <w:szCs w:val="24"/>
          <w:lang w:eastAsia="pl-PL"/>
        </w:rPr>
        <w:t>dostrzeż</w:t>
      </w:r>
      <w:r>
        <w:rPr>
          <w:rFonts w:ascii="Cambria" w:eastAsia="Times New Roman" w:hAnsi="Cambria"/>
          <w:sz w:val="24"/>
          <w:szCs w:val="24"/>
          <w:lang w:eastAsia="pl-PL"/>
        </w:rPr>
        <w:t>ono</w:t>
      </w:r>
      <w:r w:rsidR="0082666B">
        <w:rPr>
          <w:rFonts w:ascii="Cambria" w:eastAsia="Times New Roman" w:hAnsi="Cambria"/>
          <w:sz w:val="24"/>
          <w:szCs w:val="24"/>
          <w:lang w:eastAsia="pl-PL"/>
        </w:rPr>
        <w:t xml:space="preserve"> </w:t>
      </w:r>
      <w:r w:rsidR="0082666B" w:rsidRPr="005C06CC">
        <w:rPr>
          <w:rFonts w:ascii="Cambria" w:eastAsia="Times New Roman" w:hAnsi="Cambria"/>
          <w:sz w:val="24"/>
          <w:szCs w:val="24"/>
          <w:lang w:eastAsia="pl-PL"/>
        </w:rPr>
        <w:t>związk</w:t>
      </w:r>
      <w:r>
        <w:rPr>
          <w:rFonts w:ascii="Cambria" w:eastAsia="Times New Roman" w:hAnsi="Cambria"/>
          <w:sz w:val="24"/>
          <w:szCs w:val="24"/>
          <w:lang w:eastAsia="pl-PL"/>
        </w:rPr>
        <w:t>i</w:t>
      </w:r>
      <w:r w:rsidR="0082666B" w:rsidRPr="005C06CC">
        <w:rPr>
          <w:rFonts w:ascii="Cambria" w:eastAsia="Times New Roman" w:hAnsi="Cambria"/>
          <w:sz w:val="24"/>
          <w:szCs w:val="24"/>
          <w:lang w:eastAsia="pl-PL"/>
        </w:rPr>
        <w:t xml:space="preserve"> międzygałęziow</w:t>
      </w:r>
      <w:r>
        <w:rPr>
          <w:rFonts w:ascii="Cambria" w:eastAsia="Times New Roman" w:hAnsi="Cambria"/>
          <w:sz w:val="24"/>
          <w:szCs w:val="24"/>
          <w:lang w:eastAsia="pl-PL"/>
        </w:rPr>
        <w:t>e</w:t>
      </w:r>
      <w:r w:rsidR="0082666B">
        <w:rPr>
          <w:rFonts w:ascii="Cambria" w:eastAsia="Times New Roman" w:hAnsi="Cambria"/>
          <w:sz w:val="24"/>
          <w:szCs w:val="24"/>
          <w:lang w:eastAsia="pl-PL"/>
        </w:rPr>
        <w:t xml:space="preserve"> </w:t>
      </w:r>
      <w:r>
        <w:rPr>
          <w:rFonts w:ascii="Cambria" w:eastAsia="Times New Roman" w:hAnsi="Cambria"/>
          <w:sz w:val="24"/>
          <w:szCs w:val="24"/>
          <w:lang w:eastAsia="pl-PL"/>
        </w:rPr>
        <w:t>ze sferą</w:t>
      </w:r>
      <w:r w:rsidR="0082666B" w:rsidRPr="005C06CC">
        <w:rPr>
          <w:rFonts w:ascii="Cambria" w:eastAsia="Times New Roman" w:hAnsi="Cambria"/>
          <w:sz w:val="24"/>
          <w:szCs w:val="24"/>
          <w:lang w:eastAsia="pl-PL"/>
        </w:rPr>
        <w:t xml:space="preserve"> organizacji i funkcjonowania jednostek szkolnictwa wyższego i nauki, świadczeni</w:t>
      </w:r>
      <w:r>
        <w:rPr>
          <w:rFonts w:ascii="Cambria" w:eastAsia="Times New Roman" w:hAnsi="Cambria"/>
          <w:sz w:val="24"/>
          <w:szCs w:val="24"/>
          <w:lang w:eastAsia="pl-PL"/>
        </w:rPr>
        <w:t>em</w:t>
      </w:r>
      <w:r w:rsidR="0082666B" w:rsidRPr="005C06CC">
        <w:rPr>
          <w:rFonts w:ascii="Cambria" w:eastAsia="Times New Roman" w:hAnsi="Cambria"/>
          <w:sz w:val="24"/>
          <w:szCs w:val="24"/>
          <w:lang w:eastAsia="pl-PL"/>
        </w:rPr>
        <w:t xml:space="preserve"> pomocy prawnej oraz wykonywani</w:t>
      </w:r>
      <w:r>
        <w:rPr>
          <w:rFonts w:ascii="Cambria" w:eastAsia="Times New Roman" w:hAnsi="Cambria"/>
          <w:sz w:val="24"/>
          <w:szCs w:val="24"/>
          <w:lang w:eastAsia="pl-PL"/>
        </w:rPr>
        <w:t>em</w:t>
      </w:r>
      <w:r w:rsidR="0082666B" w:rsidRPr="005C06CC">
        <w:rPr>
          <w:rFonts w:ascii="Cambria" w:eastAsia="Times New Roman" w:hAnsi="Cambria"/>
          <w:sz w:val="24"/>
          <w:szCs w:val="24"/>
          <w:lang w:eastAsia="pl-PL"/>
        </w:rPr>
        <w:t xml:space="preserve"> czynności o charakterze twórczym, które mogłyby być </w:t>
      </w:r>
      <w:r>
        <w:rPr>
          <w:rFonts w:ascii="Cambria" w:eastAsia="Times New Roman" w:hAnsi="Cambria"/>
          <w:sz w:val="24"/>
          <w:szCs w:val="24"/>
          <w:lang w:eastAsia="pl-PL"/>
        </w:rPr>
        <w:t>oceniane</w:t>
      </w:r>
      <w:r w:rsidR="0082666B" w:rsidRPr="005C06CC">
        <w:rPr>
          <w:rFonts w:ascii="Cambria" w:eastAsia="Times New Roman" w:hAnsi="Cambria"/>
          <w:sz w:val="24"/>
          <w:szCs w:val="24"/>
          <w:lang w:eastAsia="pl-PL"/>
        </w:rPr>
        <w:t xml:space="preserve"> z punktu widzenia </w:t>
      </w:r>
      <w:r>
        <w:rPr>
          <w:rFonts w:ascii="Cambria" w:eastAsia="Times New Roman" w:hAnsi="Cambria"/>
          <w:sz w:val="24"/>
          <w:szCs w:val="24"/>
          <w:lang w:eastAsia="pl-PL"/>
        </w:rPr>
        <w:t xml:space="preserve">możliwości objęcia ich </w:t>
      </w:r>
      <w:r w:rsidR="0082666B" w:rsidRPr="005C06CC">
        <w:rPr>
          <w:rFonts w:ascii="Cambria" w:eastAsia="Times New Roman" w:hAnsi="Cambria"/>
          <w:sz w:val="24"/>
          <w:szCs w:val="24"/>
          <w:lang w:eastAsia="pl-PL"/>
        </w:rPr>
        <w:t>ochron</w:t>
      </w:r>
      <w:r>
        <w:rPr>
          <w:rFonts w:ascii="Cambria" w:eastAsia="Times New Roman" w:hAnsi="Cambria"/>
          <w:sz w:val="24"/>
          <w:szCs w:val="24"/>
          <w:lang w:eastAsia="pl-PL"/>
        </w:rPr>
        <w:t>ą</w:t>
      </w:r>
      <w:r w:rsidR="0082666B" w:rsidRPr="005C06CC">
        <w:rPr>
          <w:rFonts w:ascii="Cambria" w:eastAsia="Times New Roman" w:hAnsi="Cambria"/>
          <w:sz w:val="24"/>
          <w:szCs w:val="24"/>
          <w:lang w:eastAsia="pl-PL"/>
        </w:rPr>
        <w:t xml:space="preserve"> prawnoautorsk</w:t>
      </w:r>
      <w:r>
        <w:rPr>
          <w:rFonts w:ascii="Cambria" w:eastAsia="Times New Roman" w:hAnsi="Cambria"/>
          <w:sz w:val="24"/>
          <w:szCs w:val="24"/>
          <w:lang w:eastAsia="pl-PL"/>
        </w:rPr>
        <w:t>ą</w:t>
      </w:r>
      <w:r w:rsidR="0082666B" w:rsidRPr="005C06CC">
        <w:rPr>
          <w:rFonts w:ascii="Cambria" w:eastAsia="Times New Roman" w:hAnsi="Cambria"/>
          <w:sz w:val="24"/>
          <w:szCs w:val="24"/>
          <w:lang w:eastAsia="pl-PL"/>
        </w:rPr>
        <w:t xml:space="preserve">. </w:t>
      </w:r>
    </w:p>
    <w:p w14:paraId="3DF26ABE" w14:textId="77777777" w:rsidR="0082666B" w:rsidRPr="005C06CC" w:rsidRDefault="0082666B" w:rsidP="0082666B">
      <w:pPr>
        <w:spacing w:after="120" w:line="276" w:lineRule="auto"/>
        <w:ind w:firstLine="360"/>
        <w:jc w:val="both"/>
        <w:rPr>
          <w:rFonts w:ascii="Cambria" w:eastAsia="Times New Roman" w:hAnsi="Cambria"/>
          <w:sz w:val="24"/>
          <w:szCs w:val="24"/>
          <w:lang w:eastAsia="pl-PL"/>
        </w:rPr>
      </w:pPr>
      <w:r w:rsidRPr="005C06CC">
        <w:rPr>
          <w:rFonts w:ascii="Cambria" w:eastAsia="Times New Roman" w:hAnsi="Cambria"/>
          <w:sz w:val="24"/>
          <w:szCs w:val="24"/>
          <w:lang w:eastAsia="pl-PL"/>
        </w:rPr>
        <w:t xml:space="preserve">W publikacji pt. </w:t>
      </w:r>
      <w:r w:rsidRPr="005C06CC">
        <w:rPr>
          <w:rFonts w:ascii="Cambria" w:eastAsia="Times New Roman" w:hAnsi="Cambria"/>
          <w:i/>
          <w:iCs/>
          <w:sz w:val="24"/>
          <w:szCs w:val="24"/>
          <w:lang w:eastAsia="pl-PL"/>
        </w:rPr>
        <w:t>Konstytucyjne podstawy finansów publicznych</w:t>
      </w:r>
      <w:r w:rsidRPr="005C06CC">
        <w:rPr>
          <w:rFonts w:ascii="Cambria" w:eastAsia="Times New Roman" w:hAnsi="Cambria"/>
          <w:sz w:val="24"/>
          <w:szCs w:val="24"/>
          <w:lang w:eastAsia="pl-PL"/>
        </w:rPr>
        <w:t xml:space="preserve">, [w:] </w:t>
      </w:r>
      <w:r w:rsidRPr="005C06CC">
        <w:rPr>
          <w:rFonts w:ascii="Cambria" w:eastAsia="Times New Roman" w:hAnsi="Cambria"/>
          <w:i/>
          <w:iCs/>
          <w:sz w:val="24"/>
          <w:szCs w:val="24"/>
          <w:lang w:eastAsia="pl-PL"/>
        </w:rPr>
        <w:t>Prawo finansów publicznych. Vademecum akademickie</w:t>
      </w:r>
      <w:r w:rsidRPr="005C06CC">
        <w:rPr>
          <w:rFonts w:ascii="Cambria" w:eastAsia="Times New Roman" w:hAnsi="Cambria"/>
          <w:sz w:val="24"/>
          <w:szCs w:val="24"/>
          <w:lang w:eastAsia="pl-PL"/>
        </w:rPr>
        <w:t xml:space="preserve">, red. P. Smoleń, Warszawa 2022, </w:t>
      </w:r>
      <w:r>
        <w:rPr>
          <w:rFonts w:ascii="Cambria" w:eastAsia="Times New Roman" w:hAnsi="Cambria"/>
          <w:sz w:val="24"/>
          <w:szCs w:val="24"/>
          <w:lang w:eastAsia="pl-PL"/>
        </w:rPr>
        <w:t xml:space="preserve">Wolters Kluwer S. A., </w:t>
      </w:r>
      <w:r w:rsidRPr="005C06CC">
        <w:rPr>
          <w:rFonts w:ascii="Cambria" w:eastAsia="Times New Roman" w:hAnsi="Cambria"/>
          <w:sz w:val="24"/>
          <w:szCs w:val="24"/>
          <w:lang w:eastAsia="pl-PL"/>
        </w:rPr>
        <w:t>ISBN: 978-83-8286-549-3, s. 23-31 zarysowano ramy pojęciowe prawa finansowego i prawa finansów publicznych w świetle konstytucyjnego systemu źródeł prawa oraz opisano podstawowe instytucje gospodarki finansowej zawarte w rozdziale X Konstytucji RP. Publikacja ma charakter przede wszystkim dydaktyczny, stąd też zwrócono uwagę na podstawowe zagadnienia związane z funkcjonowaniem finansów publicznych w optyce konstytucyjnej, zwłaszcza rozumienie pojęć: ustawy budżetowej a budżet państwa, publiczna działalność finansowa.</w:t>
      </w:r>
    </w:p>
    <w:p w14:paraId="17F5C402" w14:textId="653960CE" w:rsidR="0082666B" w:rsidRPr="005C06CC" w:rsidRDefault="0082666B" w:rsidP="0082666B">
      <w:pPr>
        <w:spacing w:after="120" w:line="276" w:lineRule="auto"/>
        <w:ind w:firstLine="360"/>
        <w:jc w:val="both"/>
        <w:rPr>
          <w:rFonts w:ascii="Cambria" w:eastAsia="Times New Roman" w:hAnsi="Cambria"/>
          <w:sz w:val="24"/>
          <w:szCs w:val="24"/>
          <w:lang w:eastAsia="pl-PL"/>
        </w:rPr>
      </w:pPr>
      <w:r w:rsidRPr="005C06CC">
        <w:rPr>
          <w:rFonts w:ascii="Cambria" w:eastAsia="Times New Roman" w:hAnsi="Cambria"/>
          <w:sz w:val="24"/>
          <w:szCs w:val="24"/>
          <w:lang w:eastAsia="pl-PL"/>
        </w:rPr>
        <w:lastRenderedPageBreak/>
        <w:t>Wśród publikacji (monografii współautorskiej, artykułów naukowych i rozdziałów w monografiach) odnoszących się do zagadnień finansowoprawnych i podatkowych w obrębie funkcjonowania jednostek systemu szkolnictwa wyższego i nauki wypada wskazać w szczególności</w:t>
      </w:r>
      <w:r>
        <w:rPr>
          <w:rFonts w:ascii="Cambria" w:eastAsia="Times New Roman" w:hAnsi="Cambria"/>
          <w:sz w:val="24"/>
          <w:szCs w:val="24"/>
          <w:lang w:eastAsia="pl-PL"/>
        </w:rPr>
        <w:t xml:space="preserve"> na</w:t>
      </w:r>
      <w:r w:rsidRPr="005C06CC">
        <w:rPr>
          <w:rFonts w:ascii="Cambria" w:eastAsia="Times New Roman" w:hAnsi="Cambria"/>
          <w:sz w:val="24"/>
          <w:szCs w:val="24"/>
          <w:lang w:eastAsia="pl-PL"/>
        </w:rPr>
        <w:t xml:space="preserve">: </w:t>
      </w:r>
      <w:r w:rsidRPr="005C06CC">
        <w:rPr>
          <w:rFonts w:ascii="Cambria" w:eastAsia="Times New Roman" w:hAnsi="Cambria"/>
          <w:i/>
          <w:iCs/>
          <w:sz w:val="24"/>
          <w:szCs w:val="24"/>
          <w:lang w:eastAsia="pl-PL"/>
        </w:rPr>
        <w:t xml:space="preserve">Taxes in the higher education system in Poland. </w:t>
      </w:r>
      <w:r w:rsidRPr="005C06CC">
        <w:rPr>
          <w:rFonts w:ascii="Cambria" w:eastAsia="Times New Roman" w:hAnsi="Cambria"/>
          <w:i/>
          <w:iCs/>
          <w:sz w:val="24"/>
          <w:szCs w:val="24"/>
          <w:lang w:val="en-GB" w:eastAsia="pl-PL"/>
        </w:rPr>
        <w:t>Selected issues concerning CIT, PIT and VAT</w:t>
      </w:r>
      <w:r w:rsidRPr="005C06CC">
        <w:rPr>
          <w:rFonts w:ascii="Cambria" w:eastAsia="Times New Roman" w:hAnsi="Cambria"/>
          <w:sz w:val="24"/>
          <w:szCs w:val="24"/>
          <w:lang w:val="en-GB" w:eastAsia="pl-PL"/>
        </w:rPr>
        <w:t xml:space="preserve">, Lublin 2020, </w:t>
      </w:r>
      <w:r w:rsidRPr="0092540F">
        <w:rPr>
          <w:rFonts w:ascii="Cambria" w:eastAsia="Times New Roman" w:hAnsi="Cambria"/>
          <w:sz w:val="24"/>
          <w:szCs w:val="24"/>
          <w:lang w:val="en-GB" w:eastAsia="pl-PL"/>
        </w:rPr>
        <w:t>Towarzystwo Naukowe Katolickiego Uniwersytetu Lubelskiego Jana Pawla II</w:t>
      </w:r>
      <w:r>
        <w:rPr>
          <w:rFonts w:ascii="Cambria" w:eastAsia="Times New Roman" w:hAnsi="Cambria"/>
          <w:sz w:val="24"/>
          <w:szCs w:val="24"/>
          <w:lang w:val="en-GB" w:eastAsia="pl-PL"/>
        </w:rPr>
        <w:t xml:space="preserve">, </w:t>
      </w:r>
      <w:r w:rsidRPr="005C06CC">
        <w:rPr>
          <w:rFonts w:ascii="Cambria" w:eastAsia="Times New Roman" w:hAnsi="Cambria"/>
          <w:sz w:val="24"/>
          <w:szCs w:val="24"/>
          <w:lang w:val="en-GB" w:eastAsia="pl-PL"/>
        </w:rPr>
        <w:t xml:space="preserve">ISBN: 978-83-7306-973-2, ss.152; </w:t>
      </w:r>
      <w:r w:rsidRPr="005C06CC">
        <w:rPr>
          <w:rFonts w:ascii="Cambria" w:eastAsia="Times New Roman" w:hAnsi="Cambria"/>
          <w:i/>
          <w:iCs/>
          <w:sz w:val="24"/>
          <w:szCs w:val="24"/>
          <w:lang w:val="en-GB" w:eastAsia="pl-PL"/>
        </w:rPr>
        <w:t xml:space="preserve">Property Tax Exemptions for Polish Higher Education Institutions. </w:t>
      </w:r>
      <w:r w:rsidRPr="005C06CC">
        <w:rPr>
          <w:rFonts w:ascii="Cambria" w:eastAsia="Times New Roman" w:hAnsi="Cambria"/>
          <w:i/>
          <w:iCs/>
          <w:sz w:val="24"/>
          <w:szCs w:val="24"/>
          <w:lang w:eastAsia="pl-PL"/>
        </w:rPr>
        <w:t>Problems and Dilemmas</w:t>
      </w:r>
      <w:r w:rsidRPr="005C06CC">
        <w:rPr>
          <w:rFonts w:ascii="Cambria" w:eastAsia="Times New Roman" w:hAnsi="Cambria"/>
          <w:sz w:val="24"/>
          <w:szCs w:val="24"/>
          <w:lang w:eastAsia="pl-PL"/>
        </w:rPr>
        <w:t xml:space="preserve">, „Lex Localis – Journal of Local Self – Government” 2021, </w:t>
      </w:r>
      <w:r w:rsidRPr="005C06CC">
        <w:rPr>
          <w:rFonts w:ascii="Cambria" w:hAnsi="Cambria"/>
          <w:sz w:val="24"/>
          <w:szCs w:val="24"/>
        </w:rPr>
        <w:t xml:space="preserve">vol. 19, nr 2, s. </w:t>
      </w:r>
      <w:r w:rsidRPr="005C06CC">
        <w:rPr>
          <w:rFonts w:ascii="Cambria" w:eastAsia="Times New Roman" w:hAnsi="Cambria"/>
          <w:sz w:val="24"/>
          <w:szCs w:val="24"/>
          <w:lang w:eastAsia="pl-PL"/>
        </w:rPr>
        <w:t xml:space="preserve">377-395, https://doi.org/10.4335/19.2.377-395(2021); </w:t>
      </w:r>
      <w:r w:rsidRPr="005C06CC">
        <w:rPr>
          <w:rFonts w:ascii="Cambria" w:hAnsi="Cambria"/>
          <w:bCs/>
          <w:i/>
          <w:iCs/>
          <w:sz w:val="24"/>
          <w:szCs w:val="24"/>
        </w:rPr>
        <w:t xml:space="preserve">Finansowoprawne aspekty wsparcia uczelni publicznych przez jednostki samorządu terytorialnego po wstąpieniu Polski do Unii </w:t>
      </w:r>
      <w:r w:rsidRPr="005C06CC">
        <w:rPr>
          <w:rFonts w:ascii="Cambria" w:hAnsi="Cambria"/>
          <w:bCs/>
          <w:sz w:val="24"/>
          <w:szCs w:val="24"/>
        </w:rPr>
        <w:t xml:space="preserve">Europejskiej, [w:] </w:t>
      </w:r>
      <w:r w:rsidRPr="005C06CC">
        <w:rPr>
          <w:rFonts w:ascii="Cambria" w:hAnsi="Cambria"/>
          <w:bCs/>
          <w:i/>
          <w:iCs/>
          <w:sz w:val="24"/>
          <w:szCs w:val="24"/>
        </w:rPr>
        <w:t>Wspólnotowy wymiar samorządu terytorialnego – rzeczywistość a oczekiwania</w:t>
      </w:r>
      <w:r w:rsidRPr="005C06CC">
        <w:rPr>
          <w:rFonts w:ascii="Cambria" w:hAnsi="Cambria"/>
          <w:bCs/>
          <w:sz w:val="24"/>
          <w:szCs w:val="24"/>
        </w:rPr>
        <w:t>, red. M. Stec, K. Małysa – Sulińska, Wolters Kluwer S. A., Warszawa 2022, s. 127-142</w:t>
      </w:r>
      <w:r w:rsidR="005E36AB">
        <w:rPr>
          <w:rFonts w:ascii="Cambria" w:hAnsi="Cambria"/>
          <w:bCs/>
          <w:sz w:val="24"/>
          <w:szCs w:val="24"/>
        </w:rPr>
        <w:t xml:space="preserve"> (oddane do druku)</w:t>
      </w:r>
      <w:r w:rsidRPr="005C06CC">
        <w:rPr>
          <w:rFonts w:ascii="Cambria" w:hAnsi="Cambria"/>
          <w:bCs/>
          <w:sz w:val="24"/>
          <w:szCs w:val="24"/>
        </w:rPr>
        <w:t xml:space="preserve">; </w:t>
      </w:r>
      <w:r w:rsidRPr="005C06CC">
        <w:rPr>
          <w:rFonts w:ascii="Cambria" w:eastAsia="Times New Roman" w:hAnsi="Cambria"/>
          <w:i/>
          <w:iCs/>
          <w:sz w:val="24"/>
          <w:szCs w:val="24"/>
          <w:lang w:eastAsia="pl-PL"/>
        </w:rPr>
        <w:t>Zwolnienie stypendiów z PIT a warunek ich zatwierdzenia przez ministra właściwego do spraw szkolnictwa wyższego i nauki. Glosa krytyczna do wyroku NSA z dnia 4 listopada 2020 r., II FSK 1774/18, LEX nr 3079981</w:t>
      </w:r>
      <w:r w:rsidRPr="005C06CC">
        <w:rPr>
          <w:rFonts w:ascii="Cambria" w:eastAsia="Times New Roman" w:hAnsi="Cambria"/>
          <w:sz w:val="24"/>
          <w:szCs w:val="24"/>
          <w:lang w:eastAsia="pl-PL"/>
        </w:rPr>
        <w:t>, „Krytyka Prawa. Studia niezależne nad prawem” 2022, nr 3 (oddane do druku);</w:t>
      </w:r>
      <w:r w:rsidRPr="005C06CC">
        <w:rPr>
          <w:rFonts w:ascii="Cambria" w:eastAsia="Times New Roman" w:hAnsi="Cambria"/>
          <w:i/>
          <w:iCs/>
          <w:sz w:val="24"/>
          <w:szCs w:val="24"/>
          <w:lang w:eastAsia="pl-PL"/>
        </w:rPr>
        <w:t xml:space="preserve"> Przekazanie przez uczelnię nieruchomości w posiadanie zależne a stosowanie zwolnienia podatkowego. Glosa częściowo aprobująca do wyroku Wojewódzkiego Sądu Administracyjnego w Gorzowie Wielkopolskim z dnia 20 listopada 2019 r., I SA/Go 668/19, LEX nr 2749256</w:t>
      </w:r>
      <w:r w:rsidRPr="005C06CC">
        <w:rPr>
          <w:rFonts w:ascii="Cambria" w:eastAsia="Times New Roman" w:hAnsi="Cambria"/>
          <w:sz w:val="24"/>
          <w:szCs w:val="24"/>
          <w:lang w:eastAsia="pl-PL"/>
        </w:rPr>
        <w:t xml:space="preserve"> (współautor: P. Smoleń), „Studia Prawnicze KUL” 2021, nr 1(85), s. 307-320, DOI: https://doi.org/10.31743/sp.11152; </w:t>
      </w:r>
      <w:r w:rsidRPr="005C06CC">
        <w:rPr>
          <w:rFonts w:ascii="Cambria" w:eastAsia="Times New Roman" w:hAnsi="Cambria"/>
          <w:i/>
          <w:iCs/>
          <w:sz w:val="24"/>
          <w:szCs w:val="24"/>
          <w:lang w:eastAsia="pl-PL"/>
        </w:rPr>
        <w:t>Opodatkowanie domów studenckich. Kilka uwag na tle orzecznictwa</w:t>
      </w:r>
      <w:r w:rsidRPr="005C06CC">
        <w:rPr>
          <w:rFonts w:ascii="Cambria" w:eastAsia="Times New Roman" w:hAnsi="Cambria"/>
          <w:sz w:val="24"/>
          <w:szCs w:val="24"/>
          <w:lang w:eastAsia="pl-PL"/>
        </w:rPr>
        <w:t xml:space="preserve">, [w:] </w:t>
      </w:r>
      <w:r w:rsidRPr="005C06CC">
        <w:rPr>
          <w:rFonts w:ascii="Cambria" w:eastAsia="Times New Roman" w:hAnsi="Cambria"/>
          <w:i/>
          <w:iCs/>
          <w:sz w:val="24"/>
          <w:szCs w:val="24"/>
          <w:lang w:eastAsia="pl-PL"/>
        </w:rPr>
        <w:t>Rodzina, prawo i kultura w zglobalizowanym świecie</w:t>
      </w:r>
      <w:r w:rsidRPr="005C06CC">
        <w:rPr>
          <w:rFonts w:ascii="Cambria" w:eastAsia="Times New Roman" w:hAnsi="Cambria"/>
          <w:sz w:val="24"/>
          <w:szCs w:val="24"/>
          <w:lang w:eastAsia="pl-PL"/>
        </w:rPr>
        <w:t xml:space="preserve">, red. J. Kozłowska, M. Iwaniuk, Lublin 2021, </w:t>
      </w:r>
      <w:r>
        <w:rPr>
          <w:rFonts w:ascii="Times New Roman" w:eastAsia="Times New Roman" w:hAnsi="Times New Roman"/>
          <w:sz w:val="24"/>
          <w:szCs w:val="24"/>
          <w:lang w:eastAsia="pl-PL"/>
        </w:rPr>
        <w:t>Wydawnictwo Naukowe TYGIEL</w:t>
      </w:r>
      <w:r>
        <w:rPr>
          <w:rFonts w:ascii="Cambria" w:eastAsia="Times New Roman" w:hAnsi="Cambria"/>
          <w:sz w:val="24"/>
          <w:szCs w:val="24"/>
          <w:lang w:eastAsia="pl-PL"/>
        </w:rPr>
        <w:t xml:space="preserve">, </w:t>
      </w:r>
      <w:r w:rsidRPr="005C06CC">
        <w:rPr>
          <w:rFonts w:ascii="Cambria" w:eastAsia="Times New Roman" w:hAnsi="Cambria"/>
          <w:sz w:val="24"/>
          <w:szCs w:val="24"/>
          <w:lang w:eastAsia="pl-PL"/>
        </w:rPr>
        <w:t xml:space="preserve">ISBN 978-83-66489-71-4, s. 76-85. </w:t>
      </w:r>
    </w:p>
    <w:p w14:paraId="4A6D310E" w14:textId="043E8756" w:rsidR="0082666B" w:rsidRPr="005C06CC" w:rsidRDefault="0082666B" w:rsidP="0082666B">
      <w:pPr>
        <w:spacing w:after="120" w:line="276" w:lineRule="auto"/>
        <w:ind w:firstLine="708"/>
        <w:jc w:val="both"/>
        <w:rPr>
          <w:rFonts w:ascii="Cambria" w:hAnsi="Cambria"/>
          <w:sz w:val="24"/>
          <w:szCs w:val="24"/>
        </w:rPr>
      </w:pPr>
      <w:r w:rsidRPr="005C06CC">
        <w:rPr>
          <w:rFonts w:ascii="Cambria" w:hAnsi="Cambria"/>
          <w:sz w:val="24"/>
          <w:szCs w:val="24"/>
        </w:rPr>
        <w:t xml:space="preserve">Opracowanie i skuteczne wdrożenie racjonalnej strategii działania w obrębie szeroko rozumianej sfery szkolnictwa wyższego i nauki jawi się jako niezwykle istotne i trudne w realizacji wyzwanie. Sprostać muszą mu nie tylko decydenci w zakresie bieżących działań, tak w wymiarze krajowym, jak wspólnotowym, ale także twórcy określonych instrumentów finansowoprawnych kreujących kierunek i treść określonej strategii. Polityka w zakresie edukacji i badań naukowych stanowi ważny obszar współczesnych systemów prawnych, w ramach których podejmowane są różnorodne próby uregulowania tej problematyki. Wynika to przede wszystkim z samej natury tego wielopłaszczyznowego obszaru. O ile sama idea przeprowadzenia niezbędnych reform nie budzi większych zastrzeżeń, o tyle sposób realizacji, wybór konkretnych instrumentów i ich legislacyjny kształt, wywołują szereg kontrowersji. W tym przypadku dochodzi do wyjątkowej kumulacji i wzajemnego przenikania się dylematów natury społecznej, gospodarczej, a nawet politycznej. U podstaw reformy szkolnictwa wyższego w Polsce legła przede wszystkim relatywnie niska ocena efektywności uniwersyteckich badań naukowych. W szerokiej grupie problemów kształtujących taki stan rzeczy wskazano na szereg elementów o charakterze systemowym. W ocenie rządu są to, m. in. wadliwa organizacja i ustrój uczelni a także niewystarczający poziom wsparcia finansowego. Uwypuklono, że w ostatnim z wymienionych obszarów chodzi nie tylko o zwiększenie puli strumieni finansowania uniwersytetów z budżetu państwa, ale także o </w:t>
      </w:r>
      <w:r w:rsidRPr="005C06CC">
        <w:rPr>
          <w:rFonts w:ascii="Cambria" w:hAnsi="Cambria"/>
          <w:sz w:val="24"/>
          <w:szCs w:val="24"/>
        </w:rPr>
        <w:lastRenderedPageBreak/>
        <w:t xml:space="preserve">poprawę efektywności uregulowań, mających na celu wpieranie efektywnego rozwoju szkolnictwa wyższego. Dlatego też w zakresie podejmowanej problematyki niezbędne było poruszenie problematyki związanej z dywersyfikacją  źródeł finansowania (zob. </w:t>
      </w:r>
      <w:r w:rsidRPr="005C06CC">
        <w:rPr>
          <w:rFonts w:ascii="Cambria" w:hAnsi="Cambria"/>
          <w:bCs/>
          <w:i/>
          <w:iCs/>
          <w:sz w:val="24"/>
          <w:szCs w:val="24"/>
        </w:rPr>
        <w:t xml:space="preserve">Finansowoprawne aspekty wsparcia uczelni publicznych przez jednostki samorządu terytorialnego po wstąpieniu Polski do Unii </w:t>
      </w:r>
      <w:r w:rsidRPr="005C06CC">
        <w:rPr>
          <w:rFonts w:ascii="Cambria" w:hAnsi="Cambria"/>
          <w:bCs/>
          <w:sz w:val="24"/>
          <w:szCs w:val="24"/>
        </w:rPr>
        <w:t xml:space="preserve">Europejskiej, [w:] </w:t>
      </w:r>
      <w:r w:rsidRPr="005C06CC">
        <w:rPr>
          <w:rFonts w:ascii="Cambria" w:hAnsi="Cambria"/>
          <w:bCs/>
          <w:i/>
          <w:iCs/>
          <w:sz w:val="24"/>
          <w:szCs w:val="24"/>
        </w:rPr>
        <w:t>Wspólnotowy wymiar samorządu terytorialnego – rzeczywistość a oczekiwania</w:t>
      </w:r>
      <w:r w:rsidRPr="005C06CC">
        <w:rPr>
          <w:rFonts w:ascii="Cambria" w:hAnsi="Cambria"/>
          <w:bCs/>
          <w:sz w:val="24"/>
          <w:szCs w:val="24"/>
        </w:rPr>
        <w:t>, red. M. Stec, K. Małysa – Sulińska, Wolters Kluwer S. A., Warszawa 2022, s. 127-142</w:t>
      </w:r>
      <w:r w:rsidR="005E36AB">
        <w:rPr>
          <w:rFonts w:ascii="Cambria" w:hAnsi="Cambria"/>
          <w:bCs/>
          <w:sz w:val="24"/>
          <w:szCs w:val="24"/>
        </w:rPr>
        <w:t>, oddane do druku</w:t>
      </w:r>
      <w:r w:rsidRPr="005C06CC">
        <w:rPr>
          <w:rFonts w:ascii="Cambria" w:hAnsi="Cambria"/>
          <w:bCs/>
          <w:sz w:val="24"/>
          <w:szCs w:val="24"/>
        </w:rPr>
        <w:t>)</w:t>
      </w:r>
      <w:r w:rsidRPr="005C06CC">
        <w:rPr>
          <w:rFonts w:ascii="Cambria" w:hAnsi="Cambria"/>
          <w:sz w:val="24"/>
          <w:szCs w:val="24"/>
        </w:rPr>
        <w:t xml:space="preserve">. </w:t>
      </w:r>
    </w:p>
    <w:p w14:paraId="67B64285" w14:textId="77777777" w:rsidR="00F07618" w:rsidRDefault="0082666B" w:rsidP="0082666B">
      <w:pPr>
        <w:spacing w:after="120" w:line="276" w:lineRule="auto"/>
        <w:ind w:firstLine="708"/>
        <w:jc w:val="both"/>
        <w:rPr>
          <w:rFonts w:ascii="Cambria" w:hAnsi="Cambria"/>
          <w:color w:val="000000"/>
          <w:sz w:val="24"/>
          <w:szCs w:val="24"/>
        </w:rPr>
      </w:pPr>
      <w:r w:rsidRPr="005C06CC">
        <w:rPr>
          <w:rFonts w:ascii="Cambria" w:hAnsi="Cambria"/>
          <w:sz w:val="24"/>
          <w:szCs w:val="24"/>
        </w:rPr>
        <w:t xml:space="preserve">W analizowanym obszarze szczególną pozycje zajmują rozwiązania podatkowe. Unormowania podatkowe niejako z natury rzeczy w sposób bezpośredni oddziałują nie tylko na efektywność organizacyjną szkolnictwa wyższego, ale także w bardzo szerokim wymiarze na sytuację prawną jego pracowników. </w:t>
      </w:r>
      <w:r w:rsidRPr="005C06CC">
        <w:rPr>
          <w:rFonts w:ascii="Cambria" w:hAnsi="Cambria"/>
          <w:color w:val="000000"/>
          <w:sz w:val="24"/>
          <w:szCs w:val="24"/>
        </w:rPr>
        <w:t xml:space="preserve">W tym kontekście istotne staje się nie tylko zapewnienie właściwych dochodów z budżetu centralnego, ale także stworzenie przyjaznego, a nawet preferencyjnego otoczenia prawnego pozwalającego na skuteczne obniżenie kosztów funkcjonowania poprzez wykluczenie lub ograniczenie ciężarów podatkowych. W polskim otoczeniu prawnym szczególne znaczenie mają w tym względzie podatki państwowe (podatek dochodowy od osób prawnych, podatek dochodowy od osób fizycznych oraz podatek od towarów i usług) oraz </w:t>
      </w:r>
      <w:r w:rsidR="00F07618">
        <w:rPr>
          <w:rFonts w:ascii="Cambria" w:hAnsi="Cambria"/>
          <w:color w:val="000000"/>
          <w:sz w:val="24"/>
          <w:szCs w:val="24"/>
        </w:rPr>
        <w:t xml:space="preserve">podatki </w:t>
      </w:r>
      <w:r w:rsidRPr="005C06CC">
        <w:rPr>
          <w:rFonts w:ascii="Cambria" w:hAnsi="Cambria"/>
          <w:color w:val="000000"/>
          <w:sz w:val="24"/>
          <w:szCs w:val="24"/>
        </w:rPr>
        <w:t xml:space="preserve">samorządowe (zwłaszcza podatek od nieruchomości). </w:t>
      </w:r>
    </w:p>
    <w:p w14:paraId="59FFC5FE" w14:textId="1375D10B" w:rsidR="0082666B" w:rsidRPr="005C06CC" w:rsidRDefault="0082666B" w:rsidP="0082666B">
      <w:pPr>
        <w:spacing w:after="120" w:line="276" w:lineRule="auto"/>
        <w:ind w:firstLine="708"/>
        <w:jc w:val="both"/>
        <w:rPr>
          <w:rFonts w:ascii="Cambria" w:hAnsi="Cambria"/>
          <w:sz w:val="24"/>
          <w:szCs w:val="24"/>
        </w:rPr>
      </w:pPr>
      <w:r w:rsidRPr="005C06CC">
        <w:rPr>
          <w:rFonts w:ascii="Cambria" w:hAnsi="Cambria"/>
          <w:color w:val="000000"/>
          <w:sz w:val="24"/>
          <w:szCs w:val="24"/>
        </w:rPr>
        <w:t>W ujęciu podatkowoprawnym uczelnie i inne jednostki szkolnictwa wyższego mogą wystąpić w podwójnej roli: podatnika i płatnika podatku. W obu wariantach w praktyce wyłania się szereg zagadnień merytorycznych mających wpływ nie tylko na ich bieżącą działalność, ale także na możliwości rozwoju. Niezależnie od tego znaczna część rozwiązań podatkowoprawnych adresowana jest bezpośrednio do nauczycieli akademickich. Wpływa to dwutorowo na ich sytuację. Z jednej strony kształtuje sytuację osobistą w zakresie możliwości ponoszenia bieżących wydatków (w tym ciężarów publicznych). Z drugiej determinuje działania związane z prowadzonymi badaniami i ogólnym rozwojem naukowym.</w:t>
      </w:r>
      <w:r w:rsidRPr="005C06CC">
        <w:rPr>
          <w:rFonts w:ascii="Cambria" w:hAnsi="Cambria"/>
          <w:sz w:val="24"/>
          <w:szCs w:val="24"/>
        </w:rPr>
        <w:t xml:space="preserve"> Stąd też w monografii współautorskiej </w:t>
      </w:r>
      <w:r w:rsidRPr="005C06CC">
        <w:rPr>
          <w:rFonts w:ascii="Cambria" w:eastAsia="Times New Roman" w:hAnsi="Cambria"/>
          <w:i/>
          <w:iCs/>
          <w:sz w:val="24"/>
          <w:szCs w:val="24"/>
          <w:lang w:eastAsia="pl-PL"/>
        </w:rPr>
        <w:t>Taxes in the higher education system in Poland. Selected issues concerning CIT, PIT and VAT</w:t>
      </w:r>
      <w:r w:rsidRPr="005C06CC">
        <w:rPr>
          <w:rFonts w:ascii="Cambria" w:eastAsia="Times New Roman" w:hAnsi="Cambria"/>
          <w:sz w:val="24"/>
          <w:szCs w:val="24"/>
          <w:lang w:eastAsia="pl-PL"/>
        </w:rPr>
        <w:t xml:space="preserve">, Lublin 2020, </w:t>
      </w:r>
      <w:r w:rsidRPr="0092540F">
        <w:rPr>
          <w:rFonts w:ascii="Cambria" w:eastAsia="Times New Roman" w:hAnsi="Cambria"/>
          <w:sz w:val="24"/>
          <w:szCs w:val="24"/>
          <w:lang w:eastAsia="pl-PL"/>
        </w:rPr>
        <w:t>Towarzystwo Naukowe Katolickiego Uniwersytetu Lubelskiego Jana Pawla II</w:t>
      </w:r>
      <w:r>
        <w:rPr>
          <w:rFonts w:ascii="Cambria" w:eastAsia="Times New Roman" w:hAnsi="Cambria"/>
          <w:sz w:val="24"/>
          <w:szCs w:val="24"/>
          <w:lang w:eastAsia="pl-PL"/>
        </w:rPr>
        <w:t xml:space="preserve">, </w:t>
      </w:r>
      <w:r w:rsidRPr="005C06CC">
        <w:rPr>
          <w:rFonts w:ascii="Cambria" w:eastAsia="Times New Roman" w:hAnsi="Cambria"/>
          <w:sz w:val="24"/>
          <w:szCs w:val="24"/>
          <w:lang w:eastAsia="pl-PL"/>
        </w:rPr>
        <w:t xml:space="preserve">ISBN: 978-83-7306-973-2, ss.15 </w:t>
      </w:r>
      <w:r w:rsidRPr="005C06CC">
        <w:rPr>
          <w:rFonts w:ascii="Cambria" w:hAnsi="Cambria"/>
          <w:color w:val="000000"/>
          <w:sz w:val="24"/>
          <w:szCs w:val="24"/>
        </w:rPr>
        <w:t xml:space="preserve">przeprowadzono analizę obejmującą wybrane regulacje dotyczące podatków zasilających budżet państwa: podatku dochodowego od osób prawnych (CIT), podatku dochodowego od osób fizycznych (PIT) oraz podatku od towarów i usług (VAT). Za główny cel badawczy przyjęto próbę odpowiedzi na pytania w jaki sposób, przy pomocy jakich instrumentów podatkowoprawnych i w jakim zakresie realizowana jest polityka państwa wobec szkolnictwa wyższego. Dokonanie szczegółowej analizy uregulowań podatkowych pozwoliło na ich wieloaspektową weryfikację, przede wszystkim w kontekście skuteczności prawnej i wewnętrznej spójności konstrukcji podatkowych, ale i zachodzących związków z innymi gałęziami prawa np. prawem autorskim, czy prawem przedsiębiorców. Taka struktura przeprowadzonych badań pozwoliła na sformułowanie szeregu ogólnych i szczegółowych wniosków </w:t>
      </w:r>
      <w:r w:rsidRPr="005C06CC">
        <w:rPr>
          <w:rFonts w:ascii="Cambria" w:hAnsi="Cambria"/>
          <w:i/>
          <w:iCs/>
          <w:color w:val="000000"/>
          <w:sz w:val="24"/>
          <w:szCs w:val="24"/>
        </w:rPr>
        <w:t>de lege lata</w:t>
      </w:r>
      <w:r w:rsidRPr="005C06CC">
        <w:rPr>
          <w:rFonts w:ascii="Cambria" w:hAnsi="Cambria"/>
          <w:color w:val="000000"/>
          <w:sz w:val="24"/>
          <w:szCs w:val="24"/>
        </w:rPr>
        <w:t xml:space="preserve"> i </w:t>
      </w:r>
      <w:r w:rsidRPr="005C06CC">
        <w:rPr>
          <w:rFonts w:ascii="Cambria" w:hAnsi="Cambria"/>
          <w:i/>
          <w:iCs/>
          <w:color w:val="000000"/>
          <w:sz w:val="24"/>
          <w:szCs w:val="24"/>
        </w:rPr>
        <w:t>de lege ferenda</w:t>
      </w:r>
      <w:r w:rsidRPr="005C06CC">
        <w:rPr>
          <w:rFonts w:ascii="Cambria" w:hAnsi="Cambria"/>
          <w:color w:val="000000"/>
          <w:sz w:val="24"/>
          <w:szCs w:val="24"/>
        </w:rPr>
        <w:t>.  Dostrzeżono, że w</w:t>
      </w:r>
      <w:r w:rsidRPr="005C06CC">
        <w:rPr>
          <w:rFonts w:ascii="Cambria" w:hAnsi="Cambria"/>
          <w:bCs/>
          <w:sz w:val="24"/>
          <w:szCs w:val="24"/>
        </w:rPr>
        <w:t xml:space="preserve"> ustawach regulujących podatki: CIT, PIT i VAT zawarto szereg instrumentów, które w sposób bezpośredni adresowane są do sektora szkolnictwa </w:t>
      </w:r>
      <w:r w:rsidRPr="005C06CC">
        <w:rPr>
          <w:rFonts w:ascii="Cambria" w:hAnsi="Cambria"/>
          <w:bCs/>
          <w:sz w:val="24"/>
          <w:szCs w:val="24"/>
        </w:rPr>
        <w:lastRenderedPageBreak/>
        <w:t xml:space="preserve">wyższego. Co przy tym ważne, w swym głównym założeniu stanowią one różnorodne formy preferencji podatkowych, tak o charakterze instytucjonalnym, jak i personalnym dotyczącym kadry naukowej. Posiadają one różną naturę prawną. Jedne z nich prowadzą do wyłączenia z opodatkowania. Inne pozwalają znacząco obniżyć wielkość podatku. Część z nich ma także charakter stymulacyjny. Ich rolą jest zachęcenie środowiska akademickiego do podjęcia działań mających na celu, ogólnie ujmując,  rozwój poziomu kształcenia i  badań naukowych. Na ogół przyjmują postać podmiotowych lub przedmiotowych zwolnień podatkowych, bądź innych instrumentów polityki podatkowej pozwalających na znaczące obniżenie ciężaru podatkowego (np. ulgi podatkowe, czy podwyższone koszty uzyskania przychodu). Ogólne spojrzenie na obowiązujące regulacje pozwala odnieść pozytywne wrażenie, korespondujące z treścią wspomnianych deklaracji co do zakładanych kierunków reformy szkolnictwa wyższego. Szczegółowa analiza jednak nie zawsze pozwala wysnuć tak optymistyczne wnioski. Dotyczy to zwłaszcza praktyki stosowania tych rozwiązań. Wynika to zarówno z wadliwych konstrukcji podatkowych, jak i braku koherencji przepisów podatkowych i unormowań z innych dziedzin prawa, a także  - co szczególnie może dziwić -  rozbieżności z przyjętymi założeniami systemowymi aplikowanej reformy szkolnictwa wyższego. </w:t>
      </w:r>
      <w:r w:rsidRPr="005C06CC">
        <w:rPr>
          <w:rFonts w:ascii="Cambria" w:hAnsi="Cambria"/>
          <w:sz w:val="24"/>
          <w:szCs w:val="24"/>
        </w:rPr>
        <w:t>Trudności praktyczne w stosowaniu powyższych instrumentów wynikają z wielu przyczyn. Wśród nich wypada wymienić przede wszystkim: dużą labilność przepisów polskiego prawa podatkowego, wady w konstrukcji poszczególnych instrumentów podatkowych, znaczące rozbieżności interpretacyjne w orzecznictwie organów podatkowych i s</w:t>
      </w:r>
      <w:r w:rsidR="00F07618">
        <w:rPr>
          <w:rFonts w:ascii="Cambria" w:hAnsi="Cambria"/>
          <w:sz w:val="24"/>
          <w:szCs w:val="24"/>
        </w:rPr>
        <w:t>ą</w:t>
      </w:r>
      <w:r w:rsidRPr="005C06CC">
        <w:rPr>
          <w:rFonts w:ascii="Cambria" w:hAnsi="Cambria"/>
          <w:sz w:val="24"/>
          <w:szCs w:val="24"/>
        </w:rPr>
        <w:t>dów administracyjnych, a przede wszystkim brak wewnętrznie spójnego, systemowego ujęcia działań legislacyjnych wobec szkolnictwa wyższego.</w:t>
      </w:r>
    </w:p>
    <w:p w14:paraId="445B8E4B" w14:textId="7986C272" w:rsidR="0082666B" w:rsidRPr="005C06CC" w:rsidRDefault="0082666B" w:rsidP="0082666B">
      <w:pPr>
        <w:spacing w:after="120" w:line="276" w:lineRule="auto"/>
        <w:ind w:firstLine="360"/>
        <w:jc w:val="both"/>
        <w:rPr>
          <w:rFonts w:ascii="Cambria" w:hAnsi="Cambria"/>
          <w:sz w:val="24"/>
          <w:szCs w:val="24"/>
        </w:rPr>
      </w:pPr>
      <w:r w:rsidRPr="005C06CC">
        <w:rPr>
          <w:rFonts w:ascii="Cambria" w:hAnsi="Cambria"/>
          <w:sz w:val="24"/>
          <w:szCs w:val="24"/>
        </w:rPr>
        <w:t xml:space="preserve">Warto również dodać, że sama istota przepisów prawa podatkowego sprawia, iż wykorzystanie tych instrumentów nie jest łatwe. Przepisy dotyczące zwolnień i ulg podatkowych stanowią wyjątek od reguły powszechności opodatkowania. Jest to zasada wynikająca z Konstytucji Rzeczypospolitej Polskiej. Skoro przepisy dotyczące ulg i zwolnień podatkowych stanowią wyjątek od zasady powszechności opodatkowania, to powinny być ściśle określone przez prawo, a podatnik nie może oczekiwać innych przywilejów podatkowych aniżeli te, jakie można ustalić na podstawie norm prawnych regulujących ulgi i zwolnienia. To właśnie zgodnie z zasadą równości i sprawiedliwości opodatkowania, wszystkie podmioty znajdujące się w takiej samej sytuacji faktycznej i prawnej powinny być tak samo traktowane przez prawo podatkowe. Ustawodawca posiada przy tym swobodę w określaniu warunków formalnych skorzystania z takich ulg i zwolnień podatkowych. Uprawnienie to wynika wprost z Konstytucji </w:t>
      </w:r>
      <w:r w:rsidR="00F07618">
        <w:rPr>
          <w:rFonts w:ascii="Cambria" w:hAnsi="Cambria"/>
          <w:sz w:val="24"/>
          <w:szCs w:val="24"/>
        </w:rPr>
        <w:t>RP</w:t>
      </w:r>
      <w:r w:rsidRPr="005C06CC">
        <w:rPr>
          <w:rFonts w:ascii="Cambria" w:hAnsi="Cambria"/>
          <w:sz w:val="24"/>
          <w:szCs w:val="24"/>
        </w:rPr>
        <w:t xml:space="preserve">, która stanowi, że nakładanie podatków, innych danin publicznych, określanie podmiotów, przedmiotów opodatkowania i stawek podatkowych, a także zasad przyznawania ulg i umorzeń oraz kategorii podmiotów zwolnionych od podatków następuje w drodze ustawy. Wypada dodać, że ustalenie przez ustawodawcę możliwych do spełnienia przez podatnika warunków formalnych, od których ziszczenia uzależnione jest powstanie lub utrzymanie prawa do ulgi podatkowej, nie narusza zasady państwa prawnego. Założeniem wykładni prawa podatkowego powinno być pogodzenie dwóch przeciwstawnych interesów, tj. interesu Skarbu Państwa oraz podatnika, tj. podmiotu zobowiązanego do zapłaty </w:t>
      </w:r>
      <w:r w:rsidRPr="005C06CC">
        <w:rPr>
          <w:rFonts w:ascii="Cambria" w:hAnsi="Cambria"/>
          <w:sz w:val="24"/>
          <w:szCs w:val="24"/>
        </w:rPr>
        <w:lastRenderedPageBreak/>
        <w:t xml:space="preserve">świadczenia pieniężnego. Wobec powyższego, przy interpretacji unormowań w zakresie przywilejów podatkowych dla szkolnictwa wyższego, za niedopuszczalną uznać należy taką wykładnię, której wynik byłby całkowicie sprzeczny z literalnym brzmieniem analizowanego przepisu. Inne reguły interpretacyjne nie mogą też stanowić podstawy do takiej ingerencji w treść przepisu, która mogłaby zostać kwalifikowana jako działalność prawotwórcza, na którą przecież nie rozciąga się ani kognicja sądów, ani organów podatkowych. Przy tak rygorystycznym przestrzeganiu treści i znaczenia przepisu podatkowego w sposób szczególnie niekorzystny dla podatnika działają wszelkie niedociągnięcia (zaniedbania) w redakcji przepisu. Problematykę tę (tak co do podatków państwowych, jak i samorządowych) rozwinięto zwłaszcza w publikacjach: </w:t>
      </w:r>
      <w:r w:rsidRPr="005C06CC">
        <w:rPr>
          <w:rFonts w:ascii="Cambria" w:eastAsia="Times New Roman" w:hAnsi="Cambria"/>
          <w:i/>
          <w:iCs/>
          <w:sz w:val="24"/>
          <w:szCs w:val="24"/>
          <w:lang w:eastAsia="pl-PL"/>
        </w:rPr>
        <w:t>Zwolnienie stypendiów z PIT a warunek ich zatwierdzenia przez ministra właściwego do spraw szkolnictwa wyższego i nauki. Glosa krytyczna do wyroku NSA z dnia 4 listopada 2020 r., II FSK 1774/18, LEX nr 3079981</w:t>
      </w:r>
      <w:r w:rsidRPr="005C06CC">
        <w:rPr>
          <w:rFonts w:ascii="Cambria" w:eastAsia="Times New Roman" w:hAnsi="Cambria"/>
          <w:sz w:val="24"/>
          <w:szCs w:val="24"/>
          <w:lang w:eastAsia="pl-PL"/>
        </w:rPr>
        <w:t>, „Krytyka Prawa. Studia niezależne nad prawem” 2022, nr 3 (oddane do druku);</w:t>
      </w:r>
      <w:r w:rsidRPr="005C06CC">
        <w:rPr>
          <w:rFonts w:ascii="Cambria" w:eastAsia="Times New Roman" w:hAnsi="Cambria"/>
          <w:i/>
          <w:iCs/>
          <w:sz w:val="24"/>
          <w:szCs w:val="24"/>
          <w:lang w:eastAsia="pl-PL"/>
        </w:rPr>
        <w:t xml:space="preserve"> Przekazanie przez uczelnię nieruchomości w posiadanie zależne a stosowanie zwolnienia podatkowego. Glosa częściowo aprobująca do wyroku Wojewódzkiego Sądu Administracyjnego w Gorzowie Wielkopolskim z dnia 20 listopada 2019 r., I SA/Go 668/19, LEX nr 2749256</w:t>
      </w:r>
      <w:r w:rsidRPr="005C06CC">
        <w:rPr>
          <w:rFonts w:ascii="Cambria" w:eastAsia="Times New Roman" w:hAnsi="Cambria"/>
          <w:sz w:val="24"/>
          <w:szCs w:val="24"/>
          <w:lang w:eastAsia="pl-PL"/>
        </w:rPr>
        <w:t xml:space="preserve"> (współautor: P. Smoleń), „Studia Prawnicze KUL” 2021, nr 1(85), s. 307-320, DOI: https://doi.org/10.31743/sp.11152; </w:t>
      </w:r>
      <w:r w:rsidRPr="005C06CC">
        <w:rPr>
          <w:rFonts w:ascii="Cambria" w:eastAsia="Times New Roman" w:hAnsi="Cambria"/>
          <w:i/>
          <w:iCs/>
          <w:sz w:val="24"/>
          <w:szCs w:val="24"/>
          <w:lang w:eastAsia="pl-PL"/>
        </w:rPr>
        <w:t>Opodatkowanie domów studenckich. Kilka uwag na tle orzecznictwa</w:t>
      </w:r>
      <w:r w:rsidRPr="005C06CC">
        <w:rPr>
          <w:rFonts w:ascii="Cambria" w:eastAsia="Times New Roman" w:hAnsi="Cambria"/>
          <w:sz w:val="24"/>
          <w:szCs w:val="24"/>
          <w:lang w:eastAsia="pl-PL"/>
        </w:rPr>
        <w:t xml:space="preserve">, [w:] </w:t>
      </w:r>
      <w:r w:rsidRPr="005C06CC">
        <w:rPr>
          <w:rFonts w:ascii="Cambria" w:eastAsia="Times New Roman" w:hAnsi="Cambria"/>
          <w:i/>
          <w:iCs/>
          <w:sz w:val="24"/>
          <w:szCs w:val="24"/>
          <w:lang w:eastAsia="pl-PL"/>
        </w:rPr>
        <w:t>Rodzina, prawo i kultura w zglobalizowanym świecie</w:t>
      </w:r>
      <w:r w:rsidRPr="005C06CC">
        <w:rPr>
          <w:rFonts w:ascii="Cambria" w:eastAsia="Times New Roman" w:hAnsi="Cambria"/>
          <w:sz w:val="24"/>
          <w:szCs w:val="24"/>
          <w:lang w:eastAsia="pl-PL"/>
        </w:rPr>
        <w:t xml:space="preserve">, red. J. Kozłowska, M. Iwaniuk, Lublin 2021, </w:t>
      </w:r>
      <w:r>
        <w:rPr>
          <w:rFonts w:ascii="Times New Roman" w:eastAsia="Times New Roman" w:hAnsi="Times New Roman"/>
          <w:sz w:val="24"/>
          <w:szCs w:val="24"/>
          <w:lang w:eastAsia="pl-PL"/>
        </w:rPr>
        <w:t>Wydawnictwo Naukowe TYGIEL</w:t>
      </w:r>
      <w:r>
        <w:rPr>
          <w:rFonts w:ascii="Cambria" w:eastAsia="Times New Roman" w:hAnsi="Cambria"/>
          <w:sz w:val="24"/>
          <w:szCs w:val="24"/>
          <w:lang w:eastAsia="pl-PL"/>
        </w:rPr>
        <w:t xml:space="preserve">, </w:t>
      </w:r>
      <w:r w:rsidRPr="005C06CC">
        <w:rPr>
          <w:rFonts w:ascii="Cambria" w:eastAsia="Times New Roman" w:hAnsi="Cambria"/>
          <w:sz w:val="24"/>
          <w:szCs w:val="24"/>
          <w:lang w:eastAsia="pl-PL"/>
        </w:rPr>
        <w:t xml:space="preserve">ISBN 978-83-66489-71-4, s. 76-85. Dostrzeżono, że </w:t>
      </w:r>
      <w:r w:rsidRPr="005C06CC">
        <w:rPr>
          <w:rFonts w:ascii="Cambria" w:hAnsi="Cambria"/>
          <w:sz w:val="24"/>
          <w:szCs w:val="24"/>
        </w:rPr>
        <w:t xml:space="preserve">w przypadku regulacji skierowanych do jednostek szkolnictwa wyższego pojawia się stosunkowo duża grupa rozwiązań niejednoznacznych (nieprecyzyjnych), co sprawia, że zasada pewności prawa zostaje zachwiana. W wielu instrumentach podatkowych zaniedbania definicyjne, pojęciowe często nie tylko niwelują potencjalne korzyści podatkowe, ale nawet  wręcz je wykluczają. W tym zakresie podjęto tematykę zwolnień podatkowych związanych z różnorodnymi świadczeniami na rzecz doktorantów i pracowników naukowych, których mowa w przepisach ustawy – Prawo o szkolnictwie wyższym i nauce oraz stypendiów otrzymywanych w ramach programów lub przedsięwzięć w celu realizacji polityki naukowej państwa. W glosie </w:t>
      </w:r>
      <w:r w:rsidRPr="005C06CC">
        <w:rPr>
          <w:rFonts w:ascii="Cambria" w:eastAsia="Times New Roman" w:hAnsi="Cambria"/>
          <w:i/>
          <w:iCs/>
          <w:sz w:val="24"/>
          <w:szCs w:val="24"/>
          <w:lang w:eastAsia="pl-PL"/>
        </w:rPr>
        <w:t>Zwolnienie stypendiów z PIT a warunek ich zatwierdzenia przez ministra właściwego do spraw szkolnictwa wyższego i nauki. Glosa krytyczna do wyroku NSA z dnia 4 listopada 2020 r., II FSK 1774/18, LEX nr 3079981</w:t>
      </w:r>
      <w:r w:rsidRPr="005C06CC">
        <w:rPr>
          <w:rFonts w:ascii="Cambria" w:eastAsia="Times New Roman" w:hAnsi="Cambria"/>
          <w:sz w:val="24"/>
          <w:szCs w:val="24"/>
          <w:lang w:eastAsia="pl-PL"/>
        </w:rPr>
        <w:t xml:space="preserve">, „Krytyka Prawa. Studia niezależne nad prawem” 2022, nr 3 (oddane do druku) badano wymóg „zatwierdzenia” </w:t>
      </w:r>
      <w:r w:rsidRPr="005C06CC">
        <w:rPr>
          <w:rFonts w:ascii="Cambria" w:hAnsi="Cambria"/>
          <w:sz w:val="24"/>
          <w:szCs w:val="24"/>
        </w:rPr>
        <w:t xml:space="preserve">w odniesieniu do zasad przyznawania stypendiów i warunki jego spełnienia. Na tle praktyki stosowania tego rodzaju zwolnień zrodziły się bowiem liczne trudności interpretacyjne, które w praktyce skutkowały powstaniem niekorzystnych skutków prawnych dla osób pobierających stypendia. Chodziło o sytuacje, w których osoba korzystająca ze stypendium wypłacanego przez określoną instytucję zawarła aneks do umowy wiążącej stypendystę np. w zakresie wydłużenia terminu realizowania stypendium. NSA w wyroku z dnia 4 listopada 2020 r., II FSK 1774/18, przyjął stanowisko, że w takim wypadku stypendysta traci prawo do zastosowania zwolnienia podatkowego. Oceniając krytycznie  stanowisko NSA odniesiono się także do istoty tego typu stypendiów, a tym samy ratio legis rozwiązań podatkowych. NSA stwierdził, że celem </w:t>
      </w:r>
      <w:r w:rsidRPr="005C06CC">
        <w:rPr>
          <w:rFonts w:ascii="Cambria" w:hAnsi="Cambria"/>
          <w:sz w:val="24"/>
          <w:szCs w:val="24"/>
        </w:rPr>
        <w:lastRenderedPageBreak/>
        <w:t xml:space="preserve">zwolnienia uregulowanego w art. 21 ust. 1 pkt 39 ustawy o PIT jest wspieranie rozwoju naukowego. Podzielając co do zasady taką ocenę zamierzeń ustawodawcy podatkowego, można jednak nieco szerzej (niż dokonał tego NSA) spojrzeć na to zagadnienie, a w konsekwencji odmiennie niż NSA zarysować jego kontekst. Wprawdzie spór w niniejszej sprawie zaistniał przed uchwaleniem przepisów p.s.w.n., ale NSA wydawał wyrok w momencie, gdy ustawa ta obowiązywała już dwa lata. Celem regulacji miało być stworzenie optymalnych warunków do praktykowania doskonałości naukowej i dydaktycznej, zapewnienie zrównoważonego rozwoju ośrodków akademickich w całym kraju, a także wyposażenie uczelni w efektywne narzędzia do zarządzania, a wśród takich znajdują się niewątpliwie właściwie ukształtowane preferencje podatkowe. Wspomniano, że NSA w glosowanym wyroku (a wcześniej WSA) zbyt fragmentarycznie ocenił nie tylko stan faktyczny, ale także </w:t>
      </w:r>
      <w:r w:rsidRPr="005C06CC">
        <w:rPr>
          <w:rFonts w:ascii="Cambria" w:hAnsi="Cambria"/>
          <w:i/>
          <w:iCs/>
          <w:sz w:val="24"/>
          <w:szCs w:val="24"/>
        </w:rPr>
        <w:t>ratio legis</w:t>
      </w:r>
      <w:r w:rsidRPr="005C06CC">
        <w:rPr>
          <w:rFonts w:ascii="Cambria" w:hAnsi="Cambria"/>
          <w:sz w:val="24"/>
          <w:szCs w:val="24"/>
        </w:rPr>
        <w:t xml:space="preserve"> przywołanych regulacji. W konsekwencji zrodziło się pytanie o sens (i efektywność) realizowanej reformy szkolnictwa wyższego. </w:t>
      </w:r>
    </w:p>
    <w:p w14:paraId="076EB81A" w14:textId="77777777" w:rsidR="0082666B" w:rsidRPr="005C06CC" w:rsidRDefault="0082666B" w:rsidP="0082666B">
      <w:pPr>
        <w:spacing w:after="120" w:line="276" w:lineRule="auto"/>
        <w:ind w:firstLine="360"/>
        <w:jc w:val="both"/>
        <w:rPr>
          <w:rFonts w:ascii="Cambria" w:hAnsi="Cambria"/>
          <w:sz w:val="24"/>
          <w:szCs w:val="24"/>
        </w:rPr>
      </w:pPr>
      <w:r w:rsidRPr="005C06CC">
        <w:rPr>
          <w:rFonts w:ascii="Cambria" w:hAnsi="Cambria"/>
          <w:sz w:val="24"/>
          <w:szCs w:val="24"/>
        </w:rPr>
        <w:t xml:space="preserve">Na poziomie przepisów dochodowych podjęto również kontrowersyjną problematykę skutków podatkowych, które dotknęły uczelnie po wprowadzeniu od dnia 1 stycznia 2018 r. tzw. podatku dochodowego od nieruchomości komercyjnych (Art. 24b ust. 1 ustawy o CIT) - </w:t>
      </w:r>
      <w:r w:rsidRPr="005C06CC">
        <w:rPr>
          <w:rFonts w:ascii="Cambria" w:eastAsia="Times New Roman" w:hAnsi="Cambria"/>
          <w:i/>
          <w:iCs/>
          <w:sz w:val="24"/>
          <w:szCs w:val="24"/>
          <w:lang w:eastAsia="pl-PL"/>
        </w:rPr>
        <w:t>Opodatkowanie domów studenckich. Kilka uwag na tle orzecznictwa</w:t>
      </w:r>
      <w:r w:rsidRPr="005C06CC">
        <w:rPr>
          <w:rFonts w:ascii="Cambria" w:eastAsia="Times New Roman" w:hAnsi="Cambria"/>
          <w:sz w:val="24"/>
          <w:szCs w:val="24"/>
          <w:lang w:eastAsia="pl-PL"/>
        </w:rPr>
        <w:t xml:space="preserve">, [w:] </w:t>
      </w:r>
      <w:r w:rsidRPr="005C06CC">
        <w:rPr>
          <w:rFonts w:ascii="Cambria" w:eastAsia="Times New Roman" w:hAnsi="Cambria"/>
          <w:i/>
          <w:iCs/>
          <w:sz w:val="24"/>
          <w:szCs w:val="24"/>
          <w:lang w:eastAsia="pl-PL"/>
        </w:rPr>
        <w:t>Rodzina, prawo i kultura w zglobalizowanym świecie</w:t>
      </w:r>
      <w:r w:rsidRPr="005C06CC">
        <w:rPr>
          <w:rFonts w:ascii="Cambria" w:eastAsia="Times New Roman" w:hAnsi="Cambria"/>
          <w:sz w:val="24"/>
          <w:szCs w:val="24"/>
          <w:lang w:eastAsia="pl-PL"/>
        </w:rPr>
        <w:t xml:space="preserve">, red. J. Kozłowska, M. Iwaniuk, Lublin 2021, </w:t>
      </w:r>
      <w:r>
        <w:rPr>
          <w:rFonts w:ascii="Times New Roman" w:eastAsia="Times New Roman" w:hAnsi="Times New Roman"/>
          <w:sz w:val="24"/>
          <w:szCs w:val="24"/>
          <w:lang w:eastAsia="pl-PL"/>
        </w:rPr>
        <w:t>Wydawnictwo Naukowe TYGIEL</w:t>
      </w:r>
      <w:r>
        <w:rPr>
          <w:rFonts w:ascii="Cambria" w:eastAsia="Times New Roman" w:hAnsi="Cambria"/>
          <w:sz w:val="24"/>
          <w:szCs w:val="24"/>
          <w:lang w:eastAsia="pl-PL"/>
        </w:rPr>
        <w:t xml:space="preserve">, </w:t>
      </w:r>
      <w:r w:rsidRPr="005C06CC">
        <w:rPr>
          <w:rFonts w:ascii="Cambria" w:eastAsia="Times New Roman" w:hAnsi="Cambria"/>
          <w:sz w:val="24"/>
          <w:szCs w:val="24"/>
          <w:lang w:eastAsia="pl-PL"/>
        </w:rPr>
        <w:t>ISBN 978-83-66489-71-4, s. 76-85</w:t>
      </w:r>
      <w:r w:rsidRPr="005C06CC">
        <w:rPr>
          <w:rFonts w:ascii="Cambria" w:hAnsi="Cambria"/>
          <w:sz w:val="24"/>
          <w:szCs w:val="24"/>
        </w:rPr>
        <w:t xml:space="preserve">. Narastające wątpliwości nie tylko wynikały z jakości wprowadzonych regulacji prawnych, ale i samej natury uczelni, która stanowi podmiot o złożonej, dwoistej naturze. Z jednej strony, w ramach realizowania zadań publicznych wykonuje czynności z zakresu władztwa publicznego, z drugiej może uczestniczyć jako przedsiębiorca w ryzyku gry rynkowej. Wypada stwierdzić, że w takich okolicznościach zrozumiałe staje się jak wielkim wyzwaniem jest przeprowadzenie prawidłowej analizy zachowań (aktywności) uczelni i prawidłowe zakwalifikowanie jej do sfery publicznej lub prywatnej. Co więcej, w złożonej rzeczywistości społeczno – gospodarczej obie te sfery wręcz się zazębiają. Problematyka ta staje się jeszcze bardziej skomplikowana, gdy nakłada się na to siatka przepisów podatkowych, które powinny być ściśle interpretowane. W związku z powyższym wydaje się zasadnym stwierdzenie, że uwzględniając preferencyjną politykę wobec uczelni w Polsce (co na pozwolić na ich dynamiczny rozwój), należałoby przeprowadzić proces zmian legislacyjnych nie tylko dotyczący systemu szkolnictwa wyższego, ale także przepisów podatkowych. Dotyczy to również analizowanej sfery gospodarowania nieruchomościami. Wydaje się, że przepis dotyczący podatku od przychodów z nieruchomości powinien formułować wprost wyłączenie podmiotowe dla uczelni, które prowadzą domy studenckie, a zatem działają w sferze realizowania zadań publicznych. Co innego, gdy uczelnia działa w sferze prowadzenia działalności gospodarczej, wynajmując nieruchomości na cele komercyjne podmiotom zewnętrznym, ustalając stawki rynkowe, czerpiąc z prowadzonej aktywności zyski. Pożądanym byłoby więc rozróżnienie wspomnianych dwóch stanów i dostrzeżenie przez ustawodawcę potrzeby zmian w tym zakresie. Ponadto, należy uznać za wysoce szkodliwe utrzymywanie dwugłosu w zakresie poglądów prezentowanych w orzecznictwie i interpretacjach organów podatkowych. Na </w:t>
      </w:r>
      <w:r w:rsidRPr="005C06CC">
        <w:rPr>
          <w:rFonts w:ascii="Cambria" w:hAnsi="Cambria"/>
          <w:sz w:val="24"/>
          <w:szCs w:val="24"/>
        </w:rPr>
        <w:lastRenderedPageBreak/>
        <w:t xml:space="preserve">przestrzeni lat 2018 – 2020 pojawiają się bowiem zarówno orzeczenia, które podtrzymują linię argumentacji uczelni o możliwości wyłączenia ich z kręgu podatników podatku od przechodów z budynków, jak i te, które podążają w głównym nurcie prezentowanym przez organy podatkowe, a które jest niekorzystne dla podatników. W takim kontekście otoczenia podatkowoprawnego podatnicy (uczelnie) obawiając się objęcia podatkiem od przychodów budynków stanowiących ich własność, występowały do organów podatkowych z wnioskami o interpretację przepisów prawa podatkowego. Jako argument za tym, iż uczelnie prowadząc akademiki (domy studenta) znajdujące się w wielomieszkaniowych budynkach nie podlegają podatkowi podnoszono, iż podejmują one w tym zakresie decyzję o przyznaniu miejsca w domu studenckim. W ich ocenie jest to więc sfera publicznoprawna działania uczelni, nie cywilnoprawna. Dochodzi do wyrażenia woli uczelni w drodze jednostronnego aktu władztwa (decyzji), a nie zawarcia umowy (bądź nawet umowy o podobnym charakterze do umowy najmu lub umowy dzierżawy). Interpretacja ta w większości nie spotkała się aprobatą tak organów podatkowych, jak i sądów administracyjnych. Wydaje się, że stan ten powinien być jak najszybciej wyeliminowany właśnie poprzez zdecydowane działanie ustawodawcy, który wprost doprecyzuje sytuację podatkowoprawną uczelni w tym zakresie.    </w:t>
      </w:r>
    </w:p>
    <w:p w14:paraId="3D9983A7" w14:textId="05881C40" w:rsidR="0082666B" w:rsidRPr="005C06CC" w:rsidRDefault="0082666B" w:rsidP="0082666B">
      <w:pPr>
        <w:spacing w:after="120" w:line="276" w:lineRule="auto"/>
        <w:ind w:firstLine="360"/>
        <w:jc w:val="both"/>
        <w:rPr>
          <w:rFonts w:ascii="Cambria" w:hAnsi="Cambria"/>
          <w:sz w:val="24"/>
          <w:szCs w:val="24"/>
        </w:rPr>
      </w:pPr>
      <w:r w:rsidRPr="005C06CC">
        <w:rPr>
          <w:rFonts w:ascii="Cambria" w:hAnsi="Cambria"/>
          <w:sz w:val="24"/>
          <w:szCs w:val="24"/>
        </w:rPr>
        <w:t>Podobne problemy prawne rodzą się na tle analizy w zakresie podatków samorządowych (</w:t>
      </w:r>
      <w:r w:rsidRPr="005C06CC">
        <w:rPr>
          <w:rFonts w:ascii="Cambria" w:eastAsia="Times New Roman" w:hAnsi="Cambria"/>
          <w:i/>
          <w:iCs/>
          <w:sz w:val="24"/>
          <w:szCs w:val="24"/>
          <w:lang w:eastAsia="pl-PL"/>
        </w:rPr>
        <w:t>Przekazanie przez uczelnię nieruchomości w posiadanie zależne a stosowanie zwolnienia podatkowego. Glosa częściowo aprobująca do wyroku Wojewódzkiego Sądu Administracyjnego w Gorzowie Wielkopolskim z dnia 20 listopada 2019 r., I SA/Go 668/19, LEX nr 2749256</w:t>
      </w:r>
      <w:r w:rsidRPr="005C06CC">
        <w:rPr>
          <w:rFonts w:ascii="Cambria" w:eastAsia="Times New Roman" w:hAnsi="Cambria"/>
          <w:sz w:val="24"/>
          <w:szCs w:val="24"/>
          <w:lang w:eastAsia="pl-PL"/>
        </w:rPr>
        <w:t xml:space="preserve"> (współautor: P. Smoleń), „Studia Prawnicze KUL” 2021, nr 1(85), s. 307-320, DOI: https://doi.org/10.31743/sp.11152; </w:t>
      </w:r>
      <w:r w:rsidRPr="005C06CC">
        <w:rPr>
          <w:rFonts w:ascii="Cambria" w:eastAsia="Times New Roman" w:hAnsi="Cambria"/>
          <w:i/>
          <w:iCs/>
          <w:sz w:val="24"/>
          <w:szCs w:val="24"/>
          <w:lang w:eastAsia="pl-PL"/>
        </w:rPr>
        <w:t xml:space="preserve">Property Tax Exemptions for Polish Higher Education Institutions. </w:t>
      </w:r>
      <w:r w:rsidRPr="005C06CC">
        <w:rPr>
          <w:rFonts w:ascii="Cambria" w:eastAsia="Times New Roman" w:hAnsi="Cambria"/>
          <w:i/>
          <w:iCs/>
          <w:sz w:val="24"/>
          <w:szCs w:val="24"/>
          <w:lang w:val="en-GB" w:eastAsia="pl-PL"/>
        </w:rPr>
        <w:t>Problems and Dilemmas</w:t>
      </w:r>
      <w:r w:rsidRPr="005C06CC">
        <w:rPr>
          <w:rFonts w:ascii="Cambria" w:eastAsia="Times New Roman" w:hAnsi="Cambria"/>
          <w:sz w:val="24"/>
          <w:szCs w:val="24"/>
          <w:lang w:val="en-GB" w:eastAsia="pl-PL"/>
        </w:rPr>
        <w:t xml:space="preserve">, „Lex Localis – Journal of Local Self – Government” 2021, </w:t>
      </w:r>
      <w:r w:rsidRPr="005C06CC">
        <w:rPr>
          <w:rFonts w:ascii="Cambria" w:hAnsi="Cambria"/>
          <w:sz w:val="24"/>
          <w:szCs w:val="24"/>
          <w:lang w:val="en-GB"/>
        </w:rPr>
        <w:t xml:space="preserve">vol. 19, nr 2, s. </w:t>
      </w:r>
      <w:r w:rsidRPr="005C06CC">
        <w:rPr>
          <w:rFonts w:ascii="Cambria" w:eastAsia="Times New Roman" w:hAnsi="Cambria"/>
          <w:sz w:val="24"/>
          <w:szCs w:val="24"/>
          <w:lang w:val="en-GB" w:eastAsia="pl-PL"/>
        </w:rPr>
        <w:t xml:space="preserve">377-395, https://doi.org/10.4335/19.2.377-395(2021). </w:t>
      </w:r>
      <w:r w:rsidRPr="005C06CC">
        <w:rPr>
          <w:rFonts w:ascii="Cambria" w:eastAsia="Times New Roman" w:hAnsi="Cambria"/>
          <w:sz w:val="24"/>
          <w:szCs w:val="24"/>
          <w:lang w:eastAsia="pl-PL"/>
        </w:rPr>
        <w:t>Zasadniczo w polskim porządku obowiązuje zwolnienie z opodatkowania nieruchomości należących do jednostek szkolnictwa wyższego wskazanych w ustawie z dnia 12 stycznia 1991 r. o podatkach i opłatach lokalnych</w:t>
      </w:r>
      <w:r w:rsidR="0055649D">
        <w:rPr>
          <w:rFonts w:ascii="Cambria" w:eastAsia="Times New Roman" w:hAnsi="Cambria"/>
          <w:sz w:val="24"/>
          <w:szCs w:val="24"/>
          <w:lang w:eastAsia="pl-PL"/>
        </w:rPr>
        <w:t xml:space="preserve"> (tekst jedn. Dz. U. z 2022, poz. 1452 ze zm., dalej cyt. jako „u.p.o.l”)</w:t>
      </w:r>
      <w:r w:rsidRPr="005C06CC">
        <w:rPr>
          <w:rFonts w:ascii="Cambria" w:eastAsia="Times New Roman" w:hAnsi="Cambria"/>
          <w:sz w:val="24"/>
          <w:szCs w:val="24"/>
          <w:lang w:eastAsia="pl-PL"/>
        </w:rPr>
        <w:t xml:space="preserve">. W aktualnym stanie prawnym zwolnienie to obejmuje różnorodne podmioty prowadzące szeroko rozumianą działalność badawczo – dydaktyczną. Są to, m.in. uczelnie, federacje podmiotów systemu szkolnictwa wyższego i nauki, czy instytuty badawcze. W każdym z tych przypadków zwolnienie nie dotyczy przedmiotów opodatkowania „zajętych na działalność gospodarczą”. Ogólny sens tego wyłączenia wydaje się być jasny. Ustawodawca obejmuje zwolnieniem tylko tzw. działalność statutową jednostek szkolnictwa wyższego. Wypada jednak zwrócić uwagę na nieostry charakter terminu „zajęcie na działalność gospodarczą”, którego ustawa podatkowa nie precyzuje. Co więcej, rozróżnia dwa pojęcia: „związanie z działalnością gospodarczą” (jako określoną cechę nieruchomości stanowiącą przedmiot opodatkowania) oraz wspomniane „zajęcie na prowadzenie działalności gospodarczej” (jako cechę nieruchomości uzasadniającą wyjątek od zwolnienia podatkowego). Zwolnienia te mają charakter podmiotowy i obejmują tylko te podmioty, które zostały w ustawie wprost wskazane. Można mówić o swoistym „systemie podatkowego wsparcia” dla wymienionych jednostek szkolnictwa </w:t>
      </w:r>
      <w:r w:rsidRPr="005C06CC">
        <w:rPr>
          <w:rFonts w:ascii="Cambria" w:eastAsia="Times New Roman" w:hAnsi="Cambria"/>
          <w:sz w:val="24"/>
          <w:szCs w:val="24"/>
          <w:lang w:eastAsia="pl-PL"/>
        </w:rPr>
        <w:lastRenderedPageBreak/>
        <w:t>wyższego. Analogiczne regulacje występują w podatku rolnym i podatku leśnym. Samo założenie wydaje się być potrzebne i w pełni uzasadnione. Szczegółowa analiza obowiązujących rozwiązań nasuwa jednak szereg zastrzeżeń, które mogą poddawać w wątpliwość skuteczność przyjętych instrumentów polityki podatkowej. Rysujące się dylematy obejmują kilka obszarów. Już na wstępie wyłaniają się one na gruncie samej ustawy o podatkach i opłatach lokalnych, następnie narastają w świetle analizy rozwiązań przyjętych w innych ustawach pozapodatkowych. Zarysowana powyżej charakterystyka aktualnej regulacji zwolnień w podatku od nieruchomości znalazła swoje praktyczne odzwierciedlenie także w sporze zawisłym przed Wojewódzkim Sądem Administracyjnym w Gorzowie Wielkopolskim w związku z przekazaniem przez uczelnię nieruchomości w posiadanie zależne spółce celowej (wyrok Wojewódzkiego Sądu Administracyjnego w Gorzowie Wielkopolskim z dnia 20 listopada 2019 r., I SA/Go 668/19, LEX nr 2749256).  Na tle glosowanego wyroku przedstawiono wątpliwości na tle analizy regulacji podatkowych i możliwości ich usunięcia.</w:t>
      </w:r>
    </w:p>
    <w:p w14:paraId="455C7F13" w14:textId="57DB4C21" w:rsidR="0082666B" w:rsidRPr="005C06CC" w:rsidRDefault="0082666B" w:rsidP="0082666B">
      <w:pPr>
        <w:spacing w:after="120" w:line="276" w:lineRule="auto"/>
        <w:ind w:firstLine="360"/>
        <w:jc w:val="both"/>
        <w:rPr>
          <w:rFonts w:ascii="Cambria" w:eastAsia="Times New Roman" w:hAnsi="Cambria"/>
          <w:sz w:val="24"/>
          <w:szCs w:val="24"/>
          <w:lang w:eastAsia="pl-PL"/>
        </w:rPr>
      </w:pPr>
      <w:r w:rsidRPr="005C06CC">
        <w:rPr>
          <w:rFonts w:ascii="Cambria" w:hAnsi="Cambria"/>
          <w:sz w:val="24"/>
          <w:szCs w:val="24"/>
        </w:rPr>
        <w:t>W ramach prowadzonych badań p</w:t>
      </w:r>
      <w:r w:rsidRPr="005C06CC">
        <w:rPr>
          <w:rFonts w:ascii="Cambria" w:eastAsia="Times New Roman" w:hAnsi="Cambria"/>
          <w:bCs/>
          <w:sz w:val="24"/>
          <w:szCs w:val="24"/>
        </w:rPr>
        <w:t xml:space="preserve">odjęto również problematykę istotną z punktu widzenia względów fiskalnych, jak i w kontekście realizacji założeń reformy szkolnictwa wyższego w Polsce, a zatem kwestie wyłączenia z opodatkowania podatkiem od czynności cywilnoprawnych spraw z zakresu nauki, szkolnictwa i oświaty pozaszkolnej oraz zdrowia (art. 2 pkt 1 lit. f ustawy z dnia 9 września 2000 r. o podatku od czynności cywilnoprawnych, tekst jedn. Dz. U. z 2022 r., poz. 111 ze zm., dalej cyt. jako „ustawa o podatku od czynności cywilnoprawnych”). W artykule naukowym pt. </w:t>
      </w:r>
      <w:r w:rsidRPr="005C06CC">
        <w:rPr>
          <w:rFonts w:ascii="Cambria" w:eastAsia="Times New Roman" w:hAnsi="Cambria"/>
          <w:i/>
          <w:iCs/>
          <w:sz w:val="24"/>
          <w:szCs w:val="24"/>
          <w:lang w:eastAsia="pl-PL"/>
        </w:rPr>
        <w:t xml:space="preserve">Wyłączenie z opodatkowania czynności cywilnoprawnych dotyczących nieruchomości w sferze nauki i szkolnictwa wyższego </w:t>
      </w:r>
      <w:r w:rsidRPr="005C06CC">
        <w:rPr>
          <w:rFonts w:ascii="Cambria" w:eastAsia="Times New Roman" w:hAnsi="Cambria"/>
          <w:sz w:val="24"/>
          <w:szCs w:val="24"/>
          <w:lang w:eastAsia="pl-PL"/>
        </w:rPr>
        <w:t>(oddane do druku do czasopisma „Nieruchomości@</w:t>
      </w:r>
      <w:r w:rsidR="0055649D">
        <w:rPr>
          <w:rFonts w:ascii="Cambria" w:eastAsia="Times New Roman" w:hAnsi="Cambria"/>
          <w:sz w:val="24"/>
          <w:szCs w:val="24"/>
          <w:lang w:eastAsia="pl-PL"/>
        </w:rPr>
        <w:t>Kwartalnik Ministerstwa Sprawiedliwości</w:t>
      </w:r>
      <w:r w:rsidRPr="005C06CC">
        <w:rPr>
          <w:rFonts w:ascii="Cambria" w:eastAsia="Times New Roman" w:hAnsi="Cambria"/>
          <w:sz w:val="24"/>
          <w:szCs w:val="24"/>
          <w:lang w:eastAsia="pl-PL"/>
        </w:rPr>
        <w:t>” – publikacja nr 4/2022</w:t>
      </w:r>
      <w:r w:rsidR="0055649D">
        <w:rPr>
          <w:rFonts w:ascii="Cambria" w:eastAsia="Times New Roman" w:hAnsi="Cambria"/>
          <w:sz w:val="24"/>
          <w:szCs w:val="24"/>
          <w:lang w:eastAsia="pl-PL"/>
        </w:rPr>
        <w:t>, oddane do druku</w:t>
      </w:r>
      <w:r w:rsidRPr="005C06CC">
        <w:rPr>
          <w:rFonts w:ascii="Cambria" w:eastAsia="Times New Roman" w:hAnsi="Cambria"/>
          <w:sz w:val="24"/>
          <w:szCs w:val="24"/>
          <w:lang w:eastAsia="pl-PL"/>
        </w:rPr>
        <w:t xml:space="preserve">) jako zasadniczy </w:t>
      </w:r>
      <w:r w:rsidRPr="005C06CC">
        <w:rPr>
          <w:rFonts w:ascii="Cambria" w:eastAsia="Times New Roman" w:hAnsi="Cambria"/>
          <w:bCs/>
          <w:sz w:val="24"/>
          <w:szCs w:val="24"/>
        </w:rPr>
        <w:t xml:space="preserve">cel badawczy przyjęto weryfikację podatkowej regulacji w oparciu o kilka kryteriów. Analiza obejmowała zagadnienia dotyczące spójności przepisów prawa podatkowego oraz ustroju szkolnictwa wyższego. Oceny rozwiązań podatkowych dokonano również w świetle zasad poprawnej legislacji. Przeprowadzone badania pozwalały wysnuć wnioski wskazujące na istotne mankamenty przyjętej konstrukcji, które osłabiały jej praktyczny wydźwięk. W konsekwencji może to prowadzić do licznych sporów z organami podatkowymi. Autorzy uzasadniają tezę, iż ustawodawca nie był konsekwentny w budowaniu całej konstrukcji wyłączenia podatkowego. W kontekście wniosków </w:t>
      </w:r>
      <w:r w:rsidRPr="0055649D">
        <w:rPr>
          <w:rFonts w:ascii="Cambria" w:eastAsia="Times New Roman" w:hAnsi="Cambria"/>
          <w:bCs/>
          <w:i/>
          <w:iCs/>
          <w:sz w:val="24"/>
          <w:szCs w:val="24"/>
        </w:rPr>
        <w:t xml:space="preserve">de lege lata </w:t>
      </w:r>
      <w:r w:rsidRPr="005C06CC">
        <w:rPr>
          <w:rFonts w:ascii="Cambria" w:eastAsia="Times New Roman" w:hAnsi="Cambria"/>
          <w:bCs/>
          <w:sz w:val="24"/>
          <w:szCs w:val="24"/>
        </w:rPr>
        <w:t xml:space="preserve">i </w:t>
      </w:r>
      <w:r w:rsidRPr="0055649D">
        <w:rPr>
          <w:rFonts w:ascii="Cambria" w:eastAsia="Times New Roman" w:hAnsi="Cambria"/>
          <w:bCs/>
          <w:i/>
          <w:iCs/>
          <w:sz w:val="24"/>
          <w:szCs w:val="24"/>
        </w:rPr>
        <w:t>de lege ferenda</w:t>
      </w:r>
      <w:r w:rsidRPr="005C06CC">
        <w:rPr>
          <w:rFonts w:ascii="Cambria" w:eastAsia="Times New Roman" w:hAnsi="Cambria"/>
          <w:bCs/>
          <w:sz w:val="24"/>
          <w:szCs w:val="24"/>
        </w:rPr>
        <w:t xml:space="preserve"> stwierdzono, że przyjęty schemat wyłączenia z opodatkowania spowodował, iż</w:t>
      </w:r>
      <w:r w:rsidRPr="005C06CC">
        <w:rPr>
          <w:rFonts w:ascii="Cambria" w:eastAsia="Times New Roman" w:hAnsi="Cambria"/>
          <w:sz w:val="24"/>
          <w:szCs w:val="24"/>
          <w:lang w:eastAsia="pl-PL"/>
        </w:rPr>
        <w:t xml:space="preserve"> objęto szeroki katalog różnorodnych spraw ze sfery publicznej i tylko w stosunku do niektórych z nich zastosowano bezpośrednie odniesienie do przepisów regulujących konkretne obszary zadań publicznych (poprzez użycie zwrotu „w przepisach …”). Niestety nie stało się tak w odniesieniu do czynności w sprawach szkolnictwa wyższego i nauki (a także oświaty pozaszkolnej i zdrowia). Dodatkowo ustawodawca posłużył się zwrotami niedookreślonymi, co a priori nie jest wykluczone (bądź niepoprawne), ale powinno być stosowane w sposób, który docelowo nie budzi zasadniczych wątpliwoś</w:t>
      </w:r>
      <w:r w:rsidR="00BB4E60">
        <w:rPr>
          <w:rFonts w:ascii="Cambria" w:eastAsia="Times New Roman" w:hAnsi="Cambria"/>
          <w:sz w:val="24"/>
          <w:szCs w:val="24"/>
          <w:lang w:eastAsia="pl-PL"/>
        </w:rPr>
        <w:t>c</w:t>
      </w:r>
      <w:r w:rsidRPr="005C06CC">
        <w:rPr>
          <w:rFonts w:ascii="Cambria" w:eastAsia="Times New Roman" w:hAnsi="Cambria"/>
          <w:sz w:val="24"/>
          <w:szCs w:val="24"/>
          <w:lang w:eastAsia="pl-PL"/>
        </w:rPr>
        <w:t xml:space="preserve">i. Tak w samej ustawie podatkowej, jak i w innych ustawach dotyczących wskazanych „spraw”, brak jest definicji legalnych pojęć użytych w przepisie kształtującym wyłączenie z opodatkowania (np. nauki, szkolnictwa). Tym samym wbrew </w:t>
      </w:r>
      <w:r w:rsidRPr="005C06CC">
        <w:rPr>
          <w:rFonts w:ascii="Cambria" w:eastAsia="Times New Roman" w:hAnsi="Cambria"/>
          <w:sz w:val="24"/>
          <w:szCs w:val="24"/>
          <w:lang w:eastAsia="pl-PL"/>
        </w:rPr>
        <w:lastRenderedPageBreak/>
        <w:t xml:space="preserve">wspomnianej powyżej zasadzie ścisłej interpretacji przepisów podatkowych, w tym przypadku ustawodawca nadał wyłączeniu podatkowemu wyjątkowo szeroki (i nieprecyzyjny) zakres merytoryczny. W sposób jaskrawy pozostaje to w sprzeczności z zasadami poprawnej legislacji. Rodzić to może również uzasadnione pytanie o rzeczywiste intencje legislacyjne tzw. racjonalnego ustawodawcy. Zarysowany brak konsekwencji w tym względzie niestety może sugerować niejednoznaczną odpowiedź, a tym samym poważne trudności w praktycznej aplikacji tych przepisów.  Podejmując próbę podsumowania zaznaczono, iż końcowa ocena analizowanej instytucji (w tym wniosków </w:t>
      </w:r>
      <w:r w:rsidRPr="0055649D">
        <w:rPr>
          <w:rFonts w:ascii="Cambria" w:eastAsia="Times New Roman" w:hAnsi="Cambria"/>
          <w:i/>
          <w:iCs/>
          <w:sz w:val="24"/>
          <w:szCs w:val="24"/>
          <w:lang w:eastAsia="pl-PL"/>
        </w:rPr>
        <w:t>de lege ferenda</w:t>
      </w:r>
      <w:r w:rsidRPr="005C06CC">
        <w:rPr>
          <w:rFonts w:ascii="Cambria" w:eastAsia="Times New Roman" w:hAnsi="Cambria"/>
          <w:sz w:val="24"/>
          <w:szCs w:val="24"/>
          <w:lang w:eastAsia="pl-PL"/>
        </w:rPr>
        <w:t>) uzależniona jest od przyjętego kryterium jej weryfikacji. Z punktu widzenia zasad poprawnej legislacji wnioski mają charakter negatywny – konstrukcja wyłączenia została sformułowana w sposób wadliwy. W tym kontekście wymaga ona nowelizacji, przynajmniej na wzór innych wskazanych powyżej uregulowań tego wyłączenia, tzn. poprzez odesłanie do konkretnych „przepisów”. Wychodząc jednak z założenia racjonalności działań ustawodawcy można dojść do zgoła odmiennych wniosków. Warto podnieść, iż wskazane wady konstrukcyjne wyłączenia niosą ze sobą daleko idące korzyści podatkowe dla podmiotów dokonujących czynności cywilnoprawnych w przestrzeni szkolnictwa wyższego i nauki. Wydaje się nawet, że przyjęte rozwiązanie ma dużo bardziej preferencyjny charakter niż zwolnienia podatkowe stosowane na gruncie innych podatków, np. w podatku od nieruchomości, rolnym, czy leśnym. Trudno odmawiać ustawodawcy prawa do takich założeń legislacyjnych i w konsekwencji wnioskować o ich modyfikację.  Oczywiście taki stan prawny oznacza, iż wskazani podatnicy w zakresie wszelkich nieruchomości, którymi dysponują w sferze nauki, czy szkolnictwa, zostali potraktowani w sposób niejednolity. Jednocześnie zaznaczyć przy tym należy, że stosowane instrumenty podatkowoprawne za każdym razem przybierają postać przywileju podatkowego (o różnym charakterze prawnym tzn. wyłączenie lub zwolnienie z opodatkowania) i związane są z tym samym procesem operowania posiadanymi nieruchomościami przez dysponentów ze sfery szkolnictwa wyższego i nauki.</w:t>
      </w:r>
    </w:p>
    <w:p w14:paraId="0883DAD7" w14:textId="028F9678" w:rsidR="0082666B" w:rsidRPr="005C06CC" w:rsidRDefault="0082666B" w:rsidP="0082666B">
      <w:pPr>
        <w:spacing w:after="120" w:line="276" w:lineRule="auto"/>
        <w:ind w:firstLine="360"/>
        <w:jc w:val="both"/>
        <w:rPr>
          <w:rFonts w:ascii="Cambria" w:hAnsi="Cambria"/>
          <w:sz w:val="24"/>
          <w:szCs w:val="24"/>
        </w:rPr>
      </w:pPr>
      <w:r w:rsidRPr="005C06CC">
        <w:rPr>
          <w:rFonts w:ascii="Cambria" w:eastAsia="Times New Roman" w:hAnsi="Cambria"/>
          <w:sz w:val="24"/>
          <w:szCs w:val="24"/>
          <w:lang w:eastAsia="pl-PL"/>
        </w:rPr>
        <w:t>W sferze podatku od nieruchomości poruszono również kontrowersyjne kwestie związane z zasadami opodatkowania wyrobisk górniczych (</w:t>
      </w:r>
      <w:r w:rsidRPr="005C06CC">
        <w:rPr>
          <w:rFonts w:ascii="Cambria" w:eastAsia="Times New Roman" w:hAnsi="Cambria"/>
          <w:i/>
          <w:iCs/>
          <w:sz w:val="24"/>
          <w:szCs w:val="24"/>
          <w:lang w:eastAsia="pl-PL"/>
        </w:rPr>
        <w:t>Opodatkowanie wyrobisk górniczych. Niekończące się kontrowersje?</w:t>
      </w:r>
      <w:r w:rsidRPr="005C06CC">
        <w:rPr>
          <w:rFonts w:ascii="Cambria" w:eastAsia="Times New Roman" w:hAnsi="Cambria"/>
          <w:sz w:val="24"/>
          <w:szCs w:val="24"/>
          <w:lang w:eastAsia="pl-PL"/>
        </w:rPr>
        <w:t>, „Nieruchomości@</w:t>
      </w:r>
      <w:r w:rsidR="0055649D">
        <w:rPr>
          <w:rFonts w:ascii="Cambria" w:eastAsia="Times New Roman" w:hAnsi="Cambria"/>
          <w:sz w:val="24"/>
          <w:szCs w:val="24"/>
          <w:lang w:eastAsia="pl-PL"/>
        </w:rPr>
        <w:t>Kwartalnik Ministerstwa Sprawiedliwości</w:t>
      </w:r>
      <w:r w:rsidRPr="005C06CC">
        <w:rPr>
          <w:rFonts w:ascii="Cambria" w:eastAsia="Times New Roman" w:hAnsi="Cambria"/>
          <w:sz w:val="24"/>
          <w:szCs w:val="24"/>
          <w:lang w:eastAsia="pl-PL"/>
        </w:rPr>
        <w:t>”</w:t>
      </w:r>
      <w:r w:rsidRPr="005C06CC">
        <w:rPr>
          <w:rFonts w:ascii="Cambria" w:eastAsia="Times New Roman" w:hAnsi="Cambria"/>
          <w:i/>
          <w:iCs/>
          <w:sz w:val="24"/>
          <w:szCs w:val="24"/>
          <w:lang w:eastAsia="pl-PL"/>
        </w:rPr>
        <w:t xml:space="preserve"> </w:t>
      </w:r>
      <w:r w:rsidRPr="005C06CC">
        <w:rPr>
          <w:rFonts w:ascii="Cambria" w:eastAsia="Times New Roman" w:hAnsi="Cambria"/>
          <w:sz w:val="24"/>
          <w:szCs w:val="24"/>
          <w:lang w:eastAsia="pl-PL"/>
        </w:rPr>
        <w:t>2021, Nr 5, s. 173-184, DOI: 10.5604/01.3001.0015.5830;</w:t>
      </w:r>
      <w:r w:rsidRPr="005C06CC">
        <w:rPr>
          <w:rFonts w:ascii="Cambria" w:hAnsi="Cambria"/>
          <w:sz w:val="24"/>
          <w:szCs w:val="24"/>
        </w:rPr>
        <w:t xml:space="preserve"> </w:t>
      </w:r>
      <w:r w:rsidRPr="005C06CC">
        <w:rPr>
          <w:rFonts w:ascii="Cambria" w:eastAsia="Times New Roman" w:hAnsi="Cambria"/>
          <w:i/>
          <w:iCs/>
          <w:sz w:val="24"/>
          <w:szCs w:val="24"/>
          <w:lang w:eastAsia="pl-PL"/>
        </w:rPr>
        <w:t>Glosa aprobująca do wyroku Naczelnego Sądu Administracyjnego z dnia 10 stycznia 2020 r., sygn. akt: II FSK 532/18, LEX nr 2777589</w:t>
      </w:r>
      <w:r w:rsidRPr="005C06CC">
        <w:rPr>
          <w:rFonts w:ascii="Cambria" w:eastAsia="Times New Roman" w:hAnsi="Cambria"/>
          <w:sz w:val="24"/>
          <w:szCs w:val="24"/>
          <w:lang w:eastAsia="pl-PL"/>
        </w:rPr>
        <w:t xml:space="preserve">, „Studia Iuridica Lubliniensa” 2021, Vol 30, Nr 1, s. 429-440, DOI: http://dx.doi.org/10.17951/sil.2021.30.1.429-440; </w:t>
      </w:r>
      <w:r w:rsidRPr="005C06CC">
        <w:rPr>
          <w:rFonts w:ascii="Cambria" w:eastAsia="Times New Roman" w:hAnsi="Cambria"/>
          <w:i/>
          <w:iCs/>
          <w:color w:val="151515"/>
          <w:sz w:val="24"/>
          <w:szCs w:val="24"/>
          <w:lang w:eastAsia="pl-PL"/>
        </w:rPr>
        <w:t>Praktyka opodatkowania wyrobisk górniczych po wyroku Trybunału Konstytucyjnego z dnia 13 września 2011 r. (P 33/09)</w:t>
      </w:r>
      <w:r w:rsidRPr="005C06CC">
        <w:rPr>
          <w:rFonts w:ascii="Cambria" w:eastAsia="Times New Roman" w:hAnsi="Cambria"/>
          <w:color w:val="151515"/>
          <w:sz w:val="24"/>
          <w:szCs w:val="24"/>
          <w:lang w:eastAsia="pl-PL"/>
        </w:rPr>
        <w:t xml:space="preserve"> (współautor: P. Smoleń), „Roczniki Nauk Prawnych” 2019, tom XXIX, nr 3, DOI: http://dx.doi.org/10.18290/rnp.2019.29.3-7).</w:t>
      </w:r>
      <w:r w:rsidRPr="005C06CC">
        <w:rPr>
          <w:rFonts w:ascii="Cambria" w:eastAsia="Times New Roman" w:hAnsi="Cambria"/>
          <w:bCs/>
          <w:color w:val="000000"/>
          <w:sz w:val="24"/>
          <w:szCs w:val="24"/>
        </w:rPr>
        <w:t xml:space="preserve"> Wobec stale narastających wątpliwości Trybunał Konstytucyjny</w:t>
      </w:r>
      <w:r w:rsidR="0055649D">
        <w:rPr>
          <w:rFonts w:ascii="Cambria" w:eastAsia="Times New Roman" w:hAnsi="Cambria"/>
          <w:bCs/>
          <w:color w:val="000000"/>
          <w:sz w:val="24"/>
          <w:szCs w:val="24"/>
        </w:rPr>
        <w:t xml:space="preserve"> (TK)</w:t>
      </w:r>
      <w:r w:rsidRPr="005C06CC">
        <w:rPr>
          <w:rFonts w:ascii="Cambria" w:eastAsia="Times New Roman" w:hAnsi="Cambria"/>
          <w:bCs/>
          <w:color w:val="000000"/>
          <w:sz w:val="24"/>
          <w:szCs w:val="24"/>
        </w:rPr>
        <w:t xml:space="preserve"> wydał wyrok interpretacyjny 13 września 2011 r. (P 33/09), który ma przełomowe znaczenie dla praktyki opodatkowania wyrobisk górniczych. Przede wszystkim rozstrzygnął zasadniczy dylemat dotyczący wyrobiska górniczego zarówno w znaczeniu fizycznym, jak i kompleksowym, przesądzając, że jako takie nie stanowi przedmiotu opodatkowania. Niestety analiza rozstrzygnięć organów </w:t>
      </w:r>
      <w:r w:rsidRPr="005C06CC">
        <w:rPr>
          <w:rFonts w:ascii="Cambria" w:eastAsia="Times New Roman" w:hAnsi="Cambria"/>
          <w:bCs/>
          <w:color w:val="000000"/>
          <w:sz w:val="24"/>
          <w:szCs w:val="24"/>
        </w:rPr>
        <w:lastRenderedPageBreak/>
        <w:t xml:space="preserve">podatkowych, jak i orzecznictwa sądów administracyjnych prowadzi do postawienia tezy, że wyrok interpretacyjny </w:t>
      </w:r>
      <w:r w:rsidR="0055649D">
        <w:rPr>
          <w:rFonts w:ascii="Cambria" w:eastAsia="Times New Roman" w:hAnsi="Cambria"/>
          <w:bCs/>
          <w:color w:val="000000"/>
          <w:sz w:val="24"/>
          <w:szCs w:val="24"/>
        </w:rPr>
        <w:t>TK</w:t>
      </w:r>
      <w:r w:rsidRPr="005C06CC">
        <w:rPr>
          <w:rFonts w:ascii="Cambria" w:eastAsia="Times New Roman" w:hAnsi="Cambria"/>
          <w:bCs/>
          <w:color w:val="000000"/>
          <w:sz w:val="24"/>
          <w:szCs w:val="24"/>
        </w:rPr>
        <w:t xml:space="preserve"> nie zakończył sporu pomiędzy podatnikami a organami podatkowymi. Co więcej, nawiązując do treści wspomnianego wyroku, wywiedziono w dniu 23 kwietnia 2019 r. skargę konstytucyjną (SK 80/19), w której argumentowano, że praktyka sądów administracyjnych wciąż narusza normy prawa materialnego, ale także reguły wykładni prokonstytucyjnej przedstawione w wyroku </w:t>
      </w:r>
      <w:r w:rsidR="0055649D">
        <w:rPr>
          <w:rFonts w:ascii="Cambria" w:eastAsia="Times New Roman" w:hAnsi="Cambria"/>
          <w:bCs/>
          <w:color w:val="000000"/>
          <w:sz w:val="24"/>
          <w:szCs w:val="24"/>
        </w:rPr>
        <w:t>TK</w:t>
      </w:r>
      <w:r w:rsidRPr="005C06CC">
        <w:rPr>
          <w:rFonts w:ascii="Cambria" w:eastAsia="Times New Roman" w:hAnsi="Cambria"/>
          <w:bCs/>
          <w:color w:val="000000"/>
          <w:sz w:val="24"/>
          <w:szCs w:val="24"/>
        </w:rPr>
        <w:t xml:space="preserve"> z 13 września 2011 r. (P 33/09).</w:t>
      </w:r>
      <w:r w:rsidRPr="005C06CC">
        <w:rPr>
          <w:rFonts w:ascii="Cambria" w:hAnsi="Cambria"/>
          <w:color w:val="000000"/>
          <w:sz w:val="24"/>
          <w:szCs w:val="24"/>
        </w:rPr>
        <w:t xml:space="preserve"> </w:t>
      </w:r>
      <w:r w:rsidRPr="005C06CC">
        <w:rPr>
          <w:rFonts w:ascii="Cambria" w:eastAsia="Times New Roman" w:hAnsi="Cambria"/>
          <w:bCs/>
          <w:color w:val="000000"/>
          <w:sz w:val="24"/>
          <w:szCs w:val="24"/>
        </w:rPr>
        <w:t xml:space="preserve">Rozpoznając skargę, </w:t>
      </w:r>
      <w:r w:rsidR="0055649D">
        <w:rPr>
          <w:rFonts w:ascii="Cambria" w:eastAsia="Times New Roman" w:hAnsi="Cambria"/>
          <w:bCs/>
          <w:color w:val="000000"/>
          <w:sz w:val="24"/>
          <w:szCs w:val="24"/>
        </w:rPr>
        <w:t>TK</w:t>
      </w:r>
      <w:r w:rsidRPr="005C06CC">
        <w:rPr>
          <w:rFonts w:ascii="Cambria" w:eastAsia="Times New Roman" w:hAnsi="Cambria"/>
          <w:bCs/>
          <w:color w:val="000000"/>
          <w:sz w:val="24"/>
          <w:szCs w:val="24"/>
        </w:rPr>
        <w:t xml:space="preserve"> dostrzegł wskazane uchybienia (brak jednoznaczności i precyzji) w konstrukcji normy prawnej zakodowanej w przepisie definiującym pojęcie budowli jako przedmiotu opodatkowania podatkiem od nieruchomości i wydał postanowienie sygnalizacyjne. W tym kontekście za główny cel badawczy przyjęto prezentację i analizę podjętej problematyki oraz sformułowanie wniosków </w:t>
      </w:r>
      <w:r w:rsidRPr="005C06CC">
        <w:rPr>
          <w:rFonts w:ascii="Cambria" w:eastAsia="Times New Roman" w:hAnsi="Cambria"/>
          <w:bCs/>
          <w:i/>
          <w:iCs/>
          <w:color w:val="000000"/>
          <w:sz w:val="24"/>
          <w:szCs w:val="24"/>
        </w:rPr>
        <w:t>de lege ferenda</w:t>
      </w:r>
      <w:r w:rsidRPr="005C06CC">
        <w:rPr>
          <w:rFonts w:ascii="Cambria" w:eastAsia="Times New Roman" w:hAnsi="Cambria"/>
          <w:bCs/>
          <w:color w:val="000000"/>
          <w:sz w:val="24"/>
          <w:szCs w:val="24"/>
        </w:rPr>
        <w:t xml:space="preserve">. W tym kontekście uzasadnione wydaje się sformułowanie tezy, iż pomimo swego doniosłego znaczenia merytorycznego (porządkującego w znacznym stopniu zagadnienie opodatkowania wyrobisk górniczych), wyrok TK z 13 września 2011 r. nie jest wystarczający dla jednolitego ukształtowania praktyki podatkowej. Nie rozstrzyga bowiem wszystkich dylematów rysujących się w tym zakresie, i wręcz wprost prowadzi do powstania zasadniczych rozbieżności w orzecznictwie sądowoadministracyjnym i organów podatkowych. Istnieje konieczność przeprowadzenia właściwej nowelizacji, która w sposób klarowny, niewieloznaczny, przesądzi o zakresie przedmiotowym opodatkowania. </w:t>
      </w:r>
      <w:r w:rsidRPr="005C06CC">
        <w:rPr>
          <w:rFonts w:ascii="Cambria" w:hAnsi="Cambria"/>
          <w:sz w:val="24"/>
          <w:szCs w:val="24"/>
        </w:rPr>
        <w:t xml:space="preserve">Aktualnie istniejąca definicja legalna nie spełnia zasad przewidzianych dla prawidłowego konstruowania przepisów tego rodzaju. Definicje powinny być formułowane tak, aby wskazywały w sposób niebudzący wątpliwości, jakie znaczenie nadano danemu określeniu. Nawet zakładając możliwość posłużenia się definicją zakresową, powinna ona wyliczać elementy składowe danego zbioru (najlepiej w sposób pełny). W szczególności, takie zestawienie komponentów zakresowych powinno uwzględniać te z nich, które mogą budzić istotne wątpliwości interpretacyjne. Wydaje się, że zwłaszcza tymi wytycznymi powinien kierować się ustawodawca, stosując się do sygnalizacji </w:t>
      </w:r>
      <w:r w:rsidR="0055649D">
        <w:rPr>
          <w:rFonts w:ascii="Cambria" w:hAnsi="Cambria"/>
          <w:sz w:val="24"/>
          <w:szCs w:val="24"/>
        </w:rPr>
        <w:t>TK</w:t>
      </w:r>
      <w:r w:rsidRPr="005C06CC">
        <w:rPr>
          <w:rFonts w:ascii="Cambria" w:hAnsi="Cambria"/>
          <w:sz w:val="24"/>
          <w:szCs w:val="24"/>
        </w:rPr>
        <w:t xml:space="preserve">. Skuteczne podjęcie inicjatywy ustawodawczej powinno zmierzać do zmiany obowiązującej definicji legalnej budowli zawartej w u.p.o.l. Niezbędne wydaje się wprowadzenie autonomicznej, kompleksowej definicji legalnej budowli wraz z enumeratywnym wyliczeniem budowli stanowiących przedmiot opodatkowania. Nadal jednak stosowna nowelizacja nie została przeprowadzona.      </w:t>
      </w:r>
    </w:p>
    <w:p w14:paraId="456F22E7" w14:textId="77777777" w:rsidR="0082666B" w:rsidRPr="005C06CC" w:rsidRDefault="0082666B" w:rsidP="0082666B">
      <w:pPr>
        <w:spacing w:after="120" w:line="276" w:lineRule="auto"/>
        <w:ind w:firstLine="360"/>
        <w:jc w:val="both"/>
        <w:rPr>
          <w:rFonts w:ascii="Cambria" w:eastAsia="Times New Roman" w:hAnsi="Cambria"/>
          <w:sz w:val="24"/>
          <w:szCs w:val="24"/>
          <w:lang w:eastAsia="pl-PL"/>
        </w:rPr>
      </w:pPr>
      <w:r w:rsidRPr="005C06CC">
        <w:rPr>
          <w:rFonts w:ascii="Cambria" w:hAnsi="Cambria"/>
          <w:sz w:val="24"/>
          <w:szCs w:val="24"/>
        </w:rPr>
        <w:t>Problematykę podatkowoprawną (zwłaszcza w kontekście podatku dochodowego od osób fizycznych) rozwinięto również na gruncie świadczenia nieodpłatnej pomocy prawnej przez radców prawnych oraz kosztów uzyskania przychodu z działalności prowadzonej przez aplikantów radcowskich (</w:t>
      </w:r>
      <w:r w:rsidRPr="005C06CC">
        <w:rPr>
          <w:rFonts w:ascii="Cambria" w:eastAsia="Times New Roman" w:hAnsi="Cambria"/>
          <w:i/>
          <w:iCs/>
          <w:sz w:val="24"/>
          <w:szCs w:val="24"/>
          <w:lang w:eastAsia="pl-PL"/>
        </w:rPr>
        <w:t>Financial-Law Problems in Providing Free-of-Charge Legal Aid in Poland. Legal Comparative Aspects. Review of European and Comparative Law</w:t>
      </w:r>
      <w:r w:rsidRPr="005C06CC">
        <w:rPr>
          <w:rFonts w:ascii="Cambria" w:eastAsia="Times New Roman" w:hAnsi="Cambria"/>
          <w:sz w:val="24"/>
          <w:szCs w:val="24"/>
          <w:lang w:eastAsia="pl-PL"/>
        </w:rPr>
        <w:t xml:space="preserve"> 2021, Nr 44(1), s. 103-126. https://doi.org/10.31743/recl.11495; </w:t>
      </w:r>
      <w:r w:rsidRPr="005C06CC">
        <w:rPr>
          <w:rFonts w:ascii="Cambria" w:eastAsia="Times New Roman" w:hAnsi="Cambria"/>
          <w:i/>
          <w:iCs/>
          <w:sz w:val="24"/>
          <w:szCs w:val="24"/>
          <w:lang w:eastAsia="pl-PL"/>
        </w:rPr>
        <w:t>Opłata roczna za aplikację radcowską jako koszt uzyskania przychodu</w:t>
      </w:r>
      <w:r w:rsidRPr="005C06CC">
        <w:rPr>
          <w:rFonts w:ascii="Cambria" w:eastAsia="Times New Roman" w:hAnsi="Cambria"/>
          <w:sz w:val="24"/>
          <w:szCs w:val="24"/>
          <w:lang w:eastAsia="pl-PL"/>
        </w:rPr>
        <w:t xml:space="preserve">, [w:] </w:t>
      </w:r>
      <w:r w:rsidRPr="005C06CC">
        <w:rPr>
          <w:rFonts w:ascii="Cambria" w:eastAsia="Times New Roman" w:hAnsi="Cambria"/>
          <w:i/>
          <w:iCs/>
          <w:sz w:val="24"/>
          <w:szCs w:val="24"/>
          <w:lang w:eastAsia="pl-PL"/>
        </w:rPr>
        <w:t>Bezpieczeństwo prawne państwa i podatnika a sprawiedliwy system podatkowy</w:t>
      </w:r>
      <w:r w:rsidRPr="005C06CC">
        <w:rPr>
          <w:rFonts w:ascii="Cambria" w:eastAsia="Times New Roman" w:hAnsi="Cambria"/>
          <w:sz w:val="24"/>
          <w:szCs w:val="24"/>
          <w:lang w:eastAsia="pl-PL"/>
        </w:rPr>
        <w:t>, red. J. Krukowski, M. Sitarz, A. Romanko, Stowarzyszenie Absolwentów i Przyjaciół Wydziału Prawa Katolickiego Uniwersytetu Lubelskiego, Lublin 2020, s. 191-209;</w:t>
      </w:r>
      <w:r w:rsidRPr="005C06CC">
        <w:rPr>
          <w:rFonts w:ascii="Cambria" w:hAnsi="Cambria"/>
          <w:sz w:val="24"/>
          <w:szCs w:val="24"/>
        </w:rPr>
        <w:t xml:space="preserve"> </w:t>
      </w:r>
      <w:r w:rsidRPr="005C06CC">
        <w:rPr>
          <w:rFonts w:ascii="Cambria" w:eastAsia="Times New Roman" w:hAnsi="Cambria"/>
          <w:i/>
          <w:iCs/>
          <w:sz w:val="24"/>
          <w:szCs w:val="24"/>
          <w:lang w:eastAsia="pl-PL"/>
        </w:rPr>
        <w:t>Aspekty podatkowoprawne świadczenia nieodpłatnej pomocy prawnej przez radcę prawnego</w:t>
      </w:r>
      <w:r w:rsidRPr="005C06CC">
        <w:rPr>
          <w:rFonts w:ascii="Cambria" w:eastAsia="Times New Roman" w:hAnsi="Cambria"/>
          <w:sz w:val="24"/>
          <w:szCs w:val="24"/>
          <w:lang w:eastAsia="pl-PL"/>
        </w:rPr>
        <w:t xml:space="preserve">, „Teka Komisji </w:t>
      </w:r>
      <w:r w:rsidRPr="005C06CC">
        <w:rPr>
          <w:rFonts w:ascii="Cambria" w:eastAsia="Times New Roman" w:hAnsi="Cambria"/>
          <w:sz w:val="24"/>
          <w:szCs w:val="24"/>
          <w:lang w:eastAsia="pl-PL"/>
        </w:rPr>
        <w:lastRenderedPageBreak/>
        <w:t>Prawniczej PAN Oddział w Lublinie”, tom XIII, 2020, nr 2, s. 493-504, https://doi.org/10.32084/tekapr.2020.13.2-38). W szczególności wypada zauważyć, że aplikacja radcowska jest szkoleniem odpłatnym, którego koszty pokrywane są z opłat aplikantów uiszczanych do budżetu właściwej okręgowej izby radców prawnych. Wymiar świadczenia aplikantów uregulowany jest w rozporządzeniu Ministra Sprawiedliwości, który - po zasięgnięciu opinii Krajowej Rady Radców Prawnych- określa wysokość opłaty (nie wyższej niż sześciokrotność minimalnego wynagrodzenia), kierując się koniecznością zapewnienia aplikantom właściwego poziomu wykształcenia. W zarysowanym kontekście prawnym, zrozumiałe wydają się być działania aplikantów (radców prawnych) nakierowane na to, by skutecznie skorzystać z możliwości ujęcia opłaty za aplikację w kosztach uzyskania przychodów. Zagadnienie to dotyczy zarówno aplikantów radcowskich - przedsiębiorców, jak i tych, którzy dopiero jako radcowie prawni założyli kancelarię (wykonują zawód w formie działalności gospodarczej) i chcą poniesione wydatki ująć w kosztach uzyskanych przychodów. Od wielu lat praktyka stosowania przepisów podatkowych nastręcza jednak wiele wątpliwości. Ani organy podatkowe, ani sądy, pomimo upływu czasu, nie przeprowadziły w tym zakresie szerokiej, wielowymiarowej analizy, ograniczając się jedynie do powielania tych samych (wątpliwych) argumentów. Przyjęcie przez organy podatkowe dość powierzchownego podejścia do zagadnienia doprowadziło do ukształtowania się niesprzyjającego podatnikom – radcom prawnym trendu interpretacyjnego. Dotyczy to szczególnie tych osób, które w czasie odbywania aplikacji radcowskiej nie prowadziły jeszcze działalności gospodarczej w obszarze świadczenia usług prawnych. Odmawia się im bowiem prawa do późniejszego (w momencie nabycia uprawnień) zakwalifikowania poniesionych wydatków do kosztów uzyskania przychodów z działalności gospodarczej prowadzonej w formie kancelarii. Formułowane wnioski osadza się zazwyczaj w wąskim kontekście przepisów ustawy o podatku dochodowym od osób fizycznych, niejako zapominając o perspektywie zewnątrzsystemowej. Zbudowano tym samym argumentację, która nie tylko nie przekonuje, ale wręcz nie dotyka sedna problemów dotyczących odbywania aplikacji radcowskiej w kontekście oceny jej charakteru prawnego oraz wydatków z jej odbywaniem związanych. Na tym tle jasno widać, że zarówno organy podatkowe, jak i sądy administracyjne przeprowadziły zbyt daleko idącą wykładnię przepisów podatkowych, która doprowadziła do wyprowadzenia nieprawidłowych wniosków o konieczności wykazywania przez podatników „ścisłego” („bezpośredniego”) związku przyczynowo-skutkowego pomiędzy ponoszonymi wydatkami w czasie aplikacji a prowadzoną działalnością gospodarczą polegającą na świadczeniu usług prawnych. W takim kontekście niewątpliwie jest to istotny obszar, który należało objąć prowadzonymi badaniami.</w:t>
      </w:r>
    </w:p>
    <w:p w14:paraId="739C2619" w14:textId="04D2C131" w:rsidR="0082666B" w:rsidRPr="005C06CC" w:rsidRDefault="00BB4E60" w:rsidP="00BB4E60">
      <w:pPr>
        <w:spacing w:after="120" w:line="276" w:lineRule="auto"/>
        <w:jc w:val="both"/>
        <w:rPr>
          <w:rFonts w:ascii="Cambria" w:eastAsia="Times New Roman" w:hAnsi="Cambria"/>
          <w:b/>
          <w:bCs/>
          <w:sz w:val="24"/>
          <w:szCs w:val="24"/>
          <w:lang w:eastAsia="pl-PL"/>
        </w:rPr>
      </w:pPr>
      <w:r w:rsidRPr="00BB4E60">
        <w:rPr>
          <w:rFonts w:ascii="Cambria" w:hAnsi="Cambria"/>
          <w:b/>
          <w:bCs/>
          <w:sz w:val="24"/>
          <w:szCs w:val="24"/>
        </w:rPr>
        <w:t>Ad. 6)</w:t>
      </w:r>
      <w:r>
        <w:rPr>
          <w:rFonts w:ascii="Cambria" w:hAnsi="Cambria"/>
          <w:sz w:val="24"/>
          <w:szCs w:val="24"/>
        </w:rPr>
        <w:t xml:space="preserve"> </w:t>
      </w:r>
      <w:r w:rsidR="0082666B" w:rsidRPr="005C06CC">
        <w:rPr>
          <w:rFonts w:ascii="Cambria" w:eastAsia="Times New Roman" w:hAnsi="Cambria"/>
          <w:b/>
          <w:bCs/>
          <w:sz w:val="24"/>
          <w:szCs w:val="24"/>
          <w:lang w:eastAsia="pl-PL"/>
        </w:rPr>
        <w:t xml:space="preserve">Gwarancje stron w postępowaniu </w:t>
      </w:r>
      <w:r w:rsidR="006A2ACC">
        <w:rPr>
          <w:rFonts w:ascii="Cambria" w:eastAsia="Times New Roman" w:hAnsi="Cambria"/>
          <w:b/>
          <w:bCs/>
          <w:sz w:val="24"/>
          <w:szCs w:val="24"/>
          <w:lang w:eastAsia="pl-PL"/>
        </w:rPr>
        <w:t>sądowym</w:t>
      </w:r>
      <w:r w:rsidR="0082666B" w:rsidRPr="005C06CC">
        <w:rPr>
          <w:rFonts w:ascii="Cambria" w:eastAsia="Times New Roman" w:hAnsi="Cambria"/>
          <w:b/>
          <w:bCs/>
          <w:sz w:val="24"/>
          <w:szCs w:val="24"/>
          <w:lang w:eastAsia="pl-PL"/>
        </w:rPr>
        <w:t xml:space="preserve"> i </w:t>
      </w:r>
      <w:r w:rsidR="006A2ACC">
        <w:rPr>
          <w:rFonts w:ascii="Cambria" w:eastAsia="Times New Roman" w:hAnsi="Cambria"/>
          <w:b/>
          <w:bCs/>
          <w:sz w:val="24"/>
          <w:szCs w:val="24"/>
          <w:lang w:eastAsia="pl-PL"/>
        </w:rPr>
        <w:t>pozasądowym</w:t>
      </w:r>
      <w:r w:rsidR="0082666B" w:rsidRPr="005C06CC">
        <w:rPr>
          <w:rFonts w:ascii="Cambria" w:eastAsia="Times New Roman" w:hAnsi="Cambria"/>
          <w:b/>
          <w:bCs/>
          <w:sz w:val="24"/>
          <w:szCs w:val="24"/>
          <w:lang w:eastAsia="pl-PL"/>
        </w:rPr>
        <w:t>, z uwzględnieniem elementów prawa międzynarodowego i nowych technologii (zwłaszcza w kontekście bezpieczeństwa publicznego)</w:t>
      </w:r>
    </w:p>
    <w:p w14:paraId="1F87D383" w14:textId="77777777" w:rsidR="00BB4E60" w:rsidRDefault="00BB4E60" w:rsidP="00BB4E60">
      <w:pPr>
        <w:spacing w:after="0" w:line="240" w:lineRule="auto"/>
        <w:jc w:val="both"/>
        <w:rPr>
          <w:rFonts w:ascii="Cambria" w:eastAsia="Times New Roman" w:hAnsi="Cambria"/>
          <w:bCs/>
          <w:sz w:val="24"/>
          <w:szCs w:val="24"/>
          <w:lang w:eastAsia="pl-PL"/>
        </w:rPr>
      </w:pPr>
      <w:r>
        <w:rPr>
          <w:rFonts w:ascii="Cambria" w:eastAsia="Times New Roman" w:hAnsi="Cambria"/>
          <w:bCs/>
          <w:sz w:val="24"/>
          <w:szCs w:val="24"/>
          <w:lang w:eastAsia="pl-PL"/>
        </w:rPr>
        <w:lastRenderedPageBreak/>
        <w:t xml:space="preserve">Problematykę związaną z </w:t>
      </w:r>
      <w:r w:rsidRPr="005C06CC">
        <w:rPr>
          <w:rFonts w:ascii="Cambria" w:eastAsia="Times New Roman" w:hAnsi="Cambria"/>
          <w:bCs/>
          <w:sz w:val="24"/>
          <w:szCs w:val="24"/>
          <w:lang w:eastAsia="pl-PL"/>
        </w:rPr>
        <w:t>niniejszym obszar</w:t>
      </w:r>
      <w:r>
        <w:rPr>
          <w:rFonts w:ascii="Cambria" w:eastAsia="Times New Roman" w:hAnsi="Cambria"/>
          <w:bCs/>
          <w:sz w:val="24"/>
          <w:szCs w:val="24"/>
          <w:lang w:eastAsia="pl-PL"/>
        </w:rPr>
        <w:t>em</w:t>
      </w:r>
      <w:r w:rsidRPr="005C06CC">
        <w:rPr>
          <w:rFonts w:ascii="Cambria" w:eastAsia="Times New Roman" w:hAnsi="Cambria"/>
          <w:bCs/>
          <w:sz w:val="24"/>
          <w:szCs w:val="24"/>
          <w:lang w:eastAsia="pl-PL"/>
        </w:rPr>
        <w:t xml:space="preserve"> badawczym </w:t>
      </w:r>
      <w:r>
        <w:rPr>
          <w:rFonts w:ascii="Cambria" w:eastAsia="Times New Roman" w:hAnsi="Cambria"/>
          <w:bCs/>
          <w:sz w:val="24"/>
          <w:szCs w:val="24"/>
          <w:lang w:eastAsia="pl-PL"/>
        </w:rPr>
        <w:t>rozwinięto w</w:t>
      </w:r>
      <w:r w:rsidRPr="005C06CC">
        <w:rPr>
          <w:rFonts w:ascii="Cambria" w:eastAsia="Times New Roman" w:hAnsi="Cambria"/>
          <w:bCs/>
          <w:sz w:val="24"/>
          <w:szCs w:val="24"/>
          <w:lang w:eastAsia="pl-PL"/>
        </w:rPr>
        <w:t xml:space="preserve"> publikacj</w:t>
      </w:r>
      <w:r>
        <w:rPr>
          <w:rFonts w:ascii="Cambria" w:eastAsia="Times New Roman" w:hAnsi="Cambria"/>
          <w:bCs/>
          <w:sz w:val="24"/>
          <w:szCs w:val="24"/>
          <w:lang w:eastAsia="pl-PL"/>
        </w:rPr>
        <w:t>ach</w:t>
      </w:r>
      <w:r w:rsidRPr="005C06CC">
        <w:rPr>
          <w:rFonts w:ascii="Cambria" w:eastAsia="Times New Roman" w:hAnsi="Cambria"/>
          <w:bCs/>
          <w:sz w:val="24"/>
          <w:szCs w:val="24"/>
          <w:lang w:eastAsia="pl-PL"/>
        </w:rPr>
        <w:t xml:space="preserve"> o charakterze</w:t>
      </w:r>
      <w:r>
        <w:rPr>
          <w:rFonts w:ascii="Cambria" w:eastAsia="Times New Roman" w:hAnsi="Cambria"/>
          <w:bCs/>
          <w:sz w:val="24"/>
          <w:szCs w:val="24"/>
          <w:lang w:eastAsia="pl-PL"/>
        </w:rPr>
        <w:t>:</w:t>
      </w:r>
      <w:r w:rsidRPr="005C06CC">
        <w:rPr>
          <w:rFonts w:ascii="Cambria" w:eastAsia="Times New Roman" w:hAnsi="Cambria"/>
          <w:bCs/>
          <w:sz w:val="24"/>
          <w:szCs w:val="24"/>
          <w:lang w:eastAsia="pl-PL"/>
        </w:rPr>
        <w:t xml:space="preserve"> </w:t>
      </w:r>
      <w:r>
        <w:rPr>
          <w:rFonts w:ascii="Cambria" w:eastAsia="Times New Roman" w:hAnsi="Cambria"/>
          <w:bCs/>
          <w:sz w:val="24"/>
          <w:szCs w:val="24"/>
          <w:lang w:eastAsia="pl-PL"/>
        </w:rPr>
        <w:t xml:space="preserve">recenzowanej monografii naukowej, </w:t>
      </w:r>
      <w:r w:rsidRPr="005C06CC">
        <w:rPr>
          <w:rFonts w:ascii="Cambria" w:eastAsia="Times New Roman" w:hAnsi="Cambria"/>
          <w:bCs/>
          <w:sz w:val="24"/>
          <w:szCs w:val="24"/>
          <w:lang w:eastAsia="pl-PL"/>
        </w:rPr>
        <w:t xml:space="preserve">artykułów </w:t>
      </w:r>
      <w:r>
        <w:rPr>
          <w:rFonts w:ascii="Cambria" w:eastAsia="Times New Roman" w:hAnsi="Cambria"/>
          <w:bCs/>
          <w:sz w:val="24"/>
          <w:szCs w:val="24"/>
          <w:lang w:eastAsia="pl-PL"/>
        </w:rPr>
        <w:t xml:space="preserve">w czasopismach </w:t>
      </w:r>
      <w:r w:rsidRPr="005C06CC">
        <w:rPr>
          <w:rFonts w:ascii="Cambria" w:eastAsia="Times New Roman" w:hAnsi="Cambria"/>
          <w:bCs/>
          <w:sz w:val="24"/>
          <w:szCs w:val="24"/>
          <w:lang w:eastAsia="pl-PL"/>
        </w:rPr>
        <w:t xml:space="preserve">naukowych, rozdziałów w </w:t>
      </w:r>
      <w:r>
        <w:rPr>
          <w:rFonts w:ascii="Cambria" w:eastAsia="Times New Roman" w:hAnsi="Cambria"/>
          <w:bCs/>
          <w:sz w:val="24"/>
          <w:szCs w:val="24"/>
          <w:lang w:eastAsia="pl-PL"/>
        </w:rPr>
        <w:t xml:space="preserve">recenzowanych </w:t>
      </w:r>
      <w:r w:rsidRPr="005C06CC">
        <w:rPr>
          <w:rFonts w:ascii="Cambria" w:eastAsia="Times New Roman" w:hAnsi="Cambria"/>
          <w:bCs/>
          <w:sz w:val="24"/>
          <w:szCs w:val="24"/>
          <w:lang w:eastAsia="pl-PL"/>
        </w:rPr>
        <w:t>monografiach</w:t>
      </w:r>
      <w:r>
        <w:rPr>
          <w:rFonts w:ascii="Cambria" w:eastAsia="Times New Roman" w:hAnsi="Cambria"/>
          <w:bCs/>
          <w:sz w:val="24"/>
          <w:szCs w:val="24"/>
          <w:lang w:eastAsia="pl-PL"/>
        </w:rPr>
        <w:t xml:space="preserve"> naukowych, </w:t>
      </w:r>
      <w:r w:rsidRPr="005C06CC">
        <w:rPr>
          <w:rFonts w:ascii="Cambria" w:eastAsia="Times New Roman" w:hAnsi="Cambria"/>
          <w:bCs/>
          <w:sz w:val="24"/>
          <w:szCs w:val="24"/>
          <w:lang w:eastAsia="pl-PL"/>
        </w:rPr>
        <w:t>tj.</w:t>
      </w:r>
    </w:p>
    <w:p w14:paraId="486E75E8" w14:textId="38C9FDF1" w:rsidR="0082666B" w:rsidRDefault="0082666B" w:rsidP="0082666B">
      <w:pPr>
        <w:spacing w:after="120" w:line="276" w:lineRule="auto"/>
        <w:jc w:val="both"/>
        <w:rPr>
          <w:rFonts w:ascii="Cambria" w:eastAsia="Times New Roman" w:hAnsi="Cambria"/>
          <w:sz w:val="24"/>
          <w:szCs w:val="24"/>
          <w:lang w:eastAsia="pl-PL"/>
        </w:rPr>
      </w:pPr>
    </w:p>
    <w:p w14:paraId="381FC69E" w14:textId="78A5AE73" w:rsidR="00BB4E60" w:rsidRPr="00BB4E60" w:rsidRDefault="00BB4E60" w:rsidP="0038603B">
      <w:pPr>
        <w:pStyle w:val="Akapitzlist"/>
        <w:numPr>
          <w:ilvl w:val="0"/>
          <w:numId w:val="35"/>
        </w:numPr>
        <w:spacing w:after="120" w:line="276" w:lineRule="auto"/>
        <w:jc w:val="both"/>
        <w:rPr>
          <w:rFonts w:ascii="Cambria" w:eastAsia="Times New Roman" w:hAnsi="Cambria"/>
          <w:sz w:val="24"/>
          <w:szCs w:val="24"/>
          <w:lang w:eastAsia="pl-PL"/>
        </w:rPr>
      </w:pPr>
      <w:r w:rsidRPr="00BB4E60">
        <w:rPr>
          <w:rFonts w:ascii="Cambria" w:eastAsia="Times New Roman" w:hAnsi="Cambria"/>
          <w:sz w:val="24"/>
          <w:szCs w:val="24"/>
          <w:u w:val="single"/>
          <w:lang w:eastAsia="pl-PL"/>
        </w:rPr>
        <w:t>Recenzowana monografia naukowa</w:t>
      </w:r>
      <w:r w:rsidRPr="00BB4E60">
        <w:rPr>
          <w:rFonts w:ascii="Cambria" w:eastAsia="Times New Roman" w:hAnsi="Cambria"/>
          <w:sz w:val="24"/>
          <w:szCs w:val="24"/>
          <w:lang w:eastAsia="pl-PL"/>
        </w:rPr>
        <w:t>:</w:t>
      </w:r>
    </w:p>
    <w:p w14:paraId="50AE239E" w14:textId="2F49A082" w:rsidR="0082666B" w:rsidRPr="00BB4E60" w:rsidRDefault="0082666B" w:rsidP="0038603B">
      <w:pPr>
        <w:numPr>
          <w:ilvl w:val="0"/>
          <w:numId w:val="25"/>
        </w:numPr>
        <w:spacing w:after="120" w:line="276" w:lineRule="auto"/>
        <w:jc w:val="both"/>
        <w:rPr>
          <w:rFonts w:ascii="Cambria" w:eastAsia="Times New Roman" w:hAnsi="Cambria"/>
          <w:color w:val="FF0000"/>
          <w:sz w:val="24"/>
          <w:szCs w:val="24"/>
          <w:lang w:eastAsia="pl-PL"/>
        </w:rPr>
      </w:pPr>
      <w:r w:rsidRPr="005C06CC">
        <w:rPr>
          <w:rFonts w:ascii="Cambria" w:eastAsia="Times New Roman" w:hAnsi="Cambria"/>
          <w:i/>
          <w:iCs/>
          <w:color w:val="151515"/>
          <w:sz w:val="24"/>
          <w:szCs w:val="24"/>
          <w:lang w:eastAsia="pl-PL"/>
        </w:rPr>
        <w:t>E-protokół w postępowaniu przed Krajową Izbą Odwoławczą. Korzyści i zagrożenia na przykładzie cywilnego postępowania sądowego</w:t>
      </w:r>
      <w:r w:rsidRPr="005C06CC">
        <w:rPr>
          <w:rFonts w:ascii="Cambria" w:eastAsia="Times New Roman" w:hAnsi="Cambria"/>
          <w:color w:val="151515"/>
          <w:sz w:val="24"/>
          <w:szCs w:val="24"/>
          <w:lang w:eastAsia="pl-PL"/>
        </w:rPr>
        <w:t xml:space="preserve"> (współautorzy: M. Stręciwilk, S. Zaborska), Wydawnictwo TN KUL, Lublin 2019, ISBN: 978-83-7306-874-2, ss. 206;</w:t>
      </w:r>
    </w:p>
    <w:p w14:paraId="40269D9A" w14:textId="342345F7" w:rsidR="00BB4E60" w:rsidRPr="00BB4E60" w:rsidRDefault="00BB4E60" w:rsidP="0038603B">
      <w:pPr>
        <w:pStyle w:val="Akapitzlist"/>
        <w:numPr>
          <w:ilvl w:val="0"/>
          <w:numId w:val="35"/>
        </w:numPr>
        <w:spacing w:after="120" w:line="276" w:lineRule="auto"/>
        <w:jc w:val="both"/>
        <w:rPr>
          <w:rFonts w:ascii="Cambria" w:eastAsia="Times New Roman" w:hAnsi="Cambria"/>
          <w:sz w:val="24"/>
          <w:szCs w:val="24"/>
          <w:lang w:eastAsia="pl-PL"/>
        </w:rPr>
      </w:pPr>
      <w:r w:rsidRPr="00BB4E60">
        <w:rPr>
          <w:rFonts w:ascii="Cambria" w:eastAsia="Times New Roman" w:hAnsi="Cambria"/>
          <w:sz w:val="24"/>
          <w:szCs w:val="24"/>
          <w:u w:val="single"/>
          <w:lang w:eastAsia="pl-PL"/>
        </w:rPr>
        <w:t>Artykuły w czasopismach naukowych</w:t>
      </w:r>
      <w:r>
        <w:rPr>
          <w:rFonts w:ascii="Cambria" w:eastAsia="Times New Roman" w:hAnsi="Cambria"/>
          <w:sz w:val="24"/>
          <w:szCs w:val="24"/>
          <w:lang w:eastAsia="pl-PL"/>
        </w:rPr>
        <w:t>:</w:t>
      </w:r>
    </w:p>
    <w:p w14:paraId="7613AA25" w14:textId="77777777" w:rsidR="0082666B" w:rsidRPr="005C06CC" w:rsidRDefault="0082666B" w:rsidP="007941A7">
      <w:pPr>
        <w:numPr>
          <w:ilvl w:val="0"/>
          <w:numId w:val="25"/>
        </w:numPr>
        <w:spacing w:after="120" w:line="276" w:lineRule="auto"/>
        <w:jc w:val="both"/>
        <w:rPr>
          <w:rFonts w:ascii="Cambria" w:eastAsia="Times New Roman" w:hAnsi="Cambria"/>
          <w:color w:val="FF0000"/>
          <w:sz w:val="24"/>
          <w:szCs w:val="24"/>
          <w:lang w:eastAsia="pl-PL"/>
        </w:rPr>
      </w:pPr>
      <w:r w:rsidRPr="005C06CC">
        <w:rPr>
          <w:rFonts w:ascii="Cambria" w:eastAsia="Times New Roman" w:hAnsi="Cambria"/>
          <w:i/>
          <w:sz w:val="24"/>
          <w:szCs w:val="24"/>
          <w:lang w:eastAsia="pl-PL"/>
        </w:rPr>
        <w:t>Ochrona mniejszości narodowych w dwustronnych umowach międzynarodowych zawartych przez Polskę</w:t>
      </w:r>
      <w:r w:rsidRPr="005C06CC">
        <w:rPr>
          <w:rFonts w:ascii="Cambria" w:eastAsia="Times New Roman" w:hAnsi="Cambria"/>
          <w:sz w:val="24"/>
          <w:szCs w:val="24"/>
          <w:lang w:eastAsia="pl-PL"/>
        </w:rPr>
        <w:t>, „Studenckie Zeszyty Naukowe” 2006, nr 12, s. 47 – 64;</w:t>
      </w:r>
    </w:p>
    <w:p w14:paraId="240DD2E8" w14:textId="77777777" w:rsidR="00BB4E60" w:rsidRPr="005C06CC" w:rsidRDefault="00BB4E60" w:rsidP="007941A7">
      <w:pPr>
        <w:numPr>
          <w:ilvl w:val="0"/>
          <w:numId w:val="25"/>
        </w:numPr>
        <w:spacing w:after="120" w:line="276" w:lineRule="auto"/>
        <w:jc w:val="both"/>
        <w:rPr>
          <w:rFonts w:ascii="Cambria" w:eastAsia="Times New Roman" w:hAnsi="Cambria"/>
          <w:sz w:val="24"/>
          <w:szCs w:val="24"/>
          <w:lang w:val="en-GB" w:eastAsia="pl-PL"/>
        </w:rPr>
      </w:pPr>
      <w:r w:rsidRPr="005C06CC">
        <w:rPr>
          <w:rFonts w:ascii="Cambria" w:eastAsia="Times New Roman" w:hAnsi="Cambria"/>
          <w:i/>
          <w:iCs/>
          <w:sz w:val="24"/>
          <w:szCs w:val="24"/>
          <w:lang w:val="en-GB" w:eastAsia="pl-PL"/>
        </w:rPr>
        <w:t>The European Convention on Human Rights - vivid and powerful legal instrument?</w:t>
      </w:r>
      <w:r w:rsidRPr="005C06CC">
        <w:rPr>
          <w:rFonts w:ascii="Cambria" w:eastAsia="Times New Roman" w:hAnsi="Cambria"/>
          <w:sz w:val="24"/>
          <w:szCs w:val="24"/>
          <w:lang w:val="en-GB" w:eastAsia="pl-PL"/>
        </w:rPr>
        <w:t>, 10.12.2020, https://aea-eal.eu/publications/#The_European_Convention_on_Human_Rights_%E2%80%93_vivid_and_powerful_legal_instrument [dostęp: 06.03.2022].</w:t>
      </w:r>
    </w:p>
    <w:p w14:paraId="6B733717" w14:textId="77777777" w:rsidR="0082666B" w:rsidRPr="005C06CC" w:rsidRDefault="0082666B" w:rsidP="007941A7">
      <w:pPr>
        <w:numPr>
          <w:ilvl w:val="0"/>
          <w:numId w:val="25"/>
        </w:numPr>
        <w:spacing w:after="120" w:line="276" w:lineRule="auto"/>
        <w:jc w:val="both"/>
        <w:rPr>
          <w:rFonts w:ascii="Cambria" w:eastAsia="Times New Roman" w:hAnsi="Cambria"/>
          <w:color w:val="FF0000"/>
          <w:sz w:val="24"/>
          <w:szCs w:val="24"/>
          <w:lang w:eastAsia="pl-PL"/>
        </w:rPr>
      </w:pPr>
      <w:r w:rsidRPr="005C06CC">
        <w:rPr>
          <w:rFonts w:ascii="Cambria" w:eastAsia="Times New Roman" w:hAnsi="Cambria"/>
          <w:i/>
          <w:sz w:val="24"/>
          <w:szCs w:val="24"/>
          <w:lang w:eastAsia="pl-PL"/>
        </w:rPr>
        <w:t>Gwarancje stron w postępowaniu prywatnoskargowym</w:t>
      </w:r>
      <w:r w:rsidRPr="005C06CC">
        <w:rPr>
          <w:rFonts w:ascii="Cambria" w:eastAsia="Times New Roman" w:hAnsi="Cambria"/>
          <w:sz w:val="24"/>
          <w:szCs w:val="24"/>
          <w:lang w:eastAsia="pl-PL"/>
        </w:rPr>
        <w:t>, „Studenckie Zeszyty Naukowe” 2006, nr 14, s. 7 – 20;</w:t>
      </w:r>
    </w:p>
    <w:p w14:paraId="283A343A" w14:textId="77777777" w:rsidR="00562FCB" w:rsidRPr="005C06CC" w:rsidRDefault="00562FCB" w:rsidP="007941A7">
      <w:pPr>
        <w:numPr>
          <w:ilvl w:val="0"/>
          <w:numId w:val="25"/>
        </w:numPr>
        <w:spacing w:after="120" w:line="276" w:lineRule="auto"/>
        <w:jc w:val="both"/>
        <w:rPr>
          <w:rFonts w:ascii="Cambria" w:eastAsia="Times New Roman" w:hAnsi="Cambria"/>
          <w:color w:val="FF0000"/>
          <w:sz w:val="24"/>
          <w:szCs w:val="24"/>
          <w:lang w:eastAsia="pl-PL"/>
        </w:rPr>
      </w:pPr>
      <w:r w:rsidRPr="005C06CC">
        <w:rPr>
          <w:rFonts w:ascii="Cambria" w:eastAsia="Times New Roman" w:hAnsi="Cambria"/>
          <w:i/>
          <w:sz w:val="24"/>
          <w:szCs w:val="24"/>
          <w:lang w:eastAsia="pl-PL"/>
        </w:rPr>
        <w:t>Opcje walutowe – szansa na zysk czy zdradliwa spekulacja?</w:t>
      </w:r>
      <w:r w:rsidRPr="005C06CC">
        <w:rPr>
          <w:rFonts w:ascii="Cambria" w:eastAsia="Times New Roman" w:hAnsi="Cambria"/>
          <w:sz w:val="24"/>
          <w:szCs w:val="24"/>
          <w:lang w:eastAsia="pl-PL"/>
        </w:rPr>
        <w:t>, „Studenckie Zeszyty Naukowe” 2010, nr 20, s. 75 – 116.</w:t>
      </w:r>
    </w:p>
    <w:p w14:paraId="3E154BB1" w14:textId="77777777" w:rsidR="0082666B" w:rsidRPr="005C06CC" w:rsidRDefault="0082666B" w:rsidP="007941A7">
      <w:pPr>
        <w:numPr>
          <w:ilvl w:val="0"/>
          <w:numId w:val="25"/>
        </w:numPr>
        <w:spacing w:after="120" w:line="276" w:lineRule="auto"/>
        <w:jc w:val="both"/>
        <w:rPr>
          <w:rFonts w:ascii="Cambria" w:eastAsia="Times New Roman" w:hAnsi="Cambria"/>
          <w:color w:val="FF0000"/>
          <w:sz w:val="24"/>
          <w:szCs w:val="24"/>
          <w:lang w:eastAsia="pl-PL"/>
        </w:rPr>
      </w:pPr>
      <w:r w:rsidRPr="005C06CC">
        <w:rPr>
          <w:rFonts w:ascii="Cambria" w:eastAsia="Times New Roman" w:hAnsi="Cambria"/>
          <w:i/>
          <w:sz w:val="24"/>
          <w:szCs w:val="24"/>
          <w:lang w:eastAsia="pl-PL"/>
        </w:rPr>
        <w:t>Ochrona porządku i spokoju publicznego w prawie wykroczeń</w:t>
      </w:r>
      <w:r w:rsidRPr="005C06CC">
        <w:rPr>
          <w:rFonts w:ascii="Cambria" w:eastAsia="Times New Roman" w:hAnsi="Cambria"/>
          <w:sz w:val="24"/>
          <w:szCs w:val="24"/>
          <w:lang w:eastAsia="pl-PL"/>
        </w:rPr>
        <w:t>, „Studenckie Zeszyty Naukowe” 2006, nr 14, s. 129 – 137;</w:t>
      </w:r>
    </w:p>
    <w:p w14:paraId="52059327" w14:textId="2BE76384" w:rsidR="0082666B" w:rsidRPr="007941A7" w:rsidRDefault="0082666B" w:rsidP="007941A7">
      <w:pPr>
        <w:numPr>
          <w:ilvl w:val="0"/>
          <w:numId w:val="25"/>
        </w:numPr>
        <w:spacing w:after="120" w:line="276" w:lineRule="auto"/>
        <w:jc w:val="both"/>
        <w:rPr>
          <w:rFonts w:ascii="Cambria" w:eastAsia="Times New Roman" w:hAnsi="Cambria"/>
          <w:color w:val="FF0000"/>
          <w:sz w:val="24"/>
          <w:szCs w:val="24"/>
          <w:lang w:eastAsia="pl-PL"/>
        </w:rPr>
      </w:pPr>
      <w:r w:rsidRPr="005C06CC">
        <w:rPr>
          <w:rFonts w:ascii="Cambria" w:eastAsia="Times New Roman" w:hAnsi="Cambria"/>
          <w:i/>
          <w:sz w:val="24"/>
          <w:szCs w:val="24"/>
          <w:lang w:eastAsia="pl-PL"/>
        </w:rPr>
        <w:t>Ustrój wspólności majątkowej małżonków</w:t>
      </w:r>
      <w:r w:rsidRPr="005C06CC">
        <w:rPr>
          <w:rFonts w:ascii="Cambria" w:eastAsia="Times New Roman" w:hAnsi="Cambria"/>
          <w:sz w:val="24"/>
          <w:szCs w:val="24"/>
          <w:lang w:eastAsia="pl-PL"/>
        </w:rPr>
        <w:t>, „Studenckie Zeszyty Naukowe” 2005, nr 11, s. 37 – 49;</w:t>
      </w:r>
    </w:p>
    <w:p w14:paraId="75429159" w14:textId="77777777" w:rsidR="007941A7" w:rsidRPr="00BB4E60" w:rsidRDefault="007941A7" w:rsidP="007941A7">
      <w:pPr>
        <w:pStyle w:val="Akapitzlist"/>
        <w:numPr>
          <w:ilvl w:val="0"/>
          <w:numId w:val="35"/>
        </w:numPr>
        <w:spacing w:after="120" w:line="276" w:lineRule="auto"/>
        <w:jc w:val="both"/>
        <w:rPr>
          <w:rFonts w:ascii="Cambria" w:eastAsia="Times New Roman" w:hAnsi="Cambria"/>
          <w:sz w:val="24"/>
          <w:szCs w:val="24"/>
          <w:u w:val="single"/>
          <w:lang w:eastAsia="pl-PL"/>
        </w:rPr>
      </w:pPr>
      <w:r w:rsidRPr="00BB4E60">
        <w:rPr>
          <w:rFonts w:ascii="Cambria" w:eastAsia="Times New Roman" w:hAnsi="Cambria"/>
          <w:sz w:val="24"/>
          <w:szCs w:val="24"/>
          <w:u w:val="single"/>
          <w:lang w:eastAsia="pl-PL"/>
        </w:rPr>
        <w:t>Rozdziały w recenzowanych monografiach naukowych:</w:t>
      </w:r>
    </w:p>
    <w:p w14:paraId="15CF0AE1" w14:textId="77777777" w:rsidR="007941A7" w:rsidRPr="00BB4E60" w:rsidRDefault="007941A7" w:rsidP="007941A7">
      <w:pPr>
        <w:pStyle w:val="Akapitzlist"/>
        <w:numPr>
          <w:ilvl w:val="0"/>
          <w:numId w:val="25"/>
        </w:numPr>
        <w:spacing w:after="120" w:line="276" w:lineRule="auto"/>
        <w:jc w:val="both"/>
        <w:rPr>
          <w:rFonts w:ascii="Cambria" w:eastAsia="Times New Roman" w:hAnsi="Cambria"/>
          <w:color w:val="FF0000"/>
          <w:sz w:val="24"/>
          <w:szCs w:val="24"/>
          <w:lang w:eastAsia="pl-PL"/>
        </w:rPr>
      </w:pPr>
      <w:r w:rsidRPr="00BB4E60">
        <w:rPr>
          <w:rFonts w:ascii="Cambria" w:eastAsia="Times New Roman" w:hAnsi="Cambria"/>
          <w:i/>
          <w:iCs/>
          <w:color w:val="151515"/>
          <w:sz w:val="24"/>
          <w:szCs w:val="24"/>
          <w:lang w:eastAsia="pl-PL"/>
        </w:rPr>
        <w:t xml:space="preserve">Ochrona prawna interesów klienta radcy prawnego w świetle praktyki przeprowadzania przesłuchań przez konsula – wybrana problematyka </w:t>
      </w:r>
      <w:r w:rsidRPr="00BB4E60">
        <w:rPr>
          <w:rFonts w:ascii="Cambria" w:eastAsia="Times New Roman" w:hAnsi="Cambria"/>
          <w:color w:val="151515"/>
          <w:sz w:val="24"/>
          <w:szCs w:val="24"/>
          <w:lang w:eastAsia="pl-PL"/>
        </w:rPr>
        <w:t>(współautor N. Karpiuk), ,,Studia Prawnicze i Administracyjne” 2018, nr 24(2), s. 17-24;</w:t>
      </w:r>
    </w:p>
    <w:p w14:paraId="42E123D8" w14:textId="77777777" w:rsidR="007941A7" w:rsidRDefault="007941A7" w:rsidP="007941A7">
      <w:pPr>
        <w:numPr>
          <w:ilvl w:val="0"/>
          <w:numId w:val="25"/>
        </w:numPr>
        <w:spacing w:after="120" w:line="276" w:lineRule="auto"/>
        <w:jc w:val="both"/>
        <w:rPr>
          <w:rFonts w:ascii="Cambria" w:eastAsia="Times New Roman" w:hAnsi="Cambria"/>
          <w:sz w:val="24"/>
          <w:szCs w:val="24"/>
          <w:lang w:eastAsia="pl-PL"/>
        </w:rPr>
      </w:pPr>
      <w:r w:rsidRPr="005C06CC">
        <w:rPr>
          <w:rFonts w:ascii="Cambria" w:eastAsia="Times New Roman" w:hAnsi="Cambria"/>
          <w:i/>
          <w:iCs/>
          <w:sz w:val="24"/>
          <w:szCs w:val="24"/>
          <w:lang w:eastAsia="pl-PL"/>
        </w:rPr>
        <w:t>Komentarz do art. 9-11</w:t>
      </w:r>
      <w:r w:rsidRPr="005C06CC">
        <w:rPr>
          <w:rFonts w:ascii="Cambria" w:eastAsia="Times New Roman" w:hAnsi="Cambria"/>
          <w:sz w:val="24"/>
          <w:szCs w:val="24"/>
          <w:lang w:eastAsia="pl-PL"/>
        </w:rPr>
        <w:t xml:space="preserve"> </w:t>
      </w:r>
      <w:r w:rsidRPr="005C06CC">
        <w:rPr>
          <w:rFonts w:ascii="Cambria" w:eastAsia="Times New Roman" w:hAnsi="Cambria"/>
          <w:i/>
          <w:iCs/>
          <w:sz w:val="24"/>
          <w:szCs w:val="24"/>
          <w:lang w:eastAsia="pl-PL"/>
        </w:rPr>
        <w:t>Ustawy z dnia 12 marca 2022 r. o pomocy obywatelom Ukrainy w związku z konfliktem zbrojnym na terytorium tego państwa</w:t>
      </w:r>
      <w:r w:rsidRPr="005C06CC">
        <w:rPr>
          <w:rFonts w:ascii="Cambria" w:eastAsia="Times New Roman" w:hAnsi="Cambria"/>
          <w:sz w:val="24"/>
          <w:szCs w:val="24"/>
          <w:lang w:eastAsia="pl-PL"/>
        </w:rPr>
        <w:t xml:space="preserve"> [Profil zaufany; weryfikacja tożsamości wnioskodawcy; publiczna aplikacja mobilna; wyjazd obywatela Ukrainy z terytorium RP a uprawnienia], [w:] </w:t>
      </w:r>
      <w:r w:rsidRPr="005C06CC">
        <w:rPr>
          <w:rFonts w:ascii="Cambria" w:eastAsia="Times New Roman" w:hAnsi="Cambria"/>
          <w:i/>
          <w:iCs/>
          <w:sz w:val="24"/>
          <w:szCs w:val="24"/>
          <w:lang w:eastAsia="pl-PL"/>
        </w:rPr>
        <w:t>Ustawa o pomocy obywatelom Ukrainy. Komentarz z wzorami dotyczącymi pobytu, dostępu do rynku pracy, świadczeń społecznych, edukacji i opieki zdrowotnej</w:t>
      </w:r>
      <w:r w:rsidRPr="005C06CC">
        <w:rPr>
          <w:rFonts w:ascii="Cambria" w:eastAsia="Times New Roman" w:hAnsi="Cambria"/>
          <w:sz w:val="24"/>
          <w:szCs w:val="24"/>
          <w:lang w:eastAsia="pl-PL"/>
        </w:rPr>
        <w:t xml:space="preserve">, red. P. Drembkowski, Warszawa 2022, Wydawnictwo C.H. Beck, ISBN 978-83-8291-213-5, s. 46-52. </w:t>
      </w:r>
    </w:p>
    <w:p w14:paraId="66E1889B" w14:textId="77777777" w:rsidR="007941A7" w:rsidRPr="005C06CC" w:rsidRDefault="007941A7" w:rsidP="007941A7">
      <w:pPr>
        <w:spacing w:after="120" w:line="276" w:lineRule="auto"/>
        <w:jc w:val="both"/>
        <w:rPr>
          <w:rFonts w:ascii="Cambria" w:eastAsia="Times New Roman" w:hAnsi="Cambria"/>
          <w:color w:val="FF0000"/>
          <w:sz w:val="24"/>
          <w:szCs w:val="24"/>
          <w:lang w:eastAsia="pl-PL"/>
        </w:rPr>
      </w:pPr>
    </w:p>
    <w:p w14:paraId="6695E5A2" w14:textId="77777777" w:rsidR="0082666B" w:rsidRPr="005C06CC" w:rsidRDefault="0082666B" w:rsidP="0082666B">
      <w:pPr>
        <w:spacing w:after="120" w:line="276" w:lineRule="auto"/>
        <w:jc w:val="both"/>
        <w:rPr>
          <w:rFonts w:ascii="Cambria" w:eastAsia="Times New Roman" w:hAnsi="Cambria"/>
          <w:b/>
          <w:bCs/>
          <w:sz w:val="24"/>
          <w:szCs w:val="24"/>
          <w:lang w:eastAsia="pl-PL"/>
        </w:rPr>
      </w:pPr>
      <w:r w:rsidRPr="005C06CC">
        <w:rPr>
          <w:rFonts w:ascii="Cambria" w:eastAsia="Times New Roman" w:hAnsi="Cambria"/>
          <w:b/>
          <w:bCs/>
          <w:sz w:val="24"/>
          <w:szCs w:val="24"/>
          <w:lang w:eastAsia="pl-PL"/>
        </w:rPr>
        <w:t>W obszar badawczy wpisują się również redakcje naukowe recenzowanych monografii naukowych:</w:t>
      </w:r>
    </w:p>
    <w:p w14:paraId="1F9756DD" w14:textId="77777777" w:rsidR="0082666B" w:rsidRPr="005C06CC" w:rsidRDefault="0082666B" w:rsidP="0038603B">
      <w:pPr>
        <w:numPr>
          <w:ilvl w:val="0"/>
          <w:numId w:val="21"/>
        </w:numPr>
        <w:spacing w:after="120" w:line="276" w:lineRule="auto"/>
        <w:ind w:left="357" w:hanging="357"/>
        <w:jc w:val="both"/>
        <w:rPr>
          <w:rFonts w:ascii="Cambria" w:eastAsia="Times New Roman" w:hAnsi="Cambria"/>
          <w:b/>
          <w:bCs/>
          <w:sz w:val="24"/>
          <w:szCs w:val="24"/>
          <w:lang w:eastAsia="pl-PL"/>
        </w:rPr>
      </w:pPr>
      <w:r w:rsidRPr="005C06CC">
        <w:rPr>
          <w:rFonts w:ascii="Cambria" w:eastAsia="Times New Roman" w:hAnsi="Cambria"/>
          <w:i/>
          <w:iCs/>
          <w:sz w:val="24"/>
          <w:szCs w:val="24"/>
          <w:lang w:eastAsia="pl-PL"/>
        </w:rPr>
        <w:lastRenderedPageBreak/>
        <w:t>Bezpieczeństwo globalne w XXI wieku. Środowisko bezpieczeństwa dla Polski</w:t>
      </w:r>
      <w:r w:rsidRPr="005C06CC">
        <w:rPr>
          <w:rFonts w:ascii="Cambria" w:eastAsia="Times New Roman" w:hAnsi="Cambria"/>
          <w:sz w:val="24"/>
          <w:szCs w:val="24"/>
          <w:lang w:eastAsia="pl-PL"/>
        </w:rPr>
        <w:t>, red. M. Świstak, Wydawnictwo Naukowe ArchaeGraph, Łódź – Kielce 2021, ISBN: 978-83-66709-69-0.</w:t>
      </w:r>
    </w:p>
    <w:p w14:paraId="0BEC1C0D" w14:textId="77777777" w:rsidR="0082666B" w:rsidRPr="005C06CC" w:rsidRDefault="0082666B" w:rsidP="0038603B">
      <w:pPr>
        <w:numPr>
          <w:ilvl w:val="0"/>
          <w:numId w:val="21"/>
        </w:numPr>
        <w:spacing w:after="120" w:line="276" w:lineRule="auto"/>
        <w:ind w:left="357" w:hanging="357"/>
        <w:jc w:val="both"/>
        <w:rPr>
          <w:rFonts w:ascii="Cambria" w:eastAsia="Times New Roman" w:hAnsi="Cambria"/>
          <w:b/>
          <w:bCs/>
          <w:sz w:val="24"/>
          <w:szCs w:val="24"/>
          <w:lang w:eastAsia="pl-PL"/>
        </w:rPr>
      </w:pPr>
      <w:r w:rsidRPr="005C06CC">
        <w:rPr>
          <w:rFonts w:ascii="Cambria" w:eastAsia="Times New Roman" w:hAnsi="Cambria"/>
          <w:i/>
          <w:iCs/>
          <w:sz w:val="24"/>
          <w:szCs w:val="24"/>
          <w:lang w:eastAsia="pl-PL"/>
        </w:rPr>
        <w:t>Ekonomia i zarządzanie we współczesnym świecie – wybrane problemy</w:t>
      </w:r>
      <w:r w:rsidRPr="005C06CC">
        <w:rPr>
          <w:rFonts w:ascii="Cambria" w:eastAsia="Times New Roman" w:hAnsi="Cambria"/>
          <w:sz w:val="24"/>
          <w:szCs w:val="24"/>
          <w:lang w:eastAsia="pl-PL"/>
        </w:rPr>
        <w:t>, red. M. Świstak, Kielce 2021, ISBN: 978-83-956810-8-0</w:t>
      </w:r>
      <w:r w:rsidRPr="005C06CC">
        <w:rPr>
          <w:rFonts w:ascii="Cambria" w:eastAsia="Times New Roman" w:hAnsi="Cambria"/>
          <w:b/>
          <w:bCs/>
          <w:sz w:val="24"/>
          <w:szCs w:val="24"/>
          <w:lang w:eastAsia="pl-PL"/>
        </w:rPr>
        <w:t>.</w:t>
      </w:r>
    </w:p>
    <w:p w14:paraId="3068BA0D" w14:textId="3EF34836" w:rsidR="0082666B" w:rsidRPr="007941A7" w:rsidRDefault="0082666B" w:rsidP="0082666B">
      <w:pPr>
        <w:numPr>
          <w:ilvl w:val="0"/>
          <w:numId w:val="21"/>
        </w:numPr>
        <w:spacing w:after="120" w:line="276" w:lineRule="auto"/>
        <w:ind w:left="357" w:hanging="357"/>
        <w:jc w:val="both"/>
        <w:rPr>
          <w:rFonts w:ascii="Cambria" w:eastAsia="Times New Roman" w:hAnsi="Cambria"/>
          <w:b/>
          <w:bCs/>
          <w:sz w:val="24"/>
          <w:szCs w:val="24"/>
          <w:lang w:eastAsia="pl-PL"/>
        </w:rPr>
      </w:pPr>
      <w:r w:rsidRPr="005C06CC">
        <w:rPr>
          <w:rFonts w:ascii="Cambria" w:eastAsia="Times New Roman" w:hAnsi="Cambria"/>
          <w:i/>
          <w:iCs/>
          <w:sz w:val="24"/>
          <w:szCs w:val="24"/>
          <w:lang w:eastAsia="pl-PL"/>
        </w:rPr>
        <w:t>Globalizacja vs. Glokalizacja. Świat i Polska w czasach nowożytnych i najnowszych</w:t>
      </w:r>
      <w:r w:rsidRPr="005C06CC">
        <w:rPr>
          <w:rFonts w:ascii="Cambria" w:eastAsia="Times New Roman" w:hAnsi="Cambria"/>
          <w:sz w:val="24"/>
          <w:szCs w:val="24"/>
          <w:lang w:eastAsia="pl-PL"/>
        </w:rPr>
        <w:t>, red. M. Świstak, Wydawnictwo Naukowe ArchaeGraph, Łódź - Kielce 2021, ISBN: 978-83-67074-30-8.</w:t>
      </w:r>
    </w:p>
    <w:p w14:paraId="6741A068" w14:textId="77777777" w:rsidR="00562FCB" w:rsidRDefault="0082666B" w:rsidP="0082666B">
      <w:pPr>
        <w:spacing w:after="120" w:line="276" w:lineRule="auto"/>
        <w:jc w:val="both"/>
        <w:rPr>
          <w:rFonts w:ascii="Cambria" w:hAnsi="Cambria"/>
          <w:sz w:val="24"/>
          <w:szCs w:val="24"/>
        </w:rPr>
      </w:pPr>
      <w:r w:rsidRPr="005C06CC">
        <w:rPr>
          <w:rFonts w:ascii="Cambria" w:hAnsi="Cambria"/>
          <w:sz w:val="24"/>
          <w:szCs w:val="24"/>
        </w:rPr>
        <w:t xml:space="preserve">Rozwój nowych technologii informatycznych wywiera coraz szerszy wpływ na życie codzienne każdego obywatela. Informatyzacja jest procesem nieuniknionym. Prowadzi między innymi do cyfryzacji wymiaru sprawiedliwości czy </w:t>
      </w:r>
      <w:r w:rsidR="00562FCB">
        <w:rPr>
          <w:rFonts w:ascii="Cambria" w:hAnsi="Cambria"/>
          <w:sz w:val="24"/>
          <w:szCs w:val="24"/>
        </w:rPr>
        <w:t xml:space="preserve">nawet w ujęciu szerszym - </w:t>
      </w:r>
      <w:r w:rsidRPr="005C06CC">
        <w:rPr>
          <w:rFonts w:ascii="Cambria" w:hAnsi="Cambria"/>
          <w:sz w:val="24"/>
          <w:szCs w:val="24"/>
        </w:rPr>
        <w:t xml:space="preserve">świadczenia innych usług publicznych na rzecz obywateli. Dotyczy więc nie tylko osób wykonujących zawody prawnicze, ale każdego obywatela, który dochodzi swoich praw przed sądem, </w:t>
      </w:r>
      <w:r w:rsidR="00562FCB">
        <w:rPr>
          <w:rFonts w:ascii="Cambria" w:hAnsi="Cambria"/>
          <w:sz w:val="24"/>
          <w:szCs w:val="24"/>
        </w:rPr>
        <w:t>bądź</w:t>
      </w:r>
      <w:r w:rsidRPr="005C06CC">
        <w:rPr>
          <w:rFonts w:ascii="Cambria" w:hAnsi="Cambria"/>
          <w:sz w:val="24"/>
          <w:szCs w:val="24"/>
        </w:rPr>
        <w:t xml:space="preserve"> w ramach postępowań prowadzonych przez organy publiczne. Jednym z elementów informatyzacji </w:t>
      </w:r>
      <w:r w:rsidR="00562FCB">
        <w:rPr>
          <w:rFonts w:ascii="Cambria" w:hAnsi="Cambria"/>
          <w:sz w:val="24"/>
          <w:szCs w:val="24"/>
        </w:rPr>
        <w:t>miało być</w:t>
      </w:r>
      <w:r w:rsidRPr="005C06CC">
        <w:rPr>
          <w:rFonts w:ascii="Cambria" w:hAnsi="Cambria"/>
          <w:sz w:val="24"/>
          <w:szCs w:val="24"/>
        </w:rPr>
        <w:t xml:space="preserve"> także wdrożenie elektronicznego protokołu (tzw. e-protokołu) w cywilnym postępowaniu sądowym, czyli rejestrowania dźwięku albo obrazu i dźwięku z rozpraw sądowych. E-protokół miał bowiem zastąpić tradycyjny protokół pisemny. Uwzględniając kryterium terytorialne, wskazuje się, że w aparaturę umożliwiającą rejestrowanie przebiegu posiedzenia sądowego za pomocą cyfrowego zapisu dźwięku lub obrazu i dźwięku wyposażono na przykład wszystkie sądy w apelacji lubelskiej.</w:t>
      </w:r>
      <w:r w:rsidR="00562FCB">
        <w:rPr>
          <w:rFonts w:ascii="Cambria" w:hAnsi="Cambria"/>
          <w:sz w:val="24"/>
          <w:szCs w:val="24"/>
        </w:rPr>
        <w:t xml:space="preserve"> Następujący p</w:t>
      </w:r>
      <w:r w:rsidRPr="005C06CC">
        <w:rPr>
          <w:rFonts w:ascii="Cambria" w:hAnsi="Cambria"/>
          <w:sz w:val="24"/>
          <w:szCs w:val="24"/>
        </w:rPr>
        <w:t xml:space="preserve">roces cyfryzacji dotyczy </w:t>
      </w:r>
      <w:r w:rsidR="00562FCB">
        <w:rPr>
          <w:rFonts w:ascii="Cambria" w:hAnsi="Cambria"/>
          <w:sz w:val="24"/>
          <w:szCs w:val="24"/>
        </w:rPr>
        <w:t>również takich</w:t>
      </w:r>
      <w:r w:rsidRPr="005C06CC">
        <w:rPr>
          <w:rFonts w:ascii="Cambria" w:hAnsi="Cambria"/>
          <w:sz w:val="24"/>
          <w:szCs w:val="24"/>
        </w:rPr>
        <w:t xml:space="preserve"> obszarów jak na przykład prowadzenie postępowań o udzielenie zamówień publicznych. </w:t>
      </w:r>
    </w:p>
    <w:p w14:paraId="3CB643BD" w14:textId="0C7AAC4B" w:rsidR="0082666B" w:rsidRPr="005C06CC" w:rsidRDefault="00562FCB" w:rsidP="00562FCB">
      <w:pPr>
        <w:spacing w:after="120" w:line="276" w:lineRule="auto"/>
        <w:ind w:firstLine="708"/>
        <w:jc w:val="both"/>
        <w:rPr>
          <w:rFonts w:ascii="Cambria" w:hAnsi="Cambria"/>
          <w:sz w:val="24"/>
          <w:szCs w:val="24"/>
        </w:rPr>
      </w:pPr>
      <w:r>
        <w:rPr>
          <w:rFonts w:ascii="Cambria" w:hAnsi="Cambria"/>
          <w:sz w:val="24"/>
          <w:szCs w:val="24"/>
        </w:rPr>
        <w:t xml:space="preserve">W ten sposób zrodziła się koncepcja rozwinięcia zagadnienia w monografii współautorskiej. </w:t>
      </w:r>
      <w:r w:rsidR="0082666B" w:rsidRPr="005C06CC">
        <w:rPr>
          <w:rFonts w:ascii="Cambria" w:hAnsi="Cambria"/>
          <w:sz w:val="24"/>
          <w:szCs w:val="24"/>
        </w:rPr>
        <w:t xml:space="preserve">Impulsem do podjęcia badań w zakresie informatyzacji w zakresie zamówień publicznych i stworzenia współautorskiej monografii </w:t>
      </w:r>
      <w:r w:rsidR="0082666B" w:rsidRPr="005C06CC">
        <w:rPr>
          <w:rFonts w:ascii="Cambria" w:eastAsia="Times New Roman" w:hAnsi="Cambria"/>
          <w:i/>
          <w:iCs/>
          <w:color w:val="151515"/>
          <w:sz w:val="24"/>
          <w:szCs w:val="24"/>
          <w:lang w:eastAsia="pl-PL"/>
        </w:rPr>
        <w:t>E-protokół w postępowaniu przed Krajową Izbą Odwoławczą. Korzyści i zagrożenia na przykładzie cywilnego postępowania sądowego</w:t>
      </w:r>
      <w:r w:rsidR="0082666B" w:rsidRPr="005C06CC">
        <w:rPr>
          <w:rFonts w:ascii="Cambria" w:eastAsia="Times New Roman" w:hAnsi="Cambria"/>
          <w:color w:val="151515"/>
          <w:sz w:val="24"/>
          <w:szCs w:val="24"/>
          <w:lang w:eastAsia="pl-PL"/>
        </w:rPr>
        <w:t xml:space="preserve"> (współautorzy: M. Stręciwilk, S. Zaborska), Wydawnictwo TN KUL, Lublin 2019, ISBN: 978-83-7306-874-2, ss. 206 </w:t>
      </w:r>
      <w:r w:rsidR="0082666B" w:rsidRPr="005C06CC">
        <w:rPr>
          <w:rFonts w:ascii="Cambria" w:hAnsi="Cambria"/>
          <w:sz w:val="24"/>
          <w:szCs w:val="24"/>
        </w:rPr>
        <w:t>stało się projektowane — przepisami nowej ustawy dotyczącej zamówień publicznych — wdrożenie cyfrowego zapisu przebiegu rozprawy w sprawach rozpoznawania sporów dotyczących procedury udzielenia zamówienia publicznego, to jest wprowadzenie e-protokołu do postępowań przed Krajową Izbą Odwoławczą (KIO). Tłem do badań związanych z wdrożeniem e-protokołu w postępowaniach prowadzonych przez KIO było uprzednie wdrożenie e-protokołu w postępowaniach przed sądami powszechnymi. Badania podzielono na dwa etapy (co odzwiercied</w:t>
      </w:r>
      <w:r>
        <w:rPr>
          <w:rFonts w:ascii="Cambria" w:hAnsi="Cambria"/>
          <w:sz w:val="24"/>
          <w:szCs w:val="24"/>
        </w:rPr>
        <w:t>lono także w przyjętej strukturze</w:t>
      </w:r>
      <w:r w:rsidR="0082666B" w:rsidRPr="005C06CC">
        <w:rPr>
          <w:rFonts w:ascii="Cambria" w:hAnsi="Cambria"/>
          <w:sz w:val="24"/>
          <w:szCs w:val="24"/>
        </w:rPr>
        <w:t xml:space="preserve"> monografii). Pierwsza część była poświęcona badaniom nad doświadczeniami związanymi z wdrożeniem e-protokołu w cywilnym postępowaniu sądowym. Druga część z kolei dotyczyła projektowanego wdrożenia e-protokołu w KIO w sprawach odwołań rozpoznawanych w postępowaniu o udzielenie zamówienia publicznego. Założeniem prowadzonych w tym zakresie badań było ustalenie korzyści i zagrożeń wynikających z korzystania z e-protokołu na przykładzie cywilnego postępowania sądowego w </w:t>
      </w:r>
      <w:r w:rsidR="0082666B" w:rsidRPr="005C06CC">
        <w:rPr>
          <w:rFonts w:ascii="Cambria" w:hAnsi="Cambria"/>
          <w:sz w:val="24"/>
          <w:szCs w:val="24"/>
        </w:rPr>
        <w:lastRenderedPageBreak/>
        <w:t xml:space="preserve">kontekście wdrożenia podobnego rozwiązania w </w:t>
      </w:r>
      <w:r w:rsidR="005B3159">
        <w:rPr>
          <w:rFonts w:ascii="Cambria" w:hAnsi="Cambria"/>
          <w:sz w:val="24"/>
          <w:szCs w:val="24"/>
        </w:rPr>
        <w:t>KIO</w:t>
      </w:r>
      <w:r w:rsidR="0082666B" w:rsidRPr="005C06CC">
        <w:rPr>
          <w:rFonts w:ascii="Cambria" w:hAnsi="Cambria"/>
          <w:sz w:val="24"/>
          <w:szCs w:val="24"/>
        </w:rPr>
        <w:t xml:space="preserve">. </w:t>
      </w:r>
      <w:r w:rsidR="005B3159">
        <w:rPr>
          <w:rFonts w:ascii="Cambria" w:hAnsi="Cambria"/>
          <w:sz w:val="24"/>
          <w:szCs w:val="24"/>
        </w:rPr>
        <w:t>Wypada także wspomnieć, że a</w:t>
      </w:r>
      <w:r w:rsidR="0082666B" w:rsidRPr="005C06CC">
        <w:rPr>
          <w:rFonts w:ascii="Cambria" w:hAnsi="Cambria"/>
          <w:sz w:val="24"/>
          <w:szCs w:val="24"/>
        </w:rPr>
        <w:t xml:space="preserve">utorki prowadziły badania w ramach prac zespołu naukowego realizującego projekt badawczy „Wykorzystanie nowych technologii w wykonywaniu zawodów prawniczych”. W badaniach zastosowano nie tylko metodę dogmatycznoprawną i historycznoprawną, ale także metodę badania ankietowego i wywiadu. Określając cele przeprowadzonych badań wskazano na: weryfikację potrzeb ze strony środowiska radców prawnych występujących przed KIO w ramach korzystania z tzw. elektronicznego protokołu w postępowaniu odwoławczym przed KIO, ocenę korzyści i zagrożeń płynących z elektronicznego protokołu przed KIO na bazie doświadczeń sądów powszechnych, które wdrożyły elektroniczny protokół; weryfikację koniecznych zmian formalnoprawnych i organizacyjnych w przypadku wprowadzenia elektronicznego protokołu przed KIO. </w:t>
      </w:r>
    </w:p>
    <w:p w14:paraId="37517A49" w14:textId="6A7FAF21" w:rsidR="0082666B" w:rsidRPr="005C06CC" w:rsidRDefault="0082666B" w:rsidP="0082666B">
      <w:pPr>
        <w:spacing w:after="120" w:line="276" w:lineRule="auto"/>
        <w:ind w:firstLine="708"/>
        <w:jc w:val="both"/>
        <w:rPr>
          <w:rFonts w:ascii="Cambria" w:eastAsia="Times New Roman" w:hAnsi="Cambria"/>
          <w:sz w:val="24"/>
          <w:szCs w:val="24"/>
          <w:lang w:eastAsia="pl-PL"/>
        </w:rPr>
      </w:pPr>
      <w:r w:rsidRPr="005C06CC">
        <w:rPr>
          <w:rFonts w:ascii="Cambria" w:hAnsi="Cambria"/>
          <w:sz w:val="24"/>
          <w:szCs w:val="24"/>
        </w:rPr>
        <w:t xml:space="preserve">Proces informatyzacji </w:t>
      </w:r>
      <w:r w:rsidR="005B3159">
        <w:rPr>
          <w:rFonts w:ascii="Cambria" w:hAnsi="Cambria"/>
          <w:sz w:val="24"/>
          <w:szCs w:val="24"/>
        </w:rPr>
        <w:t xml:space="preserve">nie </w:t>
      </w:r>
      <w:r w:rsidRPr="005C06CC">
        <w:rPr>
          <w:rFonts w:ascii="Cambria" w:hAnsi="Cambria"/>
          <w:sz w:val="24"/>
          <w:szCs w:val="24"/>
        </w:rPr>
        <w:t>jest</w:t>
      </w:r>
      <w:r w:rsidR="005B3159">
        <w:rPr>
          <w:rFonts w:ascii="Cambria" w:hAnsi="Cambria"/>
          <w:sz w:val="24"/>
          <w:szCs w:val="24"/>
        </w:rPr>
        <w:t xml:space="preserve"> zjawiskiem statycznym. Przeciwnie, jest w stanie dynamicznego rozwoju, stając się </w:t>
      </w:r>
      <w:r w:rsidRPr="005C06CC">
        <w:rPr>
          <w:rFonts w:ascii="Cambria" w:hAnsi="Cambria"/>
          <w:sz w:val="24"/>
          <w:szCs w:val="24"/>
        </w:rPr>
        <w:t xml:space="preserve">wręcz podstawowym elementem europejskiego krajobrazu prawnego. </w:t>
      </w:r>
      <w:r w:rsidR="005B3159">
        <w:rPr>
          <w:rFonts w:ascii="Cambria" w:hAnsi="Cambria"/>
          <w:sz w:val="24"/>
          <w:szCs w:val="24"/>
        </w:rPr>
        <w:t xml:space="preserve">Okazał się </w:t>
      </w:r>
      <w:r w:rsidRPr="005C06CC">
        <w:rPr>
          <w:rFonts w:ascii="Cambria" w:hAnsi="Cambria"/>
          <w:sz w:val="24"/>
          <w:szCs w:val="24"/>
        </w:rPr>
        <w:t xml:space="preserve">on niezbędny w </w:t>
      </w:r>
      <w:r w:rsidR="005B3159">
        <w:rPr>
          <w:rFonts w:ascii="Cambria" w:hAnsi="Cambria"/>
          <w:sz w:val="24"/>
          <w:szCs w:val="24"/>
        </w:rPr>
        <w:t>warunkach zmian (ale i trudności) cywilizacyjnych</w:t>
      </w:r>
      <w:r w:rsidR="00547572">
        <w:rPr>
          <w:rFonts w:ascii="Cambria" w:hAnsi="Cambria"/>
          <w:sz w:val="24"/>
          <w:szCs w:val="24"/>
        </w:rPr>
        <w:t xml:space="preserve"> (m.in. </w:t>
      </w:r>
      <w:r w:rsidRPr="005C06CC">
        <w:rPr>
          <w:rFonts w:ascii="Cambria" w:hAnsi="Cambria"/>
          <w:sz w:val="24"/>
          <w:szCs w:val="24"/>
        </w:rPr>
        <w:t>sytuacja pandemiczna, działania wojenne na terytorium Ukrainy</w:t>
      </w:r>
      <w:r w:rsidR="00547572">
        <w:rPr>
          <w:rFonts w:ascii="Cambria" w:hAnsi="Cambria"/>
          <w:sz w:val="24"/>
          <w:szCs w:val="24"/>
        </w:rPr>
        <w:t>)</w:t>
      </w:r>
      <w:r w:rsidRPr="005C06CC">
        <w:rPr>
          <w:rFonts w:ascii="Cambria" w:hAnsi="Cambria"/>
          <w:sz w:val="24"/>
          <w:szCs w:val="24"/>
        </w:rPr>
        <w:t>. Po przyjęciu regulacji u</w:t>
      </w:r>
      <w:r w:rsidRPr="005C06CC">
        <w:rPr>
          <w:rFonts w:ascii="Cambria" w:eastAsia="Times New Roman" w:hAnsi="Cambria"/>
          <w:i/>
          <w:iCs/>
          <w:sz w:val="24"/>
          <w:szCs w:val="24"/>
          <w:lang w:eastAsia="pl-PL"/>
        </w:rPr>
        <w:t xml:space="preserve">stawy z dnia 12 marca 2022 r. o pomocy obywatelom Ukrainy w związku z konfliktem zbrojnym na terytorium tego państwa </w:t>
      </w:r>
      <w:r w:rsidRPr="005C06CC">
        <w:rPr>
          <w:rFonts w:ascii="Cambria" w:eastAsia="Times New Roman" w:hAnsi="Cambria"/>
          <w:sz w:val="24"/>
          <w:szCs w:val="24"/>
          <w:lang w:eastAsia="pl-PL"/>
        </w:rPr>
        <w:t xml:space="preserve">niezbędne okazało się </w:t>
      </w:r>
      <w:r w:rsidR="001653CB">
        <w:rPr>
          <w:rFonts w:ascii="Cambria" w:eastAsia="Times New Roman" w:hAnsi="Cambria"/>
          <w:sz w:val="24"/>
          <w:szCs w:val="24"/>
          <w:lang w:eastAsia="pl-PL"/>
        </w:rPr>
        <w:t xml:space="preserve">dokonanie </w:t>
      </w:r>
      <w:r w:rsidRPr="005C06CC">
        <w:rPr>
          <w:rFonts w:ascii="Cambria" w:eastAsia="Times New Roman" w:hAnsi="Cambria"/>
          <w:sz w:val="24"/>
          <w:szCs w:val="24"/>
          <w:lang w:eastAsia="pl-PL"/>
        </w:rPr>
        <w:t>wykładni przyjętych przepisów</w:t>
      </w:r>
      <w:r w:rsidR="001653CB">
        <w:rPr>
          <w:rFonts w:ascii="Cambria" w:eastAsia="Times New Roman" w:hAnsi="Cambria"/>
          <w:sz w:val="24"/>
          <w:szCs w:val="24"/>
          <w:lang w:eastAsia="pl-PL"/>
        </w:rPr>
        <w:t xml:space="preserve"> obowiązujących w tak trudnym czasie społeczno – politycznym.</w:t>
      </w:r>
      <w:r w:rsidRPr="005C06CC">
        <w:rPr>
          <w:rFonts w:ascii="Cambria" w:eastAsia="Times New Roman" w:hAnsi="Cambria"/>
          <w:sz w:val="24"/>
          <w:szCs w:val="24"/>
          <w:lang w:eastAsia="pl-PL"/>
        </w:rPr>
        <w:t xml:space="preserve"> Stąd też podjęto się skomentowania przepisów dotyczących aspektów związanych z funkcjonowaniem nowych technologii (tak: </w:t>
      </w:r>
      <w:r w:rsidRPr="005C06CC">
        <w:rPr>
          <w:rFonts w:ascii="Cambria" w:eastAsia="Times New Roman" w:hAnsi="Cambria"/>
          <w:i/>
          <w:iCs/>
          <w:sz w:val="24"/>
          <w:szCs w:val="24"/>
          <w:lang w:eastAsia="pl-PL"/>
        </w:rPr>
        <w:t xml:space="preserve">Komentarz do art. 9-11 Ustawy </w:t>
      </w:r>
      <w:r w:rsidRPr="005C06CC">
        <w:rPr>
          <w:rFonts w:ascii="Cambria" w:eastAsia="Times New Roman" w:hAnsi="Cambria"/>
          <w:sz w:val="24"/>
          <w:szCs w:val="24"/>
          <w:lang w:eastAsia="pl-PL"/>
        </w:rPr>
        <w:t xml:space="preserve">[Profil zaufany; weryfikacja tożsamości wnioskodawcy; publiczna aplikacja mobilna; wyjazd obywatela Ukrainy z terytorium RP a uprawnienia], [w:] </w:t>
      </w:r>
      <w:r w:rsidRPr="005C06CC">
        <w:rPr>
          <w:rFonts w:ascii="Cambria" w:eastAsia="Times New Roman" w:hAnsi="Cambria"/>
          <w:i/>
          <w:iCs/>
          <w:sz w:val="24"/>
          <w:szCs w:val="24"/>
          <w:lang w:eastAsia="pl-PL"/>
        </w:rPr>
        <w:t>Ustawa o pomocy obywatelom Ukrainy. Komentarz z wzorami dotyczącymi pobytu, dostępu do rynku pracy, świadczeń społecznych, edukacji i opieki zdrowotnej</w:t>
      </w:r>
      <w:r w:rsidRPr="005C06CC">
        <w:rPr>
          <w:rFonts w:ascii="Cambria" w:eastAsia="Times New Roman" w:hAnsi="Cambria"/>
          <w:sz w:val="24"/>
          <w:szCs w:val="24"/>
          <w:lang w:eastAsia="pl-PL"/>
        </w:rPr>
        <w:t xml:space="preserve">, red. P. Drembkowski, Warszawa 2022, Wydawnictwo C.H. Beck, ISBN 978-83-8291-213-5, s. 46-52. </w:t>
      </w:r>
    </w:p>
    <w:p w14:paraId="3D12C4A8" w14:textId="77777777" w:rsidR="00CB5D44" w:rsidRDefault="0082666B" w:rsidP="00CB5D44">
      <w:pPr>
        <w:spacing w:after="120" w:line="276" w:lineRule="auto"/>
        <w:ind w:firstLine="708"/>
        <w:jc w:val="both"/>
        <w:rPr>
          <w:rFonts w:ascii="Cambria" w:hAnsi="Cambria"/>
          <w:sz w:val="24"/>
          <w:szCs w:val="24"/>
        </w:rPr>
      </w:pPr>
      <w:r w:rsidRPr="005C06CC">
        <w:rPr>
          <w:rFonts w:ascii="Cambria" w:eastAsia="Times New Roman" w:hAnsi="Cambria"/>
          <w:sz w:val="24"/>
          <w:szCs w:val="24"/>
          <w:lang w:eastAsia="pl-PL"/>
        </w:rPr>
        <w:t xml:space="preserve">W analizowanym obszarze badawczym podjęto także tematykę ochrony praw człowieka i obywatela, tak w kontekście regulacji prawa międzynarodowego, jak i </w:t>
      </w:r>
      <w:r w:rsidR="001653CB">
        <w:rPr>
          <w:rFonts w:ascii="Cambria" w:eastAsia="Times New Roman" w:hAnsi="Cambria"/>
          <w:sz w:val="24"/>
          <w:szCs w:val="24"/>
          <w:lang w:eastAsia="pl-PL"/>
        </w:rPr>
        <w:t xml:space="preserve">regulacji </w:t>
      </w:r>
      <w:r w:rsidRPr="005C06CC">
        <w:rPr>
          <w:rFonts w:ascii="Cambria" w:eastAsia="Times New Roman" w:hAnsi="Cambria"/>
          <w:sz w:val="24"/>
          <w:szCs w:val="24"/>
          <w:lang w:eastAsia="pl-PL"/>
        </w:rPr>
        <w:t>krajow</w:t>
      </w:r>
      <w:r w:rsidR="001653CB">
        <w:rPr>
          <w:rFonts w:ascii="Cambria" w:eastAsia="Times New Roman" w:hAnsi="Cambria"/>
          <w:sz w:val="24"/>
          <w:szCs w:val="24"/>
          <w:lang w:eastAsia="pl-PL"/>
        </w:rPr>
        <w:t>ych</w:t>
      </w:r>
      <w:r w:rsidRPr="005C06CC">
        <w:rPr>
          <w:rFonts w:ascii="Cambria" w:eastAsia="Times New Roman" w:hAnsi="Cambria"/>
          <w:sz w:val="24"/>
          <w:szCs w:val="24"/>
          <w:lang w:eastAsia="pl-PL"/>
        </w:rPr>
        <w:t>.</w:t>
      </w:r>
      <w:r w:rsidR="001653CB">
        <w:rPr>
          <w:rFonts w:ascii="Cambria" w:eastAsia="Times New Roman" w:hAnsi="Cambria"/>
          <w:sz w:val="24"/>
          <w:szCs w:val="24"/>
          <w:lang w:eastAsia="pl-PL"/>
        </w:rPr>
        <w:t xml:space="preserve"> </w:t>
      </w:r>
      <w:r w:rsidRPr="005C06CC">
        <w:rPr>
          <w:rFonts w:ascii="Cambria" w:hAnsi="Cambria"/>
          <w:sz w:val="24"/>
          <w:szCs w:val="24"/>
        </w:rPr>
        <w:t xml:space="preserve">Problematyka uczestnictwa fachowego pełnomocnika podczas postępowań prowadzonych przed konsulem jest wciąż zagadnieniem spornym, choćby z uwagi na prezentowane stanowiska przez organy administracji i przyjętą w tym zakresie praktykę sądową. Wyłączenie możliwości stosowania przepisów zezwalających na uczestnictwo radcy prawnego w czasie </w:t>
      </w:r>
      <w:r w:rsidR="00004695">
        <w:rPr>
          <w:rFonts w:ascii="Cambria" w:hAnsi="Cambria"/>
          <w:sz w:val="24"/>
          <w:szCs w:val="24"/>
        </w:rPr>
        <w:t>składania zeznań przez</w:t>
      </w:r>
      <w:r w:rsidRPr="005C06CC">
        <w:rPr>
          <w:rFonts w:ascii="Cambria" w:hAnsi="Cambria"/>
          <w:sz w:val="24"/>
          <w:szCs w:val="24"/>
        </w:rPr>
        <w:t xml:space="preserve"> świadka, </w:t>
      </w:r>
      <w:r w:rsidR="00004695">
        <w:rPr>
          <w:rFonts w:ascii="Cambria" w:hAnsi="Cambria"/>
          <w:sz w:val="24"/>
          <w:szCs w:val="24"/>
        </w:rPr>
        <w:t xml:space="preserve">wyjaśnień </w:t>
      </w:r>
      <w:r w:rsidRPr="005C06CC">
        <w:rPr>
          <w:rFonts w:ascii="Cambria" w:hAnsi="Cambria"/>
          <w:sz w:val="24"/>
          <w:szCs w:val="24"/>
        </w:rPr>
        <w:t xml:space="preserve">strony, czy też </w:t>
      </w:r>
      <w:r w:rsidR="00004695">
        <w:rPr>
          <w:rFonts w:ascii="Cambria" w:hAnsi="Cambria"/>
          <w:sz w:val="24"/>
          <w:szCs w:val="24"/>
        </w:rPr>
        <w:t xml:space="preserve">przesłuchiwania </w:t>
      </w:r>
      <w:r w:rsidRPr="005C06CC">
        <w:rPr>
          <w:rFonts w:ascii="Cambria" w:hAnsi="Cambria"/>
          <w:sz w:val="24"/>
          <w:szCs w:val="24"/>
        </w:rPr>
        <w:t>podejrzanego (oskarżonego) przez konsula, wydaje się być nieuzasadnionym ograniczeniem stosowania regulacji procesowych, co w konsekwencji może doprowadzić do niewystarczającego wyjaśnienia sprawy, bądź ograniczenia gwarancji stron w toczącym się postępowaniu. Brak możliwości uczestnictwa fachowego pełnomocnika we wspomnianych czynnościach jest często podnoszonym zarzutem apelacyjnym z zakresu narusze</w:t>
      </w:r>
      <w:r w:rsidR="00004695">
        <w:rPr>
          <w:rFonts w:ascii="Cambria" w:hAnsi="Cambria"/>
          <w:sz w:val="24"/>
          <w:szCs w:val="24"/>
        </w:rPr>
        <w:t>ń</w:t>
      </w:r>
      <w:r w:rsidRPr="005C06CC">
        <w:rPr>
          <w:rFonts w:ascii="Cambria" w:hAnsi="Cambria"/>
          <w:sz w:val="24"/>
          <w:szCs w:val="24"/>
        </w:rPr>
        <w:t xml:space="preserve"> przez sąd przepisów prawa procesowego. Judykatura konsekwentnie kwestionuje zasadność podnoszenia tego typu zarzutów, nie argumentując jednak szerzej sformułowanych twierdzeń, tym samym nie usuwając wątpliwości we wskazanym obszarze.</w:t>
      </w:r>
      <w:r w:rsidR="00004695">
        <w:rPr>
          <w:rFonts w:ascii="Cambria" w:hAnsi="Cambria"/>
          <w:sz w:val="24"/>
          <w:szCs w:val="24"/>
        </w:rPr>
        <w:t xml:space="preserve"> Dostrzega się, że w orzecznictwie</w:t>
      </w:r>
      <w:r w:rsidRPr="005C06CC">
        <w:rPr>
          <w:rFonts w:ascii="Cambria" w:hAnsi="Cambria"/>
          <w:sz w:val="24"/>
          <w:szCs w:val="24"/>
        </w:rPr>
        <w:t xml:space="preserve"> </w:t>
      </w:r>
      <w:r w:rsidR="00004695">
        <w:rPr>
          <w:rFonts w:ascii="Cambria" w:hAnsi="Cambria"/>
          <w:sz w:val="24"/>
          <w:szCs w:val="24"/>
        </w:rPr>
        <w:t xml:space="preserve">dość </w:t>
      </w:r>
      <w:r w:rsidRPr="005C06CC">
        <w:rPr>
          <w:rFonts w:ascii="Cambria" w:hAnsi="Cambria"/>
          <w:sz w:val="24"/>
          <w:szCs w:val="24"/>
        </w:rPr>
        <w:t xml:space="preserve">konsekwentnie kwestionuje </w:t>
      </w:r>
      <w:r w:rsidR="00004695">
        <w:rPr>
          <w:rFonts w:ascii="Cambria" w:hAnsi="Cambria"/>
          <w:sz w:val="24"/>
          <w:szCs w:val="24"/>
        </w:rPr>
        <w:t xml:space="preserve">się </w:t>
      </w:r>
      <w:r w:rsidRPr="005C06CC">
        <w:rPr>
          <w:rFonts w:ascii="Cambria" w:hAnsi="Cambria"/>
          <w:sz w:val="24"/>
          <w:szCs w:val="24"/>
        </w:rPr>
        <w:t xml:space="preserve">zasadność podnoszenia tego typu zarzutów, twierdząc, że </w:t>
      </w:r>
      <w:r w:rsidRPr="005C06CC">
        <w:rPr>
          <w:rFonts w:ascii="Cambria" w:hAnsi="Cambria"/>
          <w:sz w:val="24"/>
          <w:szCs w:val="24"/>
        </w:rPr>
        <w:lastRenderedPageBreak/>
        <w:t>fachowi pełnomocnicy reprezentujący strony mają możliwość sformułowania pytań jakie mają być wykorzystane przez konsula podczas przesłuchania. Argumentacja sądów wydaje się być jednak mało przekonująca, zwłaszcza, że nie jest ona opatrzona szerszym uzasadnieniem. Postawa pełnomocników wydaje się być słuszna, zwłaszcza w świetle obowiązywania zasady aktywności stron (</w:t>
      </w:r>
      <w:r w:rsidRPr="007941A7">
        <w:rPr>
          <w:rFonts w:ascii="Cambria" w:hAnsi="Cambria"/>
          <w:i/>
          <w:iCs/>
          <w:sz w:val="24"/>
          <w:szCs w:val="24"/>
        </w:rPr>
        <w:t>vigilantibus iura sunt scripta</w:t>
      </w:r>
      <w:r w:rsidRPr="005C06CC">
        <w:rPr>
          <w:rFonts w:ascii="Cambria" w:hAnsi="Cambria"/>
          <w:sz w:val="24"/>
          <w:szCs w:val="24"/>
        </w:rPr>
        <w:t>). Strona jest zobowiązana do zachowania dbałości o swoje sprawy, która w toku przeprowadzania przesłuchania przez konsula może uwidaczniać się właśnie poprzez zadawanie dodatkowych pytań świadkowi, stronie, czy też podejrzanemu (oskarżonemu). W świetle powyższych wywodów wyłączenie możliwości stosowania przepisów zezwalających na uczestnictwo radcy prawnego w</w:t>
      </w:r>
      <w:r w:rsidR="00004695">
        <w:rPr>
          <w:rFonts w:ascii="Cambria" w:hAnsi="Cambria"/>
          <w:sz w:val="24"/>
          <w:szCs w:val="24"/>
        </w:rPr>
        <w:t>e wspomnianych czynnościach procesowych wydaje się być n</w:t>
      </w:r>
      <w:r w:rsidRPr="005C06CC">
        <w:rPr>
          <w:rFonts w:ascii="Cambria" w:hAnsi="Cambria"/>
          <w:sz w:val="24"/>
          <w:szCs w:val="24"/>
        </w:rPr>
        <w:t>ieuzasadnionym ograniczeniem stosowania regulacji procesowych, w konsekwencji mo</w:t>
      </w:r>
      <w:r w:rsidR="00004695">
        <w:rPr>
          <w:rFonts w:ascii="Cambria" w:hAnsi="Cambria"/>
          <w:sz w:val="24"/>
          <w:szCs w:val="24"/>
        </w:rPr>
        <w:t>gącym</w:t>
      </w:r>
      <w:r w:rsidRPr="005C06CC">
        <w:rPr>
          <w:rFonts w:ascii="Cambria" w:hAnsi="Cambria"/>
          <w:sz w:val="24"/>
          <w:szCs w:val="24"/>
        </w:rPr>
        <w:t xml:space="preserve"> doprowadzić do nie</w:t>
      </w:r>
      <w:r w:rsidR="00004695">
        <w:rPr>
          <w:rFonts w:ascii="Cambria" w:hAnsi="Cambria"/>
          <w:sz w:val="24"/>
          <w:szCs w:val="24"/>
        </w:rPr>
        <w:t>dostatecznego</w:t>
      </w:r>
      <w:r w:rsidRPr="005C06CC">
        <w:rPr>
          <w:rFonts w:ascii="Cambria" w:hAnsi="Cambria"/>
          <w:sz w:val="24"/>
          <w:szCs w:val="24"/>
        </w:rPr>
        <w:t xml:space="preserve"> wyjaśnienia sprawy. Zgodzić się należy, że jeżeli ustawodawca dąży do opracowania regulacji dostosowanej do warunków i specyfiki wykonywania służby konsularnej winien to uprzednio przekonująco uzasadnić. W tym przypadku problem jednak dotyka nie tyle niejasnej, czy nieprecyzyjnej regulacji, a raczej praktyki przyjętej przez sądy i służby konsularne.</w:t>
      </w:r>
    </w:p>
    <w:p w14:paraId="643B7F51" w14:textId="39F10AAF" w:rsidR="0082666B" w:rsidRPr="00CB5D44" w:rsidRDefault="000033B0" w:rsidP="00CB5D44">
      <w:pPr>
        <w:spacing w:after="120" w:line="276" w:lineRule="auto"/>
        <w:ind w:firstLine="708"/>
        <w:jc w:val="both"/>
        <w:rPr>
          <w:rFonts w:ascii="Cambria" w:hAnsi="Cambria"/>
          <w:sz w:val="24"/>
          <w:szCs w:val="24"/>
        </w:rPr>
      </w:pPr>
      <w:r w:rsidRPr="001743FA">
        <w:rPr>
          <w:rFonts w:ascii="Cambria" w:hAnsi="Cambria"/>
          <w:sz w:val="24"/>
          <w:szCs w:val="24"/>
        </w:rPr>
        <w:t xml:space="preserve">Tematykę dotyczącą ochrony praw stron w postępowaniach sądowych podejmowano również w szeregu starszych (przed uzyskaniem stopnia doktora) </w:t>
      </w:r>
      <w:r w:rsidRPr="00CB5D44">
        <w:rPr>
          <w:rFonts w:ascii="Cambria" w:hAnsi="Cambria"/>
          <w:sz w:val="24"/>
          <w:szCs w:val="24"/>
        </w:rPr>
        <w:t xml:space="preserve">publikacjach, takich jak: </w:t>
      </w:r>
      <w:r w:rsidRPr="00CB5D44">
        <w:rPr>
          <w:rFonts w:ascii="Cambria" w:eastAsia="Times New Roman" w:hAnsi="Cambria"/>
          <w:i/>
          <w:sz w:val="24"/>
          <w:szCs w:val="24"/>
          <w:lang w:eastAsia="pl-PL"/>
        </w:rPr>
        <w:t>Ochrona mniejszości narodowych w dwustronnych umowach międzynarodowych zawartych przez Polskę</w:t>
      </w:r>
      <w:r w:rsidRPr="00CB5D44">
        <w:rPr>
          <w:rFonts w:ascii="Cambria" w:eastAsia="Times New Roman" w:hAnsi="Cambria"/>
          <w:sz w:val="24"/>
          <w:szCs w:val="24"/>
          <w:lang w:eastAsia="pl-PL"/>
        </w:rPr>
        <w:t>, „Studenckie Zeszyty Naukowe” 2006, nr 12, s. 47 – 64;</w:t>
      </w:r>
      <w:r w:rsidRPr="00CB5D44">
        <w:rPr>
          <w:rFonts w:ascii="Cambria" w:eastAsia="Times New Roman" w:hAnsi="Cambria"/>
          <w:i/>
          <w:sz w:val="24"/>
          <w:szCs w:val="24"/>
          <w:lang w:eastAsia="pl-PL"/>
        </w:rPr>
        <w:t xml:space="preserve"> Gwarancje stron w postępowaniu prywatnoskargowym</w:t>
      </w:r>
      <w:r w:rsidRPr="00CB5D44">
        <w:rPr>
          <w:rFonts w:ascii="Cambria" w:eastAsia="Times New Roman" w:hAnsi="Cambria"/>
          <w:sz w:val="24"/>
          <w:szCs w:val="24"/>
          <w:lang w:eastAsia="pl-PL"/>
        </w:rPr>
        <w:t>, „Studenckie Zeszyty Naukowe” 2006, nr 14, s. 7 – 20;</w:t>
      </w:r>
      <w:r w:rsidRPr="00CB5D44">
        <w:rPr>
          <w:rFonts w:ascii="Cambria" w:eastAsia="Times New Roman" w:hAnsi="Cambria"/>
          <w:i/>
          <w:sz w:val="24"/>
          <w:szCs w:val="24"/>
          <w:lang w:eastAsia="pl-PL"/>
        </w:rPr>
        <w:t xml:space="preserve"> Ochrona porządku i spokoju publicznego w prawie wykroczeń</w:t>
      </w:r>
      <w:r w:rsidRPr="00CB5D44">
        <w:rPr>
          <w:rFonts w:ascii="Cambria" w:eastAsia="Times New Roman" w:hAnsi="Cambria"/>
          <w:sz w:val="24"/>
          <w:szCs w:val="24"/>
          <w:lang w:eastAsia="pl-PL"/>
        </w:rPr>
        <w:t xml:space="preserve">, „Studenckie Zeszyty Naukowe” 2006, nr 14, s. 129 – 137, czy też przyczynkowej publikacji </w:t>
      </w:r>
      <w:r w:rsidRPr="00CB5D44">
        <w:rPr>
          <w:rFonts w:ascii="Cambria" w:eastAsia="Times New Roman" w:hAnsi="Cambria"/>
          <w:i/>
          <w:iCs/>
          <w:sz w:val="24"/>
          <w:szCs w:val="24"/>
          <w:lang w:eastAsia="pl-PL"/>
        </w:rPr>
        <w:t>The European Convention on Human Rights - vivid and powerful legal instrument?</w:t>
      </w:r>
      <w:r w:rsidRPr="00CB5D44">
        <w:rPr>
          <w:rFonts w:ascii="Cambria" w:eastAsia="Times New Roman" w:hAnsi="Cambria"/>
          <w:sz w:val="24"/>
          <w:szCs w:val="24"/>
          <w:lang w:eastAsia="pl-PL"/>
        </w:rPr>
        <w:t>, https://aea-eal.eu/publications.</w:t>
      </w:r>
      <w:r w:rsidR="00D34784" w:rsidRPr="00CB5D44">
        <w:rPr>
          <w:rFonts w:ascii="Cambria" w:eastAsia="Times New Roman" w:hAnsi="Cambria"/>
          <w:sz w:val="24"/>
          <w:szCs w:val="24"/>
          <w:lang w:eastAsia="pl-PL"/>
        </w:rPr>
        <w:t xml:space="preserve"> </w:t>
      </w:r>
      <w:r w:rsidR="00794C43" w:rsidRPr="00CB5D44">
        <w:rPr>
          <w:rFonts w:ascii="Cambria" w:eastAsia="Times New Roman" w:hAnsi="Cambria"/>
          <w:sz w:val="24"/>
          <w:szCs w:val="24"/>
          <w:lang w:eastAsia="pl-PL"/>
        </w:rPr>
        <w:t xml:space="preserve">W publikacjach podejmowano także aktualne, palące zagadnienia odnoszące się do problemów społeczno – gospodarczych. W artykule </w:t>
      </w:r>
      <w:r w:rsidR="00794C43" w:rsidRPr="00CB5D44">
        <w:rPr>
          <w:rFonts w:ascii="Cambria" w:eastAsia="Times New Roman" w:hAnsi="Cambria"/>
          <w:i/>
          <w:sz w:val="24"/>
          <w:szCs w:val="24"/>
          <w:lang w:eastAsia="pl-PL"/>
        </w:rPr>
        <w:t>Opcje walutowe – szansa na zysk czy zdradliwa spekulacja?</w:t>
      </w:r>
      <w:r w:rsidR="00794C43" w:rsidRPr="00CB5D44">
        <w:rPr>
          <w:rFonts w:ascii="Cambria" w:eastAsia="Times New Roman" w:hAnsi="Cambria"/>
          <w:sz w:val="24"/>
          <w:szCs w:val="24"/>
          <w:lang w:eastAsia="pl-PL"/>
        </w:rPr>
        <w:t>, „Studenckie Zeszyty Naukowe” 2010, nr 20, s. 75 – 116</w:t>
      </w:r>
      <w:r w:rsidR="00794C43" w:rsidRPr="00CB5D44">
        <w:rPr>
          <w:rFonts w:ascii="Cambria" w:hAnsi="Cambria"/>
          <w:sz w:val="24"/>
          <w:szCs w:val="24"/>
        </w:rPr>
        <w:t xml:space="preserve"> podjęto wyzwanie zidentyfikowania i próby dookreślenia kontekstu prawnego działania </w:t>
      </w:r>
      <w:r w:rsidR="00D34784" w:rsidRPr="00CB5D44">
        <w:rPr>
          <w:rFonts w:ascii="Cambria" w:hAnsi="Cambria"/>
          <w:sz w:val="24"/>
          <w:szCs w:val="24"/>
        </w:rPr>
        <w:t>„</w:t>
      </w:r>
      <w:r w:rsidR="00794C43" w:rsidRPr="00CB5D44">
        <w:rPr>
          <w:rFonts w:ascii="Cambria" w:hAnsi="Cambria"/>
          <w:sz w:val="24"/>
          <w:szCs w:val="24"/>
        </w:rPr>
        <w:t>t</w:t>
      </w:r>
      <w:r w:rsidR="00D34784" w:rsidRPr="00CB5D44">
        <w:rPr>
          <w:rFonts w:ascii="Cambria" w:hAnsi="Cambria"/>
          <w:sz w:val="24"/>
          <w:szCs w:val="24"/>
        </w:rPr>
        <w:t>oksyczn</w:t>
      </w:r>
      <w:r w:rsidR="00794C43" w:rsidRPr="00CB5D44">
        <w:rPr>
          <w:rFonts w:ascii="Cambria" w:hAnsi="Cambria"/>
          <w:sz w:val="24"/>
          <w:szCs w:val="24"/>
        </w:rPr>
        <w:t>ych</w:t>
      </w:r>
      <w:r w:rsidR="00D34784" w:rsidRPr="00CB5D44">
        <w:rPr>
          <w:rFonts w:ascii="Cambria" w:hAnsi="Cambria"/>
          <w:sz w:val="24"/>
          <w:szCs w:val="24"/>
        </w:rPr>
        <w:t xml:space="preserve"> opcj</w:t>
      </w:r>
      <w:r w:rsidR="00794C43" w:rsidRPr="00CB5D44">
        <w:rPr>
          <w:rFonts w:ascii="Cambria" w:hAnsi="Cambria"/>
          <w:sz w:val="24"/>
          <w:szCs w:val="24"/>
        </w:rPr>
        <w:t>i</w:t>
      </w:r>
      <w:r w:rsidR="00D34784" w:rsidRPr="00CB5D44">
        <w:rPr>
          <w:rFonts w:ascii="Cambria" w:hAnsi="Cambria"/>
          <w:sz w:val="24"/>
          <w:szCs w:val="24"/>
        </w:rPr>
        <w:t xml:space="preserve">”, </w:t>
      </w:r>
      <w:r w:rsidR="00794C43" w:rsidRPr="00CB5D44">
        <w:rPr>
          <w:rFonts w:ascii="Cambria" w:hAnsi="Cambria"/>
          <w:sz w:val="24"/>
          <w:szCs w:val="24"/>
        </w:rPr>
        <w:t xml:space="preserve">które uznawano za </w:t>
      </w:r>
      <w:r w:rsidR="00D34784" w:rsidRPr="00CB5D44">
        <w:rPr>
          <w:rFonts w:ascii="Cambria" w:hAnsi="Cambria"/>
          <w:sz w:val="24"/>
          <w:szCs w:val="24"/>
        </w:rPr>
        <w:t xml:space="preserve">„wirus wywołujący kryzys finansowy w Polsce”. </w:t>
      </w:r>
      <w:r w:rsidR="00794C43" w:rsidRPr="00CB5D44">
        <w:rPr>
          <w:rFonts w:ascii="Cambria" w:hAnsi="Cambria"/>
          <w:sz w:val="24"/>
          <w:szCs w:val="24"/>
        </w:rPr>
        <w:t xml:space="preserve">Dokonano </w:t>
      </w:r>
      <w:r w:rsidR="00D34784" w:rsidRPr="00CB5D44">
        <w:rPr>
          <w:rFonts w:ascii="Cambria" w:hAnsi="Cambria"/>
          <w:sz w:val="24"/>
          <w:szCs w:val="24"/>
        </w:rPr>
        <w:t>próby klasyfikacji i oceny charakteru prawnego umów zwanych kontraktami różniczkowymi lub dyferencyjnymi albo transakcjami terminowymi (</w:t>
      </w:r>
      <w:r w:rsidR="00D34784" w:rsidRPr="007941A7">
        <w:rPr>
          <w:rFonts w:ascii="Cambria" w:hAnsi="Cambria"/>
          <w:i/>
          <w:iCs/>
          <w:sz w:val="24"/>
          <w:szCs w:val="24"/>
        </w:rPr>
        <w:t>futures</w:t>
      </w:r>
      <w:r w:rsidR="00D34784" w:rsidRPr="00CB5D44">
        <w:rPr>
          <w:rFonts w:ascii="Cambria" w:hAnsi="Cambria"/>
          <w:sz w:val="24"/>
          <w:szCs w:val="24"/>
        </w:rPr>
        <w:t xml:space="preserve">) bądź opcyjnymi nierzeczywistymi (papierowymi). Wydawać by się mogło, że są to w prawie polskim instytucje nowe, dawniej raczej niewykorzystywane. Jednakże, pomimo iż problematyka ta została medialnie nagłośniona w </w:t>
      </w:r>
      <w:r w:rsidR="00794C43" w:rsidRPr="00CB5D44">
        <w:rPr>
          <w:rFonts w:ascii="Cambria" w:hAnsi="Cambria"/>
          <w:sz w:val="24"/>
          <w:szCs w:val="24"/>
        </w:rPr>
        <w:t>latach 2008 – 2010</w:t>
      </w:r>
      <w:r w:rsidR="00D34784" w:rsidRPr="00CB5D44">
        <w:rPr>
          <w:rFonts w:ascii="Cambria" w:hAnsi="Cambria"/>
          <w:sz w:val="24"/>
          <w:szCs w:val="24"/>
        </w:rPr>
        <w:t xml:space="preserve">, wobec drastycznego osłabienia polskiej waluty krajowej, kontrakty tego rodzaju stosowane były w obrocie dużo wcześniej. </w:t>
      </w:r>
      <w:r w:rsidR="00794C43" w:rsidRPr="00CB5D44">
        <w:rPr>
          <w:rFonts w:ascii="Cambria" w:hAnsi="Cambria"/>
          <w:sz w:val="24"/>
          <w:szCs w:val="24"/>
        </w:rPr>
        <w:t>W publikacji w</w:t>
      </w:r>
      <w:r w:rsidR="001743FA" w:rsidRPr="00CB5D44">
        <w:rPr>
          <w:rFonts w:ascii="Cambria" w:hAnsi="Cambria"/>
          <w:sz w:val="24"/>
          <w:szCs w:val="24"/>
        </w:rPr>
        <w:t xml:space="preserve">skazano na genezę opcji walutowych i możliwe drogi ochrony stron zawartych umów. </w:t>
      </w:r>
    </w:p>
    <w:p w14:paraId="0C321244" w14:textId="37DA493E" w:rsidR="00EC049D" w:rsidRPr="007F42BD" w:rsidRDefault="00EC049D" w:rsidP="00701168">
      <w:pPr>
        <w:pStyle w:val="Akapitzlist"/>
        <w:spacing w:after="0" w:line="360" w:lineRule="auto"/>
        <w:ind w:left="1440"/>
        <w:jc w:val="both"/>
        <w:rPr>
          <w:rFonts w:ascii="Cambria" w:hAnsi="Cambria" w:cs="Times New Roman"/>
          <w:b/>
          <w:bCs/>
          <w:color w:val="FF0000"/>
          <w:sz w:val="24"/>
          <w:szCs w:val="24"/>
        </w:rPr>
      </w:pPr>
      <w:r w:rsidRPr="007F42BD">
        <w:rPr>
          <w:rFonts w:ascii="Cambria" w:hAnsi="Cambria" w:cs="Times New Roman"/>
          <w:b/>
          <w:bCs/>
          <w:i/>
          <w:iCs/>
          <w:noProof/>
          <w:sz w:val="24"/>
          <w:szCs w:val="24"/>
        </w:rPr>
        <mc:AlternateContent>
          <mc:Choice Requires="wps">
            <w:drawing>
              <wp:anchor distT="91440" distB="91440" distL="114300" distR="114300" simplePos="0" relativeHeight="251665408" behindDoc="0" locked="0" layoutInCell="1" allowOverlap="1" wp14:anchorId="59196255" wp14:editId="06D99699">
                <wp:simplePos x="0" y="0"/>
                <wp:positionH relativeFrom="page">
                  <wp:posOffset>1221638</wp:posOffset>
                </wp:positionH>
                <wp:positionV relativeFrom="paragraph">
                  <wp:posOffset>145440</wp:posOffset>
                </wp:positionV>
                <wp:extent cx="5554980" cy="782117"/>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782117"/>
                        </a:xfrm>
                        <a:prstGeom prst="rect">
                          <a:avLst/>
                        </a:prstGeom>
                        <a:noFill/>
                        <a:ln w="9525">
                          <a:noFill/>
                          <a:miter lim="800000"/>
                          <a:headEnd/>
                          <a:tailEnd/>
                        </a:ln>
                      </wps:spPr>
                      <wps:txbx>
                        <w:txbxContent>
                          <w:p w14:paraId="58104F54" w14:textId="353E94E6" w:rsidR="00EC049D" w:rsidRDefault="00EC049D">
                            <w:pPr>
                              <w:pBdr>
                                <w:top w:val="single" w:sz="24" w:space="8" w:color="5B9BD5" w:themeColor="accent1"/>
                                <w:bottom w:val="single" w:sz="24" w:space="8" w:color="5B9BD5" w:themeColor="accent1"/>
                              </w:pBdr>
                              <w:spacing w:after="0"/>
                              <w:rPr>
                                <w:i/>
                                <w:iCs/>
                                <w:color w:val="5B9BD5"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96255" id="_x0000_s1029" type="#_x0000_t202" style="position:absolute;left:0;text-align:left;margin-left:96.2pt;margin-top:11.45pt;width:437.4pt;height:61.6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" filled="f" stroked="f">
                <v:textbox>
                  <w:txbxContent>
                    <w:p w14:paraId="58104F54" w14:textId="353E94E6" w:rsidR="00EC049D" w:rsidRDefault="00EC049D">
                      <w:pPr>
                        <w:pBdr>
                          <w:top w:val="single" w:sz="24" w:space="8" w:color="5B9BD5" w:themeColor="accent1"/>
                          <w:bottom w:val="single" w:sz="24" w:space="8" w:color="5B9BD5" w:themeColor="accent1"/>
                        </w:pBdr>
                        <w:spacing w:after="0"/>
                        <w:rPr>
                          <w:i/>
                          <w:iCs/>
                          <w:color w:val="5B9BD5" w:themeColor="accent1"/>
                          <w:sz w:val="24"/>
                        </w:rPr>
                      </w:pPr>
                    </w:p>
                  </w:txbxContent>
                </v:textbox>
                <w10:wrap anchorx="page"/>
              </v:shape>
            </w:pict>
          </mc:Fallback>
        </mc:AlternateContent>
      </w:r>
    </w:p>
    <w:p w14:paraId="5826B069" w14:textId="0EA94E86" w:rsidR="00EA3229" w:rsidRPr="007F42BD" w:rsidRDefault="006501A5" w:rsidP="00364EE7">
      <w:pPr>
        <w:pStyle w:val="Akapitzlist"/>
        <w:numPr>
          <w:ilvl w:val="0"/>
          <w:numId w:val="1"/>
        </w:numPr>
        <w:spacing w:after="0" w:line="240" w:lineRule="auto"/>
        <w:ind w:left="714" w:hanging="357"/>
        <w:jc w:val="both"/>
        <w:rPr>
          <w:rFonts w:ascii="Cambria" w:hAnsi="Cambria" w:cs="Times New Roman"/>
          <w:i/>
          <w:iCs/>
          <w:sz w:val="24"/>
          <w:szCs w:val="24"/>
        </w:rPr>
      </w:pPr>
      <w:r w:rsidRPr="007F42BD">
        <w:rPr>
          <w:rFonts w:ascii="Cambria" w:hAnsi="Cambria" w:cs="Times New Roman"/>
          <w:i/>
          <w:iCs/>
          <w:sz w:val="24"/>
          <w:szCs w:val="24"/>
        </w:rPr>
        <w:t xml:space="preserve">Informacja o wykazywaniu się istotną aktywnością naukową albo artystyczną realizowaną w więcej niż jednej uczelni, instytucji naukowej lub instytucji kultury, </w:t>
      </w:r>
      <w:r w:rsidR="000F6F83" w:rsidRPr="007F42BD">
        <w:rPr>
          <w:rFonts w:ascii="Cambria" w:hAnsi="Cambria" w:cs="Times New Roman"/>
          <w:i/>
          <w:iCs/>
          <w:sz w:val="24"/>
          <w:szCs w:val="24"/>
        </w:rPr>
        <w:t xml:space="preserve"> </w:t>
      </w:r>
      <w:r w:rsidRPr="007F42BD">
        <w:rPr>
          <w:rFonts w:ascii="Cambria" w:hAnsi="Cambria" w:cs="Times New Roman"/>
          <w:i/>
          <w:iCs/>
          <w:sz w:val="24"/>
          <w:szCs w:val="24"/>
        </w:rPr>
        <w:t xml:space="preserve">w szczególności zagranicznej. </w:t>
      </w:r>
    </w:p>
    <w:p w14:paraId="5A8C833A" w14:textId="5A0F18B4" w:rsidR="00AF3184" w:rsidRPr="007F42BD" w:rsidRDefault="00AF3184" w:rsidP="00AF3184">
      <w:pPr>
        <w:spacing w:after="0" w:line="240" w:lineRule="auto"/>
        <w:jc w:val="both"/>
        <w:rPr>
          <w:rFonts w:ascii="Cambria" w:hAnsi="Cambria" w:cs="Times New Roman"/>
          <w:i/>
          <w:iCs/>
          <w:sz w:val="24"/>
          <w:szCs w:val="24"/>
        </w:rPr>
      </w:pPr>
    </w:p>
    <w:p w14:paraId="07971E82" w14:textId="55081B14" w:rsidR="003447E6" w:rsidRDefault="008144B0" w:rsidP="003447E6">
      <w:pPr>
        <w:pStyle w:val="Akapitzlist"/>
        <w:spacing w:after="0" w:line="240" w:lineRule="auto"/>
        <w:ind w:firstLine="696"/>
        <w:jc w:val="both"/>
        <w:rPr>
          <w:rFonts w:ascii="Cambria" w:hAnsi="Cambria" w:cs="Times New Roman"/>
          <w:sz w:val="24"/>
          <w:szCs w:val="24"/>
        </w:rPr>
      </w:pPr>
      <w:r w:rsidRPr="007F42BD">
        <w:rPr>
          <w:rFonts w:ascii="Cambria" w:hAnsi="Cambria" w:cs="Times New Roman"/>
          <w:b/>
          <w:bCs/>
          <w:sz w:val="24"/>
          <w:szCs w:val="24"/>
        </w:rPr>
        <w:t>Szczegółowy wykaz osiągnięć o charakterze naukowym</w:t>
      </w:r>
      <w:r w:rsidR="008864F5" w:rsidRPr="007F42BD">
        <w:rPr>
          <w:rFonts w:ascii="Cambria" w:hAnsi="Cambria" w:cs="Times New Roman"/>
          <w:b/>
          <w:bCs/>
          <w:sz w:val="24"/>
          <w:szCs w:val="24"/>
        </w:rPr>
        <w:t xml:space="preserve"> (także z uwzględnieniem aktywności obejmującej więcej niż jedną uczelnię, instytucję naukową, w szczególności zagranicznej)</w:t>
      </w:r>
      <w:r w:rsidRPr="007F42BD">
        <w:rPr>
          <w:rFonts w:ascii="Cambria" w:hAnsi="Cambria" w:cs="Times New Roman"/>
          <w:sz w:val="24"/>
          <w:szCs w:val="24"/>
        </w:rPr>
        <w:t xml:space="preserve"> został przedstawiony w </w:t>
      </w:r>
      <w:r w:rsidRPr="007F42BD">
        <w:rPr>
          <w:rFonts w:ascii="Cambria" w:hAnsi="Cambria" w:cs="Times New Roman"/>
          <w:b/>
          <w:bCs/>
          <w:sz w:val="24"/>
          <w:szCs w:val="24"/>
        </w:rPr>
        <w:t>Załączniku nr 4</w:t>
      </w:r>
      <w:r w:rsidRPr="007F42BD">
        <w:rPr>
          <w:rFonts w:ascii="Cambria" w:hAnsi="Cambria" w:cs="Times New Roman"/>
          <w:sz w:val="24"/>
          <w:szCs w:val="24"/>
        </w:rPr>
        <w:t xml:space="preserve"> do wniosku o przeprowadzenie postępowania</w:t>
      </w:r>
      <w:r w:rsidR="008864F5" w:rsidRPr="007F42BD">
        <w:rPr>
          <w:rFonts w:ascii="Cambria" w:hAnsi="Cambria" w:cs="Times New Roman"/>
          <w:sz w:val="24"/>
          <w:szCs w:val="24"/>
        </w:rPr>
        <w:t xml:space="preserve"> </w:t>
      </w:r>
      <w:r w:rsidRPr="007F42BD">
        <w:rPr>
          <w:rFonts w:ascii="Cambria" w:hAnsi="Cambria" w:cs="Times New Roman"/>
          <w:sz w:val="24"/>
          <w:szCs w:val="24"/>
        </w:rPr>
        <w:t>w sprawie nadania stopnia doktora habilitowanego (</w:t>
      </w:r>
      <w:r w:rsidRPr="007F42BD">
        <w:rPr>
          <w:rFonts w:ascii="Cambria" w:hAnsi="Cambria" w:cs="Times New Roman"/>
          <w:i/>
          <w:iCs/>
          <w:sz w:val="24"/>
          <w:szCs w:val="24"/>
        </w:rPr>
        <w:t>Wykaz osiągnięć naukowych albo artystycznych, stanowiących znaczny wkład w rozwój określonej dyscypliny</w:t>
      </w:r>
      <w:r w:rsidR="008864F5" w:rsidRPr="007F42BD">
        <w:rPr>
          <w:rFonts w:ascii="Cambria" w:hAnsi="Cambria" w:cs="Times New Roman"/>
          <w:sz w:val="24"/>
          <w:szCs w:val="24"/>
        </w:rPr>
        <w:t>)</w:t>
      </w:r>
      <w:r w:rsidR="003447E6" w:rsidRPr="007F42BD">
        <w:rPr>
          <w:rFonts w:ascii="Cambria" w:hAnsi="Cambria" w:cs="Times New Roman"/>
          <w:sz w:val="24"/>
          <w:szCs w:val="24"/>
        </w:rPr>
        <w:t>.</w:t>
      </w:r>
    </w:p>
    <w:p w14:paraId="33039FB7" w14:textId="77777777" w:rsidR="007618E6" w:rsidRPr="007F42BD" w:rsidRDefault="007618E6" w:rsidP="003447E6">
      <w:pPr>
        <w:pStyle w:val="Akapitzlist"/>
        <w:spacing w:after="0" w:line="240" w:lineRule="auto"/>
        <w:ind w:firstLine="696"/>
        <w:jc w:val="both"/>
        <w:rPr>
          <w:rFonts w:ascii="Cambria" w:hAnsi="Cambria" w:cs="Times New Roman"/>
          <w:sz w:val="24"/>
          <w:szCs w:val="24"/>
        </w:rPr>
      </w:pPr>
    </w:p>
    <w:p w14:paraId="4BC86889" w14:textId="324E10FC" w:rsidR="003447E6" w:rsidRDefault="008864F5" w:rsidP="003447E6">
      <w:pPr>
        <w:pStyle w:val="Akapitzlist"/>
        <w:spacing w:after="0" w:line="240" w:lineRule="auto"/>
        <w:ind w:firstLine="696"/>
        <w:jc w:val="both"/>
        <w:rPr>
          <w:rFonts w:ascii="Cambria" w:hAnsi="Cambria" w:cs="Times New Roman"/>
          <w:b/>
          <w:bCs/>
          <w:sz w:val="24"/>
          <w:szCs w:val="24"/>
        </w:rPr>
      </w:pPr>
      <w:r w:rsidRPr="007F42BD">
        <w:rPr>
          <w:rFonts w:ascii="Cambria" w:hAnsi="Cambria" w:cs="Times New Roman"/>
          <w:sz w:val="24"/>
          <w:szCs w:val="24"/>
        </w:rPr>
        <w:t>Ze względu na szeroko zakrojoną działalność naukową</w:t>
      </w:r>
      <w:r w:rsidR="003447E6" w:rsidRPr="007F42BD">
        <w:rPr>
          <w:rFonts w:ascii="Cambria" w:hAnsi="Cambria" w:cs="Times New Roman"/>
          <w:sz w:val="24"/>
          <w:szCs w:val="24"/>
        </w:rPr>
        <w:t xml:space="preserve"> (krajową i zagraniczną)</w:t>
      </w:r>
      <w:r w:rsidRPr="007F42BD">
        <w:rPr>
          <w:rFonts w:ascii="Cambria" w:hAnsi="Cambria" w:cs="Times New Roman"/>
          <w:sz w:val="24"/>
          <w:szCs w:val="24"/>
        </w:rPr>
        <w:t xml:space="preserve"> i występowanie zróżnicowanych osiągnięć w tym zakresie, wypada w szczególności wskazać </w:t>
      </w:r>
      <w:r w:rsidR="003447E6" w:rsidRPr="007F42BD">
        <w:rPr>
          <w:rFonts w:ascii="Cambria" w:hAnsi="Cambria" w:cs="Times New Roman"/>
          <w:sz w:val="24"/>
          <w:szCs w:val="24"/>
        </w:rPr>
        <w:t xml:space="preserve">na występowanie </w:t>
      </w:r>
      <w:r w:rsidR="003447E6" w:rsidRPr="007F42BD">
        <w:rPr>
          <w:rFonts w:ascii="Cambria" w:hAnsi="Cambria" w:cs="Times New Roman"/>
          <w:b/>
          <w:bCs/>
          <w:sz w:val="24"/>
          <w:szCs w:val="24"/>
        </w:rPr>
        <w:t>kilku podstawowych obszarów zainteresowań badawczych</w:t>
      </w:r>
      <w:r w:rsidR="003447E6" w:rsidRPr="007F42BD">
        <w:rPr>
          <w:rFonts w:ascii="Cambria" w:hAnsi="Cambria" w:cs="Times New Roman"/>
          <w:sz w:val="24"/>
          <w:szCs w:val="24"/>
        </w:rPr>
        <w:t xml:space="preserve">, </w:t>
      </w:r>
      <w:r w:rsidR="003447E6" w:rsidRPr="007618E6">
        <w:rPr>
          <w:rFonts w:ascii="Cambria" w:hAnsi="Cambria" w:cs="Times New Roman"/>
          <w:b/>
          <w:bCs/>
          <w:sz w:val="24"/>
          <w:szCs w:val="24"/>
        </w:rPr>
        <w:t>które odzwierciedlają kierunki (sfery), w jakich podejmowano aktywność</w:t>
      </w:r>
      <w:r w:rsidR="00875242" w:rsidRPr="007618E6">
        <w:rPr>
          <w:rFonts w:ascii="Cambria" w:hAnsi="Cambria" w:cs="Times New Roman"/>
          <w:b/>
          <w:bCs/>
          <w:sz w:val="24"/>
          <w:szCs w:val="24"/>
        </w:rPr>
        <w:t xml:space="preserve"> (także z uwzględnieniem aktywności międzyuniwersyteckiej)</w:t>
      </w:r>
      <w:r w:rsidRPr="007618E6">
        <w:rPr>
          <w:rFonts w:ascii="Cambria" w:hAnsi="Cambria" w:cs="Times New Roman"/>
          <w:b/>
          <w:bCs/>
          <w:sz w:val="24"/>
          <w:szCs w:val="24"/>
        </w:rPr>
        <w:t>:</w:t>
      </w:r>
    </w:p>
    <w:p w14:paraId="77EE5B06" w14:textId="77777777" w:rsidR="002A158B" w:rsidRPr="007618E6" w:rsidRDefault="002A158B" w:rsidP="003447E6">
      <w:pPr>
        <w:pStyle w:val="Akapitzlist"/>
        <w:spacing w:after="0" w:line="240" w:lineRule="auto"/>
        <w:ind w:firstLine="696"/>
        <w:jc w:val="both"/>
        <w:rPr>
          <w:rFonts w:ascii="Cambria" w:hAnsi="Cambria" w:cs="Times New Roman"/>
          <w:b/>
          <w:bCs/>
          <w:sz w:val="24"/>
          <w:szCs w:val="24"/>
        </w:rPr>
      </w:pPr>
    </w:p>
    <w:p w14:paraId="75EE5179" w14:textId="41C42FE2" w:rsidR="003447E6" w:rsidRPr="007F42BD" w:rsidRDefault="003447E6" w:rsidP="0038603B">
      <w:pPr>
        <w:pStyle w:val="Akapitzlist"/>
        <w:numPr>
          <w:ilvl w:val="0"/>
          <w:numId w:val="38"/>
        </w:numPr>
        <w:spacing w:after="0" w:line="240" w:lineRule="auto"/>
        <w:jc w:val="both"/>
        <w:rPr>
          <w:rFonts w:ascii="Cambria" w:hAnsi="Cambria" w:cs="Times New Roman"/>
          <w:sz w:val="24"/>
          <w:szCs w:val="24"/>
        </w:rPr>
      </w:pPr>
      <w:r w:rsidRPr="007F42BD">
        <w:rPr>
          <w:rFonts w:ascii="Cambria" w:hAnsi="Cambria" w:cs="Times New Roman"/>
          <w:b/>
          <w:bCs/>
          <w:sz w:val="24"/>
          <w:szCs w:val="24"/>
        </w:rPr>
        <w:t>Organizacja i funkcjonowanie systemu szkolnictwa wyższego i nauki</w:t>
      </w:r>
      <w:r w:rsidRPr="007F42BD">
        <w:rPr>
          <w:rFonts w:ascii="Cambria" w:hAnsi="Cambria" w:cs="Times New Roman"/>
          <w:sz w:val="24"/>
          <w:szCs w:val="24"/>
        </w:rPr>
        <w:t>;</w:t>
      </w:r>
      <w:r w:rsidR="00875242">
        <w:rPr>
          <w:rFonts w:ascii="Cambria" w:hAnsi="Cambria" w:cs="Times New Roman"/>
          <w:sz w:val="24"/>
          <w:szCs w:val="24"/>
        </w:rPr>
        <w:t xml:space="preserve"> </w:t>
      </w:r>
    </w:p>
    <w:p w14:paraId="0D57A5B4" w14:textId="28D27291" w:rsidR="00C235CF" w:rsidRPr="00C235CF" w:rsidRDefault="007F42BD" w:rsidP="0038603B">
      <w:pPr>
        <w:pStyle w:val="Akapitzlist"/>
        <w:numPr>
          <w:ilvl w:val="0"/>
          <w:numId w:val="38"/>
        </w:numPr>
        <w:jc w:val="both"/>
        <w:rPr>
          <w:rFonts w:ascii="Cambria" w:hAnsi="Cambria" w:cs="Times New Roman"/>
          <w:b/>
          <w:bCs/>
          <w:sz w:val="24"/>
          <w:szCs w:val="24"/>
        </w:rPr>
      </w:pPr>
      <w:r w:rsidRPr="007F42BD">
        <w:rPr>
          <w:rFonts w:ascii="Cambria" w:hAnsi="Cambria" w:cs="Times New Roman"/>
          <w:b/>
          <w:bCs/>
          <w:sz w:val="24"/>
          <w:szCs w:val="24"/>
        </w:rPr>
        <w:t xml:space="preserve">Prawo pracy (zwłaszcza akademickie) </w:t>
      </w:r>
      <w:r w:rsidRPr="007F42BD">
        <w:rPr>
          <w:rFonts w:ascii="Cambria" w:hAnsi="Cambria" w:cs="Times New Roman"/>
          <w:sz w:val="24"/>
          <w:szCs w:val="24"/>
        </w:rPr>
        <w:t>z uwzględnieniem aktualnych wyzwań pandemicznych (COVID-19) oraz związków międzygałęziowych (perspektywa prawnoautorska i podatkowa);</w:t>
      </w:r>
    </w:p>
    <w:p w14:paraId="0867D99D" w14:textId="3DD0F4D6" w:rsidR="00FC0F82" w:rsidRDefault="001743FA" w:rsidP="00A47DDE">
      <w:pPr>
        <w:ind w:left="1416"/>
        <w:jc w:val="both"/>
        <w:rPr>
          <w:rFonts w:ascii="Cambria" w:hAnsi="Cambria" w:cs="Times New Roman"/>
          <w:sz w:val="24"/>
          <w:szCs w:val="24"/>
        </w:rPr>
      </w:pPr>
      <w:r>
        <w:rPr>
          <w:rFonts w:ascii="Cambria" w:hAnsi="Cambria" w:cs="Times New Roman"/>
          <w:sz w:val="24"/>
          <w:szCs w:val="24"/>
        </w:rPr>
        <w:t>Badania prowadzone w o</w:t>
      </w:r>
      <w:r w:rsidR="00FC0F82" w:rsidRPr="00FC0F82">
        <w:rPr>
          <w:rFonts w:ascii="Cambria" w:hAnsi="Cambria" w:cs="Times New Roman"/>
          <w:sz w:val="24"/>
          <w:szCs w:val="24"/>
        </w:rPr>
        <w:t>bszar</w:t>
      </w:r>
      <w:r>
        <w:rPr>
          <w:rFonts w:ascii="Cambria" w:hAnsi="Cambria" w:cs="Times New Roman"/>
          <w:sz w:val="24"/>
          <w:szCs w:val="24"/>
        </w:rPr>
        <w:t>ach</w:t>
      </w:r>
      <w:r w:rsidR="00FC0F82" w:rsidRPr="00FC0F82">
        <w:rPr>
          <w:rFonts w:ascii="Cambria" w:hAnsi="Cambria" w:cs="Times New Roman"/>
          <w:sz w:val="24"/>
          <w:szCs w:val="24"/>
        </w:rPr>
        <w:t xml:space="preserve"> </w:t>
      </w:r>
      <w:r w:rsidR="00FC0F82">
        <w:rPr>
          <w:rFonts w:ascii="Cambria" w:hAnsi="Cambria" w:cs="Times New Roman"/>
          <w:sz w:val="24"/>
          <w:szCs w:val="24"/>
        </w:rPr>
        <w:t>wskazan</w:t>
      </w:r>
      <w:r>
        <w:rPr>
          <w:rFonts w:ascii="Cambria" w:hAnsi="Cambria" w:cs="Times New Roman"/>
          <w:sz w:val="24"/>
          <w:szCs w:val="24"/>
        </w:rPr>
        <w:t>ych</w:t>
      </w:r>
      <w:r w:rsidR="00FC0F82">
        <w:rPr>
          <w:rFonts w:ascii="Cambria" w:hAnsi="Cambria" w:cs="Times New Roman"/>
          <w:sz w:val="24"/>
          <w:szCs w:val="24"/>
        </w:rPr>
        <w:t xml:space="preserve"> w pkt 1) i 2) </w:t>
      </w:r>
      <w:r>
        <w:rPr>
          <w:rFonts w:ascii="Cambria" w:hAnsi="Cambria" w:cs="Times New Roman"/>
          <w:sz w:val="24"/>
          <w:szCs w:val="24"/>
        </w:rPr>
        <w:t xml:space="preserve">znalazły odzwierciedlenie </w:t>
      </w:r>
      <w:r w:rsidR="00FC0F82">
        <w:rPr>
          <w:rFonts w:ascii="Cambria" w:hAnsi="Cambria" w:cs="Times New Roman"/>
          <w:sz w:val="24"/>
          <w:szCs w:val="24"/>
        </w:rPr>
        <w:t>zwłaszcza:</w:t>
      </w:r>
    </w:p>
    <w:p w14:paraId="75EA8175" w14:textId="04679358" w:rsidR="0083655B" w:rsidRPr="003216CA" w:rsidRDefault="0036375A" w:rsidP="0038603B">
      <w:pPr>
        <w:pStyle w:val="Akapitzlist"/>
        <w:numPr>
          <w:ilvl w:val="0"/>
          <w:numId w:val="27"/>
        </w:numPr>
        <w:spacing w:after="0" w:line="240" w:lineRule="auto"/>
        <w:jc w:val="both"/>
        <w:rPr>
          <w:rFonts w:ascii="Cambria" w:hAnsi="Cambria" w:cs="Times New Roman"/>
          <w:b/>
          <w:bCs/>
          <w:i/>
          <w:iCs/>
          <w:sz w:val="24"/>
          <w:szCs w:val="24"/>
        </w:rPr>
      </w:pPr>
      <w:r w:rsidRPr="009B0D71">
        <w:rPr>
          <w:rFonts w:ascii="Cambria" w:hAnsi="Cambria" w:cs="Times New Roman"/>
          <w:sz w:val="24"/>
          <w:szCs w:val="24"/>
        </w:rPr>
        <w:t xml:space="preserve">w </w:t>
      </w:r>
      <w:r w:rsidR="0083655B">
        <w:rPr>
          <w:rFonts w:ascii="Cambria" w:hAnsi="Cambria" w:cs="Times New Roman"/>
          <w:sz w:val="24"/>
          <w:szCs w:val="24"/>
        </w:rPr>
        <w:t xml:space="preserve">pozytywnie ocenionych </w:t>
      </w:r>
      <w:r w:rsidRPr="009B0D71">
        <w:rPr>
          <w:rFonts w:ascii="Cambria" w:hAnsi="Cambria" w:cs="Times New Roman"/>
          <w:sz w:val="24"/>
          <w:szCs w:val="24"/>
        </w:rPr>
        <w:t>rezultatach naukowych</w:t>
      </w:r>
      <w:r w:rsidR="0083655B">
        <w:rPr>
          <w:rFonts w:ascii="Cambria" w:hAnsi="Cambria" w:cs="Times New Roman"/>
          <w:sz w:val="24"/>
          <w:szCs w:val="24"/>
        </w:rPr>
        <w:t xml:space="preserve"> </w:t>
      </w:r>
      <w:r w:rsidR="00A760E2">
        <w:rPr>
          <w:rFonts w:ascii="Cambria" w:hAnsi="Cambria" w:cs="Times New Roman"/>
          <w:sz w:val="24"/>
          <w:szCs w:val="24"/>
        </w:rPr>
        <w:t xml:space="preserve">w ramach </w:t>
      </w:r>
      <w:r w:rsidR="0083655B">
        <w:rPr>
          <w:rFonts w:ascii="Cambria" w:hAnsi="Cambria" w:cs="Times New Roman"/>
          <w:sz w:val="24"/>
          <w:szCs w:val="24"/>
        </w:rPr>
        <w:t>realizowanych projektów</w:t>
      </w:r>
      <w:r w:rsidRPr="009B0D71">
        <w:rPr>
          <w:rFonts w:ascii="Cambria" w:hAnsi="Cambria" w:cs="Times New Roman"/>
          <w:sz w:val="24"/>
          <w:szCs w:val="24"/>
        </w:rPr>
        <w:t xml:space="preserve"> </w:t>
      </w:r>
      <w:r w:rsidR="003216CA" w:rsidRPr="009B0D71">
        <w:rPr>
          <w:rFonts w:ascii="Cambria" w:hAnsi="Cambria" w:cs="Times New Roman"/>
          <w:sz w:val="24"/>
          <w:szCs w:val="24"/>
        </w:rPr>
        <w:t xml:space="preserve">(monografia naukowa, artykuły w czasopismach naukowych) </w:t>
      </w:r>
      <w:r w:rsidR="00A760E2">
        <w:rPr>
          <w:rFonts w:ascii="Cambria" w:hAnsi="Cambria" w:cs="Times New Roman"/>
          <w:sz w:val="24"/>
          <w:szCs w:val="24"/>
        </w:rPr>
        <w:t xml:space="preserve">ze </w:t>
      </w:r>
      <w:r w:rsidRPr="009B0D71">
        <w:rPr>
          <w:rFonts w:ascii="Cambria" w:hAnsi="Cambria" w:cs="Times New Roman"/>
          <w:sz w:val="24"/>
          <w:szCs w:val="24"/>
        </w:rPr>
        <w:t xml:space="preserve">środków </w:t>
      </w:r>
      <w:r w:rsidR="00A760E2">
        <w:rPr>
          <w:rFonts w:ascii="Cambria" w:hAnsi="Cambria" w:cs="Times New Roman"/>
          <w:sz w:val="24"/>
          <w:szCs w:val="24"/>
        </w:rPr>
        <w:t>pozyskanych</w:t>
      </w:r>
      <w:r w:rsidRPr="009B0D71">
        <w:rPr>
          <w:rFonts w:ascii="Cambria" w:hAnsi="Cambria" w:cs="Times New Roman"/>
          <w:sz w:val="24"/>
          <w:szCs w:val="24"/>
        </w:rPr>
        <w:t xml:space="preserve"> </w:t>
      </w:r>
      <w:r w:rsidR="00A760E2">
        <w:rPr>
          <w:rFonts w:ascii="Cambria" w:hAnsi="Cambria" w:cs="Times New Roman"/>
          <w:sz w:val="24"/>
          <w:szCs w:val="24"/>
        </w:rPr>
        <w:t xml:space="preserve">z </w:t>
      </w:r>
      <w:r w:rsidR="004E368A" w:rsidRPr="009B0D71">
        <w:rPr>
          <w:rFonts w:ascii="Cambria" w:hAnsi="Cambria" w:cs="Times New Roman"/>
          <w:b/>
          <w:bCs/>
          <w:sz w:val="24"/>
          <w:szCs w:val="24"/>
        </w:rPr>
        <w:t>międzyuniwersyteckiego</w:t>
      </w:r>
      <w:r w:rsidRPr="009B0D71">
        <w:rPr>
          <w:rFonts w:ascii="Cambria" w:hAnsi="Cambria" w:cs="Times New Roman"/>
          <w:sz w:val="24"/>
          <w:szCs w:val="24"/>
        </w:rPr>
        <w:t xml:space="preserve"> </w:t>
      </w:r>
      <w:r w:rsidR="00A751B9" w:rsidRPr="009B0D71">
        <w:rPr>
          <w:rFonts w:ascii="Cambria" w:hAnsi="Cambria" w:cs="Times New Roman"/>
          <w:b/>
          <w:bCs/>
          <w:sz w:val="24"/>
          <w:szCs w:val="24"/>
        </w:rPr>
        <w:t>konkursu grantowego dla dyscypliny nauki prawne</w:t>
      </w:r>
      <w:r w:rsidR="00A751B9" w:rsidRPr="009B0D71">
        <w:rPr>
          <w:rFonts w:ascii="Cambria" w:hAnsi="Cambria" w:cs="Times New Roman"/>
          <w:sz w:val="24"/>
          <w:szCs w:val="24"/>
        </w:rPr>
        <w:t xml:space="preserve"> (tytuł partnerskiego projektu międzyuczelnianego KUL - UMCS: </w:t>
      </w:r>
      <w:r w:rsidR="00A751B9" w:rsidRPr="009B0D71">
        <w:rPr>
          <w:rFonts w:ascii="Cambria" w:hAnsi="Cambria" w:cs="Times New Roman"/>
          <w:i/>
          <w:iCs/>
          <w:sz w:val="24"/>
          <w:szCs w:val="24"/>
        </w:rPr>
        <w:t>Podatkowoprawne uwarunkowania działalności szkół wyższych</w:t>
      </w:r>
      <w:r w:rsidR="00A751B9" w:rsidRPr="009B0D71">
        <w:rPr>
          <w:rFonts w:ascii="Cambria" w:hAnsi="Cambria" w:cs="Times New Roman"/>
          <w:sz w:val="24"/>
          <w:szCs w:val="24"/>
        </w:rPr>
        <w:t>) – zrealizowany w latach 2020 – 2021 (ocena pozytywna); pełniona funkcja: Partner z projekcie (UMCS)</w:t>
      </w:r>
      <w:r w:rsidR="0083655B">
        <w:rPr>
          <w:rFonts w:ascii="Cambria" w:hAnsi="Cambria" w:cs="Times New Roman"/>
          <w:sz w:val="24"/>
          <w:szCs w:val="24"/>
        </w:rPr>
        <w:t xml:space="preserve"> oraz </w:t>
      </w:r>
      <w:r w:rsidR="0083655B" w:rsidRPr="0036375A">
        <w:rPr>
          <w:rFonts w:ascii="Cambria" w:hAnsi="Cambria" w:cs="Times New Roman"/>
          <w:sz w:val="24"/>
          <w:szCs w:val="24"/>
        </w:rPr>
        <w:t xml:space="preserve">w ramach pełnienia funkcji naukowej członka - koordynatora (UMCS) </w:t>
      </w:r>
      <w:r w:rsidR="0083655B" w:rsidRPr="0036375A">
        <w:rPr>
          <w:rFonts w:ascii="Cambria" w:hAnsi="Cambria" w:cs="Times New Roman"/>
          <w:b/>
          <w:bCs/>
          <w:sz w:val="24"/>
          <w:szCs w:val="24"/>
        </w:rPr>
        <w:t>międzynarodowego projektu realizowanego w Europejskiej Sieci Badawczej KULTAX</w:t>
      </w:r>
      <w:r w:rsidR="0083655B" w:rsidRPr="0036375A">
        <w:rPr>
          <w:rFonts w:ascii="Cambria" w:hAnsi="Cambria" w:cs="Times New Roman"/>
          <w:sz w:val="24"/>
          <w:szCs w:val="24"/>
        </w:rPr>
        <w:t xml:space="preserve"> – tytuł</w:t>
      </w:r>
      <w:r w:rsidR="0083655B" w:rsidRPr="00F07371">
        <w:rPr>
          <w:rFonts w:ascii="Cambria" w:hAnsi="Cambria" w:cs="Times New Roman"/>
          <w:sz w:val="24"/>
          <w:szCs w:val="24"/>
        </w:rPr>
        <w:t xml:space="preserve"> projektu: </w:t>
      </w:r>
      <w:r w:rsidR="0083655B" w:rsidRPr="00F07371">
        <w:rPr>
          <w:rFonts w:ascii="Cambria" w:hAnsi="Cambria" w:cs="Times New Roman"/>
          <w:i/>
          <w:iCs/>
          <w:sz w:val="24"/>
          <w:szCs w:val="24"/>
        </w:rPr>
        <w:t xml:space="preserve">Taxes in higher education </w:t>
      </w:r>
      <w:r w:rsidR="0083655B" w:rsidRPr="00F07371">
        <w:rPr>
          <w:rFonts w:ascii="Cambria" w:hAnsi="Cambria" w:cs="Times New Roman"/>
          <w:sz w:val="24"/>
          <w:szCs w:val="24"/>
        </w:rPr>
        <w:t xml:space="preserve">(2019 – 2020); Partnerzy Sieci Badawczej: Palacký University, Olomouc (Czechy), The University of Trnava (Słowacja), The University of Debrecen (Węgry), The Babeș-Bolyai University in Cluj-Napoca (Rumunia); Sulkhan Saba Orbeliani Teaching University in Tbilisi (Gruzja); </w:t>
      </w:r>
    </w:p>
    <w:p w14:paraId="476FBE01" w14:textId="77777777" w:rsidR="0083655B" w:rsidRPr="006A55B0" w:rsidRDefault="0083655B" w:rsidP="0038603B">
      <w:pPr>
        <w:pStyle w:val="Akapitzlist"/>
        <w:numPr>
          <w:ilvl w:val="0"/>
          <w:numId w:val="39"/>
        </w:numPr>
        <w:jc w:val="both"/>
        <w:rPr>
          <w:rFonts w:ascii="Cambria" w:eastAsia="Times New Roman" w:hAnsi="Cambria"/>
          <w:sz w:val="24"/>
          <w:szCs w:val="24"/>
          <w:lang w:eastAsia="pl-PL"/>
        </w:rPr>
      </w:pPr>
      <w:r w:rsidRPr="0083655B">
        <w:rPr>
          <w:rFonts w:ascii="Cambria" w:hAnsi="Cambria" w:cs="Times New Roman"/>
          <w:sz w:val="24"/>
          <w:szCs w:val="24"/>
        </w:rPr>
        <w:t>W tym zakresie</w:t>
      </w:r>
      <w:r>
        <w:rPr>
          <w:rFonts w:ascii="Cambria" w:hAnsi="Cambria" w:cs="Times New Roman"/>
          <w:sz w:val="24"/>
          <w:szCs w:val="24"/>
        </w:rPr>
        <w:t xml:space="preserve"> w</w:t>
      </w:r>
      <w:r w:rsidR="003216CA" w:rsidRPr="009B0D71">
        <w:rPr>
          <w:rFonts w:ascii="Cambria" w:hAnsi="Cambria" w:cs="Times New Roman"/>
          <w:sz w:val="24"/>
          <w:szCs w:val="24"/>
        </w:rPr>
        <w:t>ypada wspomnieć przede wszystkim</w:t>
      </w:r>
      <w:r w:rsidR="009B0D71" w:rsidRPr="009B0D71">
        <w:rPr>
          <w:rFonts w:ascii="Cambria" w:hAnsi="Cambria" w:cs="Times New Roman"/>
          <w:sz w:val="24"/>
          <w:szCs w:val="24"/>
        </w:rPr>
        <w:t xml:space="preserve"> na recenzowaną monografię współautorską (współautor: P. Smoleń) -</w:t>
      </w:r>
      <w:r w:rsidR="003216CA" w:rsidRPr="009B0D71">
        <w:rPr>
          <w:rFonts w:ascii="Cambria" w:hAnsi="Cambria" w:cs="Times New Roman"/>
          <w:sz w:val="24"/>
          <w:szCs w:val="24"/>
        </w:rPr>
        <w:t xml:space="preserve"> </w:t>
      </w:r>
      <w:r w:rsidR="00542412" w:rsidRPr="009B0D71">
        <w:rPr>
          <w:rFonts w:ascii="Cambria" w:eastAsia="Times New Roman" w:hAnsi="Cambria"/>
          <w:i/>
          <w:iCs/>
          <w:sz w:val="24"/>
          <w:szCs w:val="24"/>
          <w:lang w:eastAsia="pl-PL"/>
        </w:rPr>
        <w:t>Taxes in the higher education system in Poland. Selected issues concerning CIT, PIT and VAT</w:t>
      </w:r>
      <w:r w:rsidR="00542412" w:rsidRPr="009B0D71">
        <w:rPr>
          <w:rFonts w:ascii="Cambria" w:eastAsia="Times New Roman" w:hAnsi="Cambria"/>
          <w:sz w:val="24"/>
          <w:szCs w:val="24"/>
          <w:lang w:eastAsia="pl-PL"/>
        </w:rPr>
        <w:t>, Lublin 2020, Towarzystwo Naukowe Katolickiego Uniwersytetu Lubelskiego Jana Pawla II,  ISBN: 978-83-7306-973-2, ss.152</w:t>
      </w:r>
      <w:r w:rsidR="009B0D71" w:rsidRPr="009B0D71">
        <w:rPr>
          <w:rFonts w:ascii="Cambria" w:eastAsia="Times New Roman" w:hAnsi="Cambria"/>
          <w:sz w:val="24"/>
          <w:szCs w:val="24"/>
          <w:lang w:eastAsia="pl-PL"/>
        </w:rPr>
        <w:t xml:space="preserve"> oraz </w:t>
      </w:r>
    </w:p>
    <w:p w14:paraId="64438805" w14:textId="6AFABE42" w:rsidR="00A751B9" w:rsidRPr="0083655B" w:rsidRDefault="009B0D71" w:rsidP="0038603B">
      <w:pPr>
        <w:pStyle w:val="Akapitzlist"/>
        <w:numPr>
          <w:ilvl w:val="0"/>
          <w:numId w:val="39"/>
        </w:numPr>
        <w:jc w:val="both"/>
        <w:rPr>
          <w:rFonts w:ascii="Cambria" w:eastAsia="Times New Roman" w:hAnsi="Cambria"/>
          <w:sz w:val="24"/>
          <w:szCs w:val="24"/>
          <w:lang w:val="en-GB" w:eastAsia="pl-PL"/>
        </w:rPr>
      </w:pPr>
      <w:r w:rsidRPr="0083655B">
        <w:rPr>
          <w:rFonts w:ascii="Cambria" w:eastAsia="Times New Roman" w:hAnsi="Cambria"/>
          <w:sz w:val="24"/>
          <w:szCs w:val="24"/>
          <w:lang w:eastAsia="pl-PL"/>
        </w:rPr>
        <w:t xml:space="preserve">artykuły w wysokopunktowanych czasopismach o zasięgu międzynarodowym: </w:t>
      </w:r>
      <w:r w:rsidR="0083655B" w:rsidRPr="0083655B">
        <w:rPr>
          <w:rFonts w:ascii="Cambria" w:eastAsia="Times New Roman" w:hAnsi="Cambria"/>
          <w:sz w:val="24"/>
          <w:szCs w:val="24"/>
          <w:lang w:eastAsia="pl-PL"/>
        </w:rPr>
        <w:t xml:space="preserve">1) </w:t>
      </w:r>
      <w:r w:rsidRPr="0083655B">
        <w:rPr>
          <w:rFonts w:ascii="Cambria" w:eastAsia="Times New Roman" w:hAnsi="Cambria"/>
          <w:sz w:val="24"/>
          <w:szCs w:val="24"/>
          <w:lang w:eastAsia="pl-PL"/>
        </w:rPr>
        <w:t xml:space="preserve">Property Tax Exemptions for Polish </w:t>
      </w:r>
      <w:r w:rsidRPr="0083655B">
        <w:rPr>
          <w:rFonts w:ascii="Cambria" w:eastAsia="Times New Roman" w:hAnsi="Cambria"/>
          <w:sz w:val="24"/>
          <w:szCs w:val="24"/>
          <w:lang w:eastAsia="pl-PL"/>
        </w:rPr>
        <w:lastRenderedPageBreak/>
        <w:t xml:space="preserve">Higher Education Institutions. </w:t>
      </w:r>
      <w:r w:rsidRPr="0083655B">
        <w:rPr>
          <w:rFonts w:ascii="Cambria" w:eastAsia="Times New Roman" w:hAnsi="Cambria"/>
          <w:sz w:val="24"/>
          <w:szCs w:val="24"/>
          <w:lang w:val="en-GB" w:eastAsia="pl-PL"/>
        </w:rPr>
        <w:t>Problems and Dilemmas (współautor: P. Smoleń), „Lex Localis – Journal of Local Self – Government” 2021, Vol. 19, Nr 2, s. 377-395, https://doi.org/10.4335/19.2.377-395(2021) [100 pkt (IF=0,660)]</w:t>
      </w:r>
      <w:r w:rsidR="0083655B" w:rsidRPr="0083655B">
        <w:rPr>
          <w:rFonts w:ascii="Cambria" w:eastAsia="Times New Roman" w:hAnsi="Cambria"/>
          <w:sz w:val="24"/>
          <w:szCs w:val="24"/>
          <w:lang w:val="en-GB" w:eastAsia="pl-PL"/>
        </w:rPr>
        <w:t xml:space="preserve">; 2) Security of public funding and transformation of contemporary European universities (współautor: P. Smoleń), „Teka Komisji Prawniczej PAN Oddział w Lublinie” 2021, Vol. XIV, nr 1, s. 397-411, https://doi.org/10.32084/tekapr.2021.14.1-33 [100 pkt]; 3) The Idea of Universitas Studiorum in View of the Principle Guidelines of the Act 2.0. Some Reflections on the Mission of the Contemporary University (współautor: P. Smoleń), „Roczniki Humanistyczne” 2021, Vol. 69, Nr 2, s. 213-242, DOI: https://doi.org/10.18290/rh21692-9 [100 pkt]; </w:t>
      </w:r>
    </w:p>
    <w:p w14:paraId="1C79FB91" w14:textId="74F2BA44" w:rsidR="006A55B0" w:rsidRDefault="003216CA" w:rsidP="0038603B">
      <w:pPr>
        <w:pStyle w:val="Akapitzlist"/>
        <w:numPr>
          <w:ilvl w:val="0"/>
          <w:numId w:val="27"/>
        </w:numPr>
        <w:jc w:val="both"/>
        <w:rPr>
          <w:rFonts w:ascii="Cambria" w:hAnsi="Cambria" w:cs="Times New Roman"/>
          <w:sz w:val="24"/>
          <w:szCs w:val="24"/>
        </w:rPr>
      </w:pPr>
      <w:r w:rsidRPr="008A015E">
        <w:rPr>
          <w:rFonts w:ascii="Cambria" w:hAnsi="Cambria" w:cs="Times New Roman"/>
          <w:sz w:val="24"/>
          <w:szCs w:val="24"/>
        </w:rPr>
        <w:t xml:space="preserve">w rezultatach naukowych </w:t>
      </w:r>
      <w:r w:rsidR="008A015E" w:rsidRPr="008A015E">
        <w:rPr>
          <w:rFonts w:ascii="Cambria" w:hAnsi="Cambria" w:cs="Times New Roman"/>
          <w:sz w:val="24"/>
          <w:szCs w:val="24"/>
        </w:rPr>
        <w:t>(recenzowanej monografii naukowej, rozdział</w:t>
      </w:r>
      <w:r w:rsidR="00A760E2">
        <w:rPr>
          <w:rFonts w:ascii="Cambria" w:hAnsi="Cambria" w:cs="Times New Roman"/>
          <w:sz w:val="24"/>
          <w:szCs w:val="24"/>
        </w:rPr>
        <w:t>ach</w:t>
      </w:r>
      <w:r w:rsidR="008A015E" w:rsidRPr="008A015E">
        <w:rPr>
          <w:rFonts w:ascii="Cambria" w:hAnsi="Cambria" w:cs="Times New Roman"/>
          <w:sz w:val="24"/>
          <w:szCs w:val="24"/>
        </w:rPr>
        <w:t xml:space="preserve"> w </w:t>
      </w:r>
      <w:r w:rsidR="00A760E2">
        <w:rPr>
          <w:rFonts w:ascii="Cambria" w:hAnsi="Cambria" w:cs="Times New Roman"/>
          <w:sz w:val="24"/>
          <w:szCs w:val="24"/>
        </w:rPr>
        <w:t xml:space="preserve">recenzowanych </w:t>
      </w:r>
      <w:r w:rsidR="008A015E" w:rsidRPr="008A015E">
        <w:rPr>
          <w:rFonts w:ascii="Cambria" w:hAnsi="Cambria" w:cs="Times New Roman"/>
          <w:sz w:val="24"/>
          <w:szCs w:val="24"/>
        </w:rPr>
        <w:t>monografiach naukowych, artykuł</w:t>
      </w:r>
      <w:r w:rsidR="00A760E2">
        <w:rPr>
          <w:rFonts w:ascii="Cambria" w:hAnsi="Cambria" w:cs="Times New Roman"/>
          <w:sz w:val="24"/>
          <w:szCs w:val="24"/>
        </w:rPr>
        <w:t>ach</w:t>
      </w:r>
      <w:r w:rsidR="008A015E" w:rsidRPr="008A015E">
        <w:rPr>
          <w:rFonts w:ascii="Cambria" w:hAnsi="Cambria" w:cs="Times New Roman"/>
          <w:sz w:val="24"/>
          <w:szCs w:val="24"/>
        </w:rPr>
        <w:t xml:space="preserve"> w czas</w:t>
      </w:r>
      <w:r w:rsidR="008A015E">
        <w:rPr>
          <w:rFonts w:ascii="Cambria" w:hAnsi="Cambria" w:cs="Times New Roman"/>
          <w:sz w:val="24"/>
          <w:szCs w:val="24"/>
        </w:rPr>
        <w:t xml:space="preserve">opismach naukowych) </w:t>
      </w:r>
      <w:r w:rsidRPr="008A015E">
        <w:rPr>
          <w:rFonts w:ascii="Cambria" w:hAnsi="Cambria" w:cs="Times New Roman"/>
          <w:sz w:val="24"/>
          <w:szCs w:val="24"/>
        </w:rPr>
        <w:t xml:space="preserve">uzyskanych w ramach </w:t>
      </w:r>
      <w:r w:rsidR="008A015E" w:rsidRPr="008A015E">
        <w:rPr>
          <w:rFonts w:ascii="Cambria" w:hAnsi="Cambria" w:cs="Times New Roman"/>
          <w:sz w:val="24"/>
          <w:szCs w:val="24"/>
        </w:rPr>
        <w:t xml:space="preserve">zrealizowanego </w:t>
      </w:r>
      <w:r w:rsidRPr="008A015E">
        <w:rPr>
          <w:rFonts w:ascii="Cambria" w:hAnsi="Cambria" w:cs="Times New Roman"/>
          <w:b/>
          <w:bCs/>
          <w:sz w:val="24"/>
          <w:szCs w:val="24"/>
        </w:rPr>
        <w:t>międzynarodowego stażu badawczego</w:t>
      </w:r>
      <w:r w:rsidRPr="008A015E">
        <w:rPr>
          <w:rFonts w:ascii="Cambria" w:hAnsi="Cambria" w:cs="Times New Roman"/>
          <w:sz w:val="24"/>
          <w:szCs w:val="24"/>
        </w:rPr>
        <w:t xml:space="preserve"> na Wydziale Prawa Università degli Studi di Bari Aldo Moro we współpracy z Agenzia Nazionale di Valutazione del Sistema Universitario e della Ricerca (ANVUR) (01.11.2019 – 30.11.2019); status: </w:t>
      </w:r>
      <w:r w:rsidRPr="008A015E">
        <w:rPr>
          <w:rFonts w:ascii="Cambria" w:hAnsi="Cambria" w:cs="Times New Roman"/>
          <w:i/>
          <w:iCs/>
          <w:sz w:val="24"/>
          <w:szCs w:val="24"/>
        </w:rPr>
        <w:t xml:space="preserve">Ricercatrice </w:t>
      </w:r>
      <w:r w:rsidRPr="008A015E">
        <w:rPr>
          <w:rFonts w:ascii="Cambria" w:hAnsi="Cambria" w:cs="Times New Roman"/>
          <w:sz w:val="24"/>
          <w:szCs w:val="24"/>
        </w:rPr>
        <w:t xml:space="preserve">– obszar badawczy: </w:t>
      </w:r>
      <w:r w:rsidRPr="008A015E">
        <w:rPr>
          <w:rFonts w:ascii="Cambria" w:hAnsi="Cambria" w:cs="Times New Roman"/>
          <w:i/>
          <w:iCs/>
          <w:sz w:val="24"/>
          <w:szCs w:val="24"/>
        </w:rPr>
        <w:t xml:space="preserve">Principi di organizzazione e funzionamento delle università europee e di altre unità di apprendimento. </w:t>
      </w:r>
      <w:r w:rsidRPr="00E64888">
        <w:rPr>
          <w:rFonts w:ascii="Cambria" w:hAnsi="Cambria" w:cs="Times New Roman"/>
          <w:i/>
          <w:iCs/>
          <w:sz w:val="24"/>
          <w:szCs w:val="24"/>
        </w:rPr>
        <w:t>Un approccio giuridico comparato</w:t>
      </w:r>
      <w:r w:rsidR="006A55B0">
        <w:rPr>
          <w:rFonts w:ascii="Cambria" w:hAnsi="Cambria" w:cs="Times New Roman"/>
          <w:i/>
          <w:iCs/>
          <w:sz w:val="24"/>
          <w:szCs w:val="24"/>
        </w:rPr>
        <w:t xml:space="preserve"> </w:t>
      </w:r>
      <w:r w:rsidR="006A55B0">
        <w:rPr>
          <w:rFonts w:ascii="Cambria" w:hAnsi="Cambria" w:cs="Times New Roman"/>
          <w:sz w:val="24"/>
          <w:szCs w:val="24"/>
        </w:rPr>
        <w:t xml:space="preserve">oraz </w:t>
      </w:r>
      <w:r w:rsidR="006A55B0" w:rsidRPr="00A47DDE">
        <w:rPr>
          <w:rFonts w:ascii="Cambria" w:hAnsi="Cambria" w:cs="Times New Roman"/>
          <w:sz w:val="24"/>
          <w:szCs w:val="24"/>
        </w:rPr>
        <w:t>w ramach</w:t>
      </w:r>
      <w:r w:rsidR="006A55B0">
        <w:rPr>
          <w:rFonts w:ascii="Cambria" w:hAnsi="Cambria" w:cs="Times New Roman"/>
          <w:b/>
          <w:bCs/>
          <w:sz w:val="24"/>
          <w:szCs w:val="24"/>
        </w:rPr>
        <w:t xml:space="preserve"> </w:t>
      </w:r>
      <w:r w:rsidR="006A55B0" w:rsidRPr="00A47DDE">
        <w:rPr>
          <w:rFonts w:ascii="Cambria" w:hAnsi="Cambria" w:cs="Times New Roman"/>
          <w:b/>
          <w:bCs/>
          <w:sz w:val="24"/>
          <w:szCs w:val="24"/>
        </w:rPr>
        <w:t>konkursu grantowego „Minigranty UMCS”</w:t>
      </w:r>
      <w:r w:rsidR="006A55B0" w:rsidRPr="00A47DDE">
        <w:rPr>
          <w:rFonts w:ascii="Cambria" w:hAnsi="Cambria" w:cs="Times New Roman"/>
          <w:sz w:val="24"/>
          <w:szCs w:val="24"/>
        </w:rPr>
        <w:t xml:space="preserve"> (tytuł projektu nr 2/8/2022: </w:t>
      </w:r>
      <w:r w:rsidR="006A55B0" w:rsidRPr="00A47DDE">
        <w:rPr>
          <w:rFonts w:ascii="Cambria" w:hAnsi="Cambria" w:cs="Times New Roman"/>
          <w:i/>
          <w:iCs/>
          <w:sz w:val="24"/>
          <w:szCs w:val="24"/>
        </w:rPr>
        <w:t>Transfer wiedzy do gospodarki w paradygmacie uczelni progresywnej (2.0). Wyzwania i dylematy</w:t>
      </w:r>
      <w:r w:rsidR="006A55B0" w:rsidRPr="00A47DDE">
        <w:rPr>
          <w:rFonts w:ascii="Cambria" w:hAnsi="Cambria" w:cs="Times New Roman"/>
          <w:sz w:val="24"/>
          <w:szCs w:val="24"/>
        </w:rPr>
        <w:t>) – w toku realizacji w latach 2022 -2023; pełniona funkcja: Kierownik projektu</w:t>
      </w:r>
      <w:r w:rsidR="006A55B0">
        <w:rPr>
          <w:rFonts w:ascii="Cambria" w:hAnsi="Cambria" w:cs="Times New Roman"/>
          <w:sz w:val="24"/>
          <w:szCs w:val="24"/>
        </w:rPr>
        <w:t>;</w:t>
      </w:r>
    </w:p>
    <w:p w14:paraId="5C65AE2F" w14:textId="0F095E17" w:rsidR="006A55B0" w:rsidRPr="006A55B0" w:rsidRDefault="006A55B0" w:rsidP="0038603B">
      <w:pPr>
        <w:pStyle w:val="Akapitzlist"/>
        <w:numPr>
          <w:ilvl w:val="0"/>
          <w:numId w:val="40"/>
        </w:numPr>
        <w:jc w:val="both"/>
        <w:rPr>
          <w:rFonts w:ascii="Cambria" w:hAnsi="Cambria" w:cs="Times New Roman"/>
          <w:sz w:val="24"/>
          <w:szCs w:val="24"/>
        </w:rPr>
      </w:pPr>
      <w:r w:rsidRPr="006A55B0">
        <w:rPr>
          <w:rFonts w:ascii="Cambria" w:hAnsi="Cambria" w:cs="Times New Roman"/>
          <w:sz w:val="24"/>
          <w:szCs w:val="24"/>
        </w:rPr>
        <w:t xml:space="preserve">W tym zakresie wypada wspomnieć przede wszystkim na </w:t>
      </w:r>
      <w:r w:rsidR="008A015E">
        <w:rPr>
          <w:rFonts w:ascii="Cambria" w:hAnsi="Cambria" w:cs="Times New Roman"/>
          <w:sz w:val="24"/>
          <w:szCs w:val="24"/>
        </w:rPr>
        <w:t xml:space="preserve">wydaną z pozytywnymi </w:t>
      </w:r>
      <w:r w:rsidRPr="006A55B0">
        <w:rPr>
          <w:rFonts w:ascii="Cambria" w:hAnsi="Cambria" w:cs="Times New Roman"/>
          <w:sz w:val="24"/>
          <w:szCs w:val="24"/>
        </w:rPr>
        <w:t>recenz</w:t>
      </w:r>
      <w:r w:rsidR="008A015E">
        <w:rPr>
          <w:rFonts w:ascii="Cambria" w:hAnsi="Cambria" w:cs="Times New Roman"/>
          <w:sz w:val="24"/>
          <w:szCs w:val="24"/>
        </w:rPr>
        <w:t>jami</w:t>
      </w:r>
      <w:r w:rsidRPr="006A55B0">
        <w:rPr>
          <w:rFonts w:ascii="Cambria" w:hAnsi="Cambria" w:cs="Times New Roman"/>
          <w:sz w:val="24"/>
          <w:szCs w:val="24"/>
        </w:rPr>
        <w:t xml:space="preserve"> monografię naukową</w:t>
      </w:r>
      <w:r w:rsidRPr="006A55B0">
        <w:t xml:space="preserve"> </w:t>
      </w:r>
      <w:r w:rsidRPr="006A55B0">
        <w:rPr>
          <w:rFonts w:ascii="Cambria" w:hAnsi="Cambria" w:cs="Times New Roman"/>
          <w:i/>
          <w:iCs/>
          <w:sz w:val="24"/>
          <w:szCs w:val="24"/>
        </w:rPr>
        <w:t>Autonomia publicznych uczelni akademickich w Polsce</w:t>
      </w:r>
      <w:r w:rsidRPr="006A55B0">
        <w:rPr>
          <w:rFonts w:ascii="Cambria" w:hAnsi="Cambria" w:cs="Times New Roman"/>
          <w:sz w:val="24"/>
          <w:szCs w:val="24"/>
        </w:rPr>
        <w:t xml:space="preserve">, Wydawnictwo UMCS, Lublin 2022, ISBN 978-83-227-9620-7, ss. 764 </w:t>
      </w:r>
      <w:r w:rsidRPr="006A55B0">
        <w:rPr>
          <w:rFonts w:ascii="Cambria" w:hAnsi="Cambria" w:cs="Times New Roman"/>
          <w:i/>
          <w:iCs/>
          <w:sz w:val="24"/>
          <w:szCs w:val="24"/>
        </w:rPr>
        <w:t>(rozprawa habilitacyjna – zgłoszona jako osiągnięcie, o którym mowa w art. 219 ust. 1 pkt 2 lit. a ustawy z dnia 20 lipca 2018 r. Prawo o szkolnictwie wyższym i nauce (tekst jedn. Dz. U. z 2022 r., poz. 574 ze zm.);</w:t>
      </w:r>
    </w:p>
    <w:p w14:paraId="374AA859" w14:textId="6EAE97E0" w:rsidR="00A47DDE" w:rsidRPr="00303260" w:rsidRDefault="008A015E" w:rsidP="0038603B">
      <w:pPr>
        <w:pStyle w:val="Akapitzlist"/>
        <w:numPr>
          <w:ilvl w:val="0"/>
          <w:numId w:val="40"/>
        </w:numPr>
        <w:jc w:val="both"/>
        <w:rPr>
          <w:rFonts w:ascii="Cambria" w:hAnsi="Cambria" w:cs="Times New Roman"/>
          <w:sz w:val="24"/>
          <w:szCs w:val="24"/>
        </w:rPr>
      </w:pPr>
      <w:r>
        <w:rPr>
          <w:rFonts w:ascii="Cambria" w:hAnsi="Cambria" w:cs="Times New Roman"/>
          <w:sz w:val="24"/>
          <w:szCs w:val="24"/>
        </w:rPr>
        <w:t xml:space="preserve">Opublikowane rozdziały w recenzowanych monografiach naukowych: </w:t>
      </w:r>
      <w:r w:rsidRPr="00CD53A3">
        <w:rPr>
          <w:rFonts w:ascii="Times New Roman" w:eastAsia="Times New Roman" w:hAnsi="Times New Roman"/>
          <w:i/>
          <w:iCs/>
          <w:sz w:val="24"/>
          <w:szCs w:val="24"/>
          <w:lang w:eastAsia="pl-PL"/>
        </w:rPr>
        <w:t>Wspólnota akademicka uczelni postępowej. Wyzwania i zagrożenia dla jej wewnątrzinstytucjonalnej integralności</w:t>
      </w:r>
      <w:r w:rsidRPr="00CD53A3">
        <w:rPr>
          <w:rFonts w:ascii="Times New Roman" w:eastAsia="Times New Roman" w:hAnsi="Times New Roman"/>
          <w:sz w:val="24"/>
          <w:szCs w:val="24"/>
          <w:lang w:eastAsia="pl-PL"/>
        </w:rPr>
        <w:t xml:space="preserve">, [w:] </w:t>
      </w:r>
      <w:r w:rsidRPr="00CD53A3">
        <w:rPr>
          <w:rFonts w:ascii="Times New Roman" w:eastAsia="Times New Roman" w:hAnsi="Times New Roman"/>
          <w:i/>
          <w:iCs/>
          <w:sz w:val="24"/>
          <w:szCs w:val="24"/>
          <w:lang w:eastAsia="pl-PL"/>
        </w:rPr>
        <w:t>Wybrane problemy badań bezpieczeństwa z perspektywy młodych naukowców</w:t>
      </w:r>
      <w:r w:rsidRPr="00CD53A3">
        <w:rPr>
          <w:rFonts w:ascii="Times New Roman" w:eastAsia="Times New Roman" w:hAnsi="Times New Roman"/>
          <w:sz w:val="24"/>
          <w:szCs w:val="24"/>
          <w:lang w:eastAsia="pl-PL"/>
        </w:rPr>
        <w:t>, tom 1, red. R. Szynowski, Dąbrowa Górnicza 2022, Wydawnictwo Naukowe Akademii WSB, ISBN 978-83-66794-77-1, s. 207-220</w:t>
      </w:r>
      <w:r>
        <w:rPr>
          <w:rFonts w:ascii="Times New Roman" w:eastAsia="Times New Roman" w:hAnsi="Times New Roman"/>
          <w:sz w:val="24"/>
          <w:szCs w:val="24"/>
          <w:lang w:eastAsia="pl-PL"/>
        </w:rPr>
        <w:t xml:space="preserve">; </w:t>
      </w:r>
      <w:r w:rsidRPr="00CD53A3">
        <w:rPr>
          <w:rFonts w:ascii="Times New Roman" w:eastAsia="Times New Roman" w:hAnsi="Times New Roman"/>
          <w:i/>
          <w:iCs/>
          <w:sz w:val="24"/>
          <w:szCs w:val="24"/>
          <w:lang w:eastAsia="pl-PL"/>
        </w:rPr>
        <w:t>Konstrukt instytucjonalny uczelni publicznej. Główne założenia reformy 2.0</w:t>
      </w:r>
      <w:r w:rsidRPr="00CD53A3">
        <w:rPr>
          <w:rFonts w:ascii="Times New Roman" w:eastAsia="Times New Roman" w:hAnsi="Times New Roman"/>
          <w:sz w:val="24"/>
          <w:szCs w:val="24"/>
          <w:lang w:eastAsia="pl-PL"/>
        </w:rPr>
        <w:t xml:space="preserve">, [w:] </w:t>
      </w:r>
      <w:r w:rsidRPr="00CD53A3">
        <w:rPr>
          <w:rFonts w:ascii="Times New Roman" w:eastAsia="Times New Roman" w:hAnsi="Times New Roman"/>
          <w:i/>
          <w:iCs/>
          <w:sz w:val="24"/>
          <w:szCs w:val="24"/>
          <w:lang w:eastAsia="pl-PL"/>
        </w:rPr>
        <w:t xml:space="preserve">Ekonomia i zarządzanie wobec </w:t>
      </w:r>
      <w:r w:rsidRPr="00CD53A3">
        <w:rPr>
          <w:rFonts w:ascii="Times New Roman" w:eastAsia="Times New Roman" w:hAnsi="Times New Roman"/>
          <w:i/>
          <w:iCs/>
          <w:sz w:val="24"/>
          <w:szCs w:val="24"/>
          <w:lang w:eastAsia="pl-PL"/>
        </w:rPr>
        <w:lastRenderedPageBreak/>
        <w:t>wyzwań współczesnego świata</w:t>
      </w:r>
      <w:r w:rsidRPr="00CD53A3">
        <w:rPr>
          <w:rFonts w:ascii="Times New Roman" w:eastAsia="Times New Roman" w:hAnsi="Times New Roman"/>
          <w:sz w:val="24"/>
          <w:szCs w:val="24"/>
          <w:lang w:eastAsia="pl-PL"/>
        </w:rPr>
        <w:t xml:space="preserve">, red. M. Tomczyk, K. Kwiecień, Łódź – Kielce 2021, </w:t>
      </w:r>
      <w:r w:rsidRPr="00131BC6">
        <w:rPr>
          <w:rFonts w:ascii="Times New Roman" w:eastAsia="Times New Roman" w:hAnsi="Times New Roman"/>
          <w:sz w:val="24"/>
          <w:szCs w:val="24"/>
          <w:lang w:eastAsia="pl-PL"/>
        </w:rPr>
        <w:t>ArchaeGraph</w:t>
      </w:r>
      <w:r>
        <w:rPr>
          <w:rFonts w:ascii="Times New Roman" w:eastAsia="Times New Roman" w:hAnsi="Times New Roman"/>
          <w:sz w:val="24"/>
          <w:szCs w:val="24"/>
          <w:lang w:eastAsia="pl-PL"/>
        </w:rPr>
        <w:t xml:space="preserve">, </w:t>
      </w:r>
      <w:r w:rsidRPr="00CD53A3">
        <w:rPr>
          <w:rFonts w:ascii="Times New Roman" w:eastAsia="Times New Roman" w:hAnsi="Times New Roman"/>
          <w:sz w:val="24"/>
          <w:szCs w:val="24"/>
          <w:lang w:eastAsia="pl-PL"/>
        </w:rPr>
        <w:t>ISBN: 978-83-66709-66-9, s. 257-270</w:t>
      </w:r>
      <w:r w:rsidR="00303260">
        <w:rPr>
          <w:rFonts w:ascii="Times New Roman" w:eastAsia="Times New Roman" w:hAnsi="Times New Roman"/>
          <w:sz w:val="24"/>
          <w:szCs w:val="24"/>
          <w:lang w:eastAsia="pl-PL"/>
        </w:rPr>
        <w:t>;</w:t>
      </w:r>
    </w:p>
    <w:p w14:paraId="3B0566F5" w14:textId="30A2180B" w:rsidR="00303260" w:rsidRPr="00303260" w:rsidRDefault="00303260" w:rsidP="0038603B">
      <w:pPr>
        <w:pStyle w:val="Akapitzlist"/>
        <w:numPr>
          <w:ilvl w:val="0"/>
          <w:numId w:val="40"/>
        </w:numPr>
        <w:jc w:val="both"/>
        <w:rPr>
          <w:rFonts w:ascii="Cambria" w:hAnsi="Cambria" w:cs="Times New Roman"/>
          <w:sz w:val="24"/>
          <w:szCs w:val="24"/>
        </w:rPr>
      </w:pPr>
      <w:r>
        <w:rPr>
          <w:rFonts w:ascii="Times New Roman" w:eastAsia="Times New Roman" w:hAnsi="Times New Roman"/>
          <w:sz w:val="24"/>
          <w:szCs w:val="24"/>
          <w:lang w:eastAsia="pl-PL"/>
        </w:rPr>
        <w:t xml:space="preserve">Opublikowane artykuły w czasopismach naukowych: </w:t>
      </w:r>
      <w:r w:rsidRPr="001207A0">
        <w:rPr>
          <w:rFonts w:ascii="Times New Roman" w:eastAsia="Times New Roman" w:hAnsi="Times New Roman"/>
          <w:i/>
          <w:iCs/>
          <w:sz w:val="24"/>
          <w:szCs w:val="24"/>
          <w:lang w:eastAsia="pl-PL"/>
        </w:rPr>
        <w:t xml:space="preserve">Relation de travail académique. Discours sur les ralations entre les branches du droit, </w:t>
      </w:r>
      <w:r w:rsidRPr="001207A0">
        <w:rPr>
          <w:rFonts w:ascii="Times New Roman" w:eastAsia="Times New Roman" w:hAnsi="Times New Roman"/>
          <w:sz w:val="24"/>
          <w:szCs w:val="24"/>
          <w:lang w:eastAsia="pl-PL"/>
        </w:rPr>
        <w:t xml:space="preserve">„Biuletyn Stowarzyszenia Absolwentów i Przyjaciół Wydziału Prawa Katolickiego Uniwersytetu Lubelskiego” 2022, vol. XVII, nr 19, s. 291-313, </w:t>
      </w:r>
      <w:r w:rsidRPr="00A760E2">
        <w:rPr>
          <w:rFonts w:ascii="Times New Roman" w:eastAsia="Times New Roman" w:hAnsi="Times New Roman"/>
          <w:sz w:val="24"/>
          <w:szCs w:val="24"/>
          <w:lang w:eastAsia="pl-PL"/>
        </w:rPr>
        <w:t>https://doi.org/10.32084/bsawp.4411</w:t>
      </w:r>
      <w:r>
        <w:rPr>
          <w:rFonts w:ascii="Times New Roman" w:eastAsia="Times New Roman" w:hAnsi="Times New Roman"/>
          <w:sz w:val="24"/>
          <w:szCs w:val="24"/>
          <w:lang w:eastAsia="pl-PL"/>
        </w:rPr>
        <w:t>;</w:t>
      </w:r>
    </w:p>
    <w:p w14:paraId="619C0FA4" w14:textId="0E270053" w:rsidR="001F57A9" w:rsidRPr="002A158B" w:rsidRDefault="00303260" w:rsidP="00A760E2">
      <w:pPr>
        <w:pStyle w:val="Akapitzlist"/>
        <w:numPr>
          <w:ilvl w:val="0"/>
          <w:numId w:val="40"/>
        </w:numPr>
        <w:jc w:val="both"/>
        <w:rPr>
          <w:rFonts w:ascii="Cambria" w:hAnsi="Cambria" w:cs="Times New Roman"/>
          <w:sz w:val="24"/>
          <w:szCs w:val="24"/>
        </w:rPr>
      </w:pPr>
      <w:r>
        <w:rPr>
          <w:rFonts w:ascii="Times New Roman" w:eastAsia="Times New Roman" w:hAnsi="Times New Roman"/>
          <w:sz w:val="24"/>
          <w:szCs w:val="24"/>
          <w:lang w:eastAsia="pl-PL"/>
        </w:rPr>
        <w:t>Wśród planowanych rezultatów projektów znajdujących się w realizacji 2022 – 2023 założono: autorską recenzowaną monografię naukową oraz artykuł w czasopiśmie naukowym o zasięgu międzynarodowym (o wysokim poziomie indeksacji);</w:t>
      </w:r>
    </w:p>
    <w:p w14:paraId="09442F78" w14:textId="77777777" w:rsidR="002A158B" w:rsidRPr="00A760E2" w:rsidRDefault="002A158B" w:rsidP="002A158B">
      <w:pPr>
        <w:pStyle w:val="Akapitzlist"/>
        <w:ind w:left="3195"/>
        <w:jc w:val="both"/>
        <w:rPr>
          <w:rFonts w:ascii="Cambria" w:hAnsi="Cambria" w:cs="Times New Roman"/>
          <w:sz w:val="24"/>
          <w:szCs w:val="24"/>
        </w:rPr>
      </w:pPr>
    </w:p>
    <w:p w14:paraId="07E0778D" w14:textId="2AE14BC5" w:rsidR="00521C0D" w:rsidRDefault="007F42BD" w:rsidP="0038603B">
      <w:pPr>
        <w:pStyle w:val="Akapitzlist"/>
        <w:numPr>
          <w:ilvl w:val="0"/>
          <w:numId w:val="38"/>
        </w:numPr>
        <w:spacing w:after="0" w:line="240" w:lineRule="auto"/>
        <w:jc w:val="both"/>
        <w:rPr>
          <w:rFonts w:ascii="Cambria" w:hAnsi="Cambria" w:cs="Times New Roman"/>
          <w:sz w:val="24"/>
          <w:szCs w:val="24"/>
        </w:rPr>
      </w:pPr>
      <w:r w:rsidRPr="007F42BD">
        <w:rPr>
          <w:rFonts w:ascii="Cambria" w:hAnsi="Cambria" w:cs="Times New Roman"/>
          <w:b/>
          <w:bCs/>
          <w:sz w:val="24"/>
          <w:szCs w:val="24"/>
        </w:rPr>
        <w:t xml:space="preserve">Organizacja i funkcjonowanie prawniczych samorządów zawodowych oraz wykonywanie profesji prawniczych </w:t>
      </w:r>
      <w:r w:rsidRPr="007F42BD">
        <w:rPr>
          <w:rFonts w:ascii="Cambria" w:hAnsi="Cambria" w:cs="Times New Roman"/>
          <w:sz w:val="24"/>
          <w:szCs w:val="24"/>
        </w:rPr>
        <w:t>(z uwzględnieniem perspektywy prawnoporównawczej);</w:t>
      </w:r>
      <w:r w:rsidR="00521C0D">
        <w:rPr>
          <w:rFonts w:ascii="Cambria" w:hAnsi="Cambria" w:cs="Times New Roman"/>
          <w:sz w:val="24"/>
          <w:szCs w:val="24"/>
        </w:rPr>
        <w:t xml:space="preserve"> </w:t>
      </w:r>
      <w:r w:rsidR="00CB5D44">
        <w:rPr>
          <w:rFonts w:ascii="Cambria" w:hAnsi="Cambria" w:cs="Times New Roman"/>
          <w:sz w:val="24"/>
          <w:szCs w:val="24"/>
        </w:rPr>
        <w:t xml:space="preserve">badania we wspomnianym </w:t>
      </w:r>
      <w:r w:rsidR="00521C0D">
        <w:rPr>
          <w:rFonts w:ascii="Cambria" w:hAnsi="Cambria" w:cs="Times New Roman"/>
          <w:sz w:val="24"/>
          <w:szCs w:val="24"/>
        </w:rPr>
        <w:t>obszar</w:t>
      </w:r>
      <w:r w:rsidR="00CB5D44">
        <w:rPr>
          <w:rFonts w:ascii="Cambria" w:hAnsi="Cambria" w:cs="Times New Roman"/>
          <w:sz w:val="24"/>
          <w:szCs w:val="24"/>
        </w:rPr>
        <w:t>ze znajdują</w:t>
      </w:r>
      <w:r w:rsidR="008A015E">
        <w:rPr>
          <w:rFonts w:ascii="Cambria" w:hAnsi="Cambria" w:cs="Times New Roman"/>
          <w:sz w:val="24"/>
          <w:szCs w:val="24"/>
        </w:rPr>
        <w:t xml:space="preserve"> odzwier</w:t>
      </w:r>
      <w:r w:rsidR="00CB5D44">
        <w:rPr>
          <w:rFonts w:ascii="Cambria" w:hAnsi="Cambria" w:cs="Times New Roman"/>
          <w:sz w:val="24"/>
          <w:szCs w:val="24"/>
        </w:rPr>
        <w:t>ciedlenie zwłaszcza</w:t>
      </w:r>
      <w:r w:rsidR="00521C0D">
        <w:rPr>
          <w:rFonts w:ascii="Cambria" w:hAnsi="Cambria" w:cs="Times New Roman"/>
          <w:sz w:val="24"/>
          <w:szCs w:val="24"/>
        </w:rPr>
        <w:t>:</w:t>
      </w:r>
    </w:p>
    <w:p w14:paraId="56F41859" w14:textId="2FD791DE" w:rsidR="00B16C25" w:rsidRPr="00B16C25" w:rsidRDefault="00521C0D" w:rsidP="0038603B">
      <w:pPr>
        <w:pStyle w:val="Akapitzlist"/>
        <w:numPr>
          <w:ilvl w:val="0"/>
          <w:numId w:val="26"/>
        </w:numPr>
        <w:spacing w:after="0" w:line="240" w:lineRule="auto"/>
        <w:jc w:val="both"/>
        <w:rPr>
          <w:rFonts w:ascii="Cambria" w:hAnsi="Cambria" w:cs="Times New Roman"/>
          <w:b/>
          <w:bCs/>
          <w:sz w:val="24"/>
          <w:szCs w:val="24"/>
        </w:rPr>
      </w:pPr>
      <w:r>
        <w:rPr>
          <w:rFonts w:ascii="Cambria" w:hAnsi="Cambria" w:cs="Times New Roman"/>
          <w:sz w:val="24"/>
          <w:szCs w:val="24"/>
        </w:rPr>
        <w:t xml:space="preserve">w </w:t>
      </w:r>
      <w:bookmarkStart w:id="6" w:name="_Hlk112678048"/>
      <w:r w:rsidR="00CB5D44">
        <w:rPr>
          <w:rFonts w:ascii="Cambria" w:hAnsi="Cambria" w:cs="Times New Roman"/>
          <w:sz w:val="24"/>
          <w:szCs w:val="24"/>
        </w:rPr>
        <w:t xml:space="preserve">pozytywnie ocenionych </w:t>
      </w:r>
      <w:r>
        <w:rPr>
          <w:rFonts w:ascii="Cambria" w:hAnsi="Cambria" w:cs="Times New Roman"/>
          <w:sz w:val="24"/>
          <w:szCs w:val="24"/>
        </w:rPr>
        <w:t xml:space="preserve">rezultatach naukowych uzyskanych w </w:t>
      </w:r>
      <w:r w:rsidR="002A158B">
        <w:rPr>
          <w:rFonts w:ascii="Cambria" w:hAnsi="Cambria" w:cs="Times New Roman"/>
          <w:sz w:val="24"/>
          <w:szCs w:val="24"/>
        </w:rPr>
        <w:t>związku z</w:t>
      </w:r>
      <w:r>
        <w:rPr>
          <w:rFonts w:ascii="Cambria" w:hAnsi="Cambria" w:cs="Times New Roman"/>
          <w:sz w:val="24"/>
          <w:szCs w:val="24"/>
        </w:rPr>
        <w:t xml:space="preserve"> projekt</w:t>
      </w:r>
      <w:r w:rsidR="002A158B">
        <w:rPr>
          <w:rFonts w:ascii="Cambria" w:hAnsi="Cambria" w:cs="Times New Roman"/>
          <w:sz w:val="24"/>
          <w:szCs w:val="24"/>
        </w:rPr>
        <w:t>em</w:t>
      </w:r>
      <w:r>
        <w:rPr>
          <w:rFonts w:ascii="Cambria" w:hAnsi="Cambria" w:cs="Times New Roman"/>
          <w:sz w:val="24"/>
          <w:szCs w:val="24"/>
        </w:rPr>
        <w:t xml:space="preserve"> </w:t>
      </w:r>
      <w:r w:rsidR="002A158B">
        <w:rPr>
          <w:rFonts w:ascii="Cambria" w:hAnsi="Cambria" w:cs="Times New Roman"/>
          <w:sz w:val="24"/>
          <w:szCs w:val="24"/>
        </w:rPr>
        <w:t>realizowanym w ramach</w:t>
      </w:r>
      <w:r>
        <w:rPr>
          <w:rFonts w:ascii="Cambria" w:hAnsi="Cambria" w:cs="Times New Roman"/>
          <w:sz w:val="24"/>
          <w:szCs w:val="24"/>
        </w:rPr>
        <w:t xml:space="preserve"> </w:t>
      </w:r>
      <w:r w:rsidRPr="001000A4">
        <w:rPr>
          <w:rFonts w:ascii="Cambria" w:hAnsi="Cambria" w:cs="Times New Roman"/>
          <w:b/>
          <w:bCs/>
          <w:sz w:val="24"/>
          <w:szCs w:val="24"/>
        </w:rPr>
        <w:t>międzynarodowego konkursu grantowego Ministerstwa Spraw Zagranicznych i Współpracy Międzynarodowej Republiki Włoskiej</w:t>
      </w:r>
      <w:r>
        <w:rPr>
          <w:rFonts w:ascii="Cambria" w:hAnsi="Cambria" w:cs="Times New Roman"/>
          <w:sz w:val="24"/>
          <w:szCs w:val="24"/>
        </w:rPr>
        <w:t xml:space="preserve"> (tytuł </w:t>
      </w:r>
      <w:r w:rsidRPr="00116564">
        <w:rPr>
          <w:rFonts w:ascii="Cambria" w:hAnsi="Cambria" w:cs="Times New Roman"/>
          <w:sz w:val="24"/>
          <w:szCs w:val="24"/>
        </w:rPr>
        <w:t>projektu badawczego</w:t>
      </w:r>
      <w:r>
        <w:rPr>
          <w:rFonts w:ascii="Cambria" w:hAnsi="Cambria" w:cs="Times New Roman"/>
          <w:sz w:val="24"/>
          <w:szCs w:val="24"/>
        </w:rPr>
        <w:t xml:space="preserve"> realizowanego we współpracy UMCS (Lublin) – Universita Cattolica del Sacro Cuore (Mediolan):</w:t>
      </w:r>
      <w:r w:rsidRPr="00116564">
        <w:rPr>
          <w:rFonts w:ascii="Cambria" w:hAnsi="Cambria" w:cs="Times New Roman"/>
          <w:sz w:val="24"/>
          <w:szCs w:val="24"/>
        </w:rPr>
        <w:t xml:space="preserve"> </w:t>
      </w:r>
      <w:r w:rsidRPr="005430FC">
        <w:rPr>
          <w:rFonts w:ascii="Cambria" w:hAnsi="Cambria" w:cs="Times New Roman"/>
          <w:i/>
          <w:iCs/>
          <w:sz w:val="24"/>
          <w:szCs w:val="24"/>
        </w:rPr>
        <w:t>Self – governments of advocates in UE</w:t>
      </w:r>
      <w:r>
        <w:rPr>
          <w:rFonts w:ascii="Cambria" w:hAnsi="Cambria" w:cs="Times New Roman"/>
          <w:sz w:val="24"/>
          <w:szCs w:val="24"/>
        </w:rPr>
        <w:t>) – zrealizowany w 2018 r. (ocena pozytywna);</w:t>
      </w:r>
      <w:bookmarkEnd w:id="6"/>
      <w:r>
        <w:rPr>
          <w:rFonts w:ascii="Cambria" w:hAnsi="Cambria" w:cs="Times New Roman"/>
          <w:sz w:val="24"/>
          <w:szCs w:val="24"/>
        </w:rPr>
        <w:t xml:space="preserve"> pełniona funkcja: Kierownik projektu;</w:t>
      </w:r>
      <w:r w:rsidR="00B16C25" w:rsidRPr="00B16C25">
        <w:rPr>
          <w:rFonts w:ascii="Cambria" w:hAnsi="Cambria" w:cs="Times New Roman"/>
          <w:sz w:val="24"/>
          <w:szCs w:val="24"/>
        </w:rPr>
        <w:t xml:space="preserve"> </w:t>
      </w:r>
    </w:p>
    <w:p w14:paraId="1493EC70" w14:textId="2364393A" w:rsidR="00B16C25" w:rsidRPr="0036375A" w:rsidRDefault="00B16C25" w:rsidP="0038603B">
      <w:pPr>
        <w:pStyle w:val="Akapitzlist"/>
        <w:numPr>
          <w:ilvl w:val="0"/>
          <w:numId w:val="26"/>
        </w:numPr>
        <w:spacing w:after="0" w:line="240" w:lineRule="auto"/>
        <w:jc w:val="both"/>
        <w:rPr>
          <w:rFonts w:ascii="Cambria" w:hAnsi="Cambria" w:cs="Times New Roman"/>
          <w:b/>
          <w:bCs/>
          <w:sz w:val="24"/>
          <w:szCs w:val="24"/>
        </w:rPr>
      </w:pPr>
      <w:r w:rsidRPr="00FC0F82">
        <w:rPr>
          <w:rFonts w:ascii="Cambria" w:hAnsi="Cambria" w:cs="Times New Roman"/>
          <w:sz w:val="24"/>
          <w:szCs w:val="24"/>
        </w:rPr>
        <w:t xml:space="preserve">w </w:t>
      </w:r>
      <w:r>
        <w:rPr>
          <w:rFonts w:ascii="Cambria" w:hAnsi="Cambria" w:cs="Times New Roman"/>
          <w:sz w:val="24"/>
          <w:szCs w:val="24"/>
        </w:rPr>
        <w:t xml:space="preserve">pozytywnie ocenionych </w:t>
      </w:r>
      <w:r w:rsidRPr="00FC0F82">
        <w:rPr>
          <w:rFonts w:ascii="Cambria" w:hAnsi="Cambria" w:cs="Times New Roman"/>
          <w:sz w:val="24"/>
          <w:szCs w:val="24"/>
        </w:rPr>
        <w:t xml:space="preserve">rezultatach naukowych osiągniętych podczas: </w:t>
      </w:r>
      <w:r w:rsidRPr="004E368A">
        <w:rPr>
          <w:rFonts w:ascii="Cambria" w:hAnsi="Cambria" w:cs="Times New Roman"/>
          <w:b/>
          <w:bCs/>
          <w:sz w:val="24"/>
          <w:szCs w:val="24"/>
        </w:rPr>
        <w:t>stażu badawczego na Wydziale Prawa Università Cattolica del Sacro Cuore w Mediolanie</w:t>
      </w:r>
      <w:r w:rsidRPr="00FC0F82">
        <w:rPr>
          <w:rFonts w:ascii="Cambria" w:hAnsi="Cambria" w:cs="Times New Roman"/>
          <w:sz w:val="24"/>
          <w:szCs w:val="24"/>
        </w:rPr>
        <w:t xml:space="preserve"> (01.01.2018 – 30.06.2018); status: </w:t>
      </w:r>
      <w:r w:rsidRPr="00FC0F82">
        <w:rPr>
          <w:rFonts w:ascii="Cambria" w:hAnsi="Cambria" w:cs="Times New Roman"/>
          <w:i/>
          <w:iCs/>
          <w:sz w:val="24"/>
          <w:szCs w:val="24"/>
        </w:rPr>
        <w:t>Ricercatrice</w:t>
      </w:r>
      <w:r w:rsidRPr="00FC0F82">
        <w:rPr>
          <w:rFonts w:ascii="Cambria" w:hAnsi="Cambria" w:cs="Times New Roman"/>
          <w:sz w:val="24"/>
          <w:szCs w:val="24"/>
        </w:rPr>
        <w:t xml:space="preserve"> – obszar badawczy: </w:t>
      </w:r>
      <w:r w:rsidRPr="00FC0F82">
        <w:rPr>
          <w:rFonts w:ascii="Cambria" w:hAnsi="Cambria" w:cs="Times New Roman"/>
          <w:i/>
          <w:iCs/>
          <w:sz w:val="24"/>
          <w:szCs w:val="24"/>
        </w:rPr>
        <w:t xml:space="preserve">Self – governments of advocates in EU </w:t>
      </w:r>
      <w:r w:rsidRPr="00FC0F82">
        <w:rPr>
          <w:rFonts w:ascii="Cambria" w:hAnsi="Cambria" w:cs="Times New Roman"/>
          <w:sz w:val="24"/>
          <w:szCs w:val="24"/>
        </w:rPr>
        <w:t>oraz</w:t>
      </w:r>
      <w:r>
        <w:rPr>
          <w:rFonts w:ascii="Cambria" w:hAnsi="Cambria" w:cs="Times New Roman"/>
          <w:sz w:val="24"/>
          <w:szCs w:val="24"/>
        </w:rPr>
        <w:t xml:space="preserve"> </w:t>
      </w:r>
      <w:r w:rsidRPr="004E368A">
        <w:rPr>
          <w:rFonts w:ascii="Cambria" w:hAnsi="Cambria" w:cs="Times New Roman"/>
          <w:b/>
          <w:bCs/>
          <w:sz w:val="24"/>
          <w:szCs w:val="24"/>
        </w:rPr>
        <w:t>dwóch etapów stażu badawczego na Wydziale Prawa Alma Mater Studiorum w Bolonii</w:t>
      </w:r>
      <w:r w:rsidRPr="00FC0F82">
        <w:rPr>
          <w:rFonts w:ascii="Cambria" w:hAnsi="Cambria" w:cs="Times New Roman"/>
          <w:sz w:val="24"/>
          <w:szCs w:val="24"/>
        </w:rPr>
        <w:t xml:space="preserve"> (</w:t>
      </w:r>
      <w:r>
        <w:rPr>
          <w:rFonts w:ascii="Cambria" w:hAnsi="Cambria" w:cs="Times New Roman"/>
          <w:sz w:val="24"/>
          <w:szCs w:val="24"/>
        </w:rPr>
        <w:t xml:space="preserve">01.10.2014 – 30.11.2014 oraz </w:t>
      </w:r>
      <w:r w:rsidRPr="00FC0F82">
        <w:rPr>
          <w:rFonts w:ascii="Cambria" w:hAnsi="Cambria" w:cs="Times New Roman"/>
          <w:sz w:val="24"/>
          <w:szCs w:val="24"/>
        </w:rPr>
        <w:t xml:space="preserve">01.08.2018 – 30.12.2019); status: </w:t>
      </w:r>
      <w:r w:rsidRPr="00FC0F82">
        <w:rPr>
          <w:rFonts w:ascii="Cambria" w:hAnsi="Cambria" w:cs="Times New Roman"/>
          <w:i/>
          <w:iCs/>
          <w:sz w:val="24"/>
          <w:szCs w:val="24"/>
        </w:rPr>
        <w:t xml:space="preserve">Ricercatrice </w:t>
      </w:r>
      <w:r w:rsidRPr="00FC0F82">
        <w:rPr>
          <w:rFonts w:ascii="Cambria" w:hAnsi="Cambria" w:cs="Times New Roman"/>
          <w:sz w:val="24"/>
          <w:szCs w:val="24"/>
        </w:rPr>
        <w:t xml:space="preserve"> - obszar badawczy: </w:t>
      </w:r>
      <w:r w:rsidRPr="00FC0F82">
        <w:rPr>
          <w:rFonts w:ascii="Cambria" w:hAnsi="Cambria" w:cs="Times New Roman"/>
          <w:i/>
          <w:iCs/>
          <w:sz w:val="24"/>
          <w:szCs w:val="24"/>
        </w:rPr>
        <w:t>Legal Nature of Resolutions by the Bodies of the Self – Government of Legal Advisors/Solicitors</w:t>
      </w:r>
      <w:r w:rsidRPr="00FC0F82">
        <w:rPr>
          <w:rFonts w:ascii="Cambria" w:hAnsi="Cambria" w:cs="Times New Roman"/>
          <w:sz w:val="24"/>
          <w:szCs w:val="24"/>
        </w:rPr>
        <w:t>;</w:t>
      </w:r>
    </w:p>
    <w:p w14:paraId="7DC1DB73" w14:textId="09E25145" w:rsidR="007F42BD" w:rsidRPr="00B16C25" w:rsidRDefault="007F42BD" w:rsidP="00B16C25">
      <w:pPr>
        <w:spacing w:after="0" w:line="240" w:lineRule="auto"/>
        <w:ind w:left="2137"/>
        <w:jc w:val="both"/>
        <w:rPr>
          <w:rFonts w:ascii="Cambria" w:hAnsi="Cambria" w:cs="Times New Roman"/>
          <w:sz w:val="24"/>
          <w:szCs w:val="24"/>
        </w:rPr>
      </w:pPr>
    </w:p>
    <w:p w14:paraId="15D6A87F" w14:textId="3B551BB0" w:rsidR="001F57A9" w:rsidRPr="00303260" w:rsidRDefault="001F57A9" w:rsidP="0038603B">
      <w:pPr>
        <w:pStyle w:val="Akapitzlist"/>
        <w:numPr>
          <w:ilvl w:val="0"/>
          <w:numId w:val="41"/>
        </w:numPr>
        <w:spacing w:after="0" w:line="240" w:lineRule="auto"/>
        <w:jc w:val="both"/>
        <w:rPr>
          <w:rFonts w:ascii="Cambria" w:hAnsi="Cambria" w:cs="Times New Roman"/>
          <w:sz w:val="24"/>
          <w:szCs w:val="24"/>
        </w:rPr>
      </w:pPr>
      <w:r w:rsidRPr="006A55B0">
        <w:rPr>
          <w:rFonts w:ascii="Cambria" w:hAnsi="Cambria" w:cs="Times New Roman"/>
          <w:sz w:val="24"/>
          <w:szCs w:val="24"/>
        </w:rPr>
        <w:t xml:space="preserve">W tym zakresie wypada wspomnieć przede wszystkim na </w:t>
      </w:r>
      <w:r>
        <w:rPr>
          <w:rFonts w:ascii="Cambria" w:hAnsi="Cambria" w:cs="Times New Roman"/>
          <w:sz w:val="24"/>
          <w:szCs w:val="24"/>
        </w:rPr>
        <w:t xml:space="preserve">wydaną z pozytywnymi </w:t>
      </w:r>
      <w:r w:rsidRPr="006A55B0">
        <w:rPr>
          <w:rFonts w:ascii="Cambria" w:hAnsi="Cambria" w:cs="Times New Roman"/>
          <w:sz w:val="24"/>
          <w:szCs w:val="24"/>
        </w:rPr>
        <w:t>recenz</w:t>
      </w:r>
      <w:r>
        <w:rPr>
          <w:rFonts w:ascii="Cambria" w:hAnsi="Cambria" w:cs="Times New Roman"/>
          <w:sz w:val="24"/>
          <w:szCs w:val="24"/>
        </w:rPr>
        <w:t>jami</w:t>
      </w:r>
      <w:r w:rsidRPr="006A55B0">
        <w:rPr>
          <w:rFonts w:ascii="Cambria" w:hAnsi="Cambria" w:cs="Times New Roman"/>
          <w:sz w:val="24"/>
          <w:szCs w:val="24"/>
        </w:rPr>
        <w:t xml:space="preserve"> monografię naukową</w:t>
      </w:r>
      <w:r w:rsidR="00303260">
        <w:rPr>
          <w:rFonts w:ascii="Cambria" w:hAnsi="Cambria" w:cs="Times New Roman"/>
          <w:sz w:val="24"/>
          <w:szCs w:val="24"/>
        </w:rPr>
        <w:t xml:space="preserve"> </w:t>
      </w:r>
      <w:r w:rsidR="00303260" w:rsidRPr="005D71E9">
        <w:rPr>
          <w:rFonts w:ascii="Times New Roman" w:eastAsia="Times New Roman" w:hAnsi="Times New Roman"/>
          <w:i/>
          <w:iCs/>
          <w:color w:val="151515"/>
          <w:sz w:val="24"/>
          <w:szCs w:val="24"/>
          <w:lang w:eastAsia="pl-PL"/>
        </w:rPr>
        <w:t>Charakter prawny uchwał organów samorządu zawodowego radców prawnych w Polsce</w:t>
      </w:r>
      <w:r w:rsidR="00303260" w:rsidRPr="005D71E9">
        <w:rPr>
          <w:rFonts w:ascii="Times New Roman" w:eastAsia="Times New Roman" w:hAnsi="Times New Roman"/>
          <w:color w:val="151515"/>
          <w:sz w:val="24"/>
          <w:szCs w:val="24"/>
          <w:lang w:eastAsia="pl-PL"/>
        </w:rPr>
        <w:t>, Wydawnictwo UMCS, Lublin 2018, ISBN: 978-83-227-9111-0, ss. 467</w:t>
      </w:r>
      <w:r w:rsidR="00303260">
        <w:rPr>
          <w:rFonts w:ascii="Times New Roman" w:eastAsia="Times New Roman" w:hAnsi="Times New Roman"/>
          <w:color w:val="151515"/>
          <w:sz w:val="24"/>
          <w:szCs w:val="24"/>
          <w:lang w:eastAsia="pl-PL"/>
        </w:rPr>
        <w:t>;</w:t>
      </w:r>
    </w:p>
    <w:p w14:paraId="4B140B66" w14:textId="236679EA" w:rsidR="00303260" w:rsidRPr="00B16C25" w:rsidRDefault="00303260" w:rsidP="0038603B">
      <w:pPr>
        <w:pStyle w:val="Akapitzlist"/>
        <w:numPr>
          <w:ilvl w:val="0"/>
          <w:numId w:val="41"/>
        </w:numPr>
        <w:spacing w:after="0" w:line="240" w:lineRule="auto"/>
        <w:jc w:val="both"/>
        <w:rPr>
          <w:rFonts w:ascii="Cambria" w:hAnsi="Cambria" w:cs="Times New Roman"/>
          <w:sz w:val="24"/>
          <w:szCs w:val="24"/>
        </w:rPr>
      </w:pPr>
      <w:r>
        <w:rPr>
          <w:rFonts w:ascii="Cambria" w:hAnsi="Cambria" w:cs="Times New Roman"/>
          <w:sz w:val="24"/>
          <w:szCs w:val="24"/>
        </w:rPr>
        <w:t xml:space="preserve">Opublikowane rozdziały w recenzowanych monografiach naukowych: </w:t>
      </w:r>
      <w:r w:rsidR="00B16C25" w:rsidRPr="005D71E9">
        <w:rPr>
          <w:rFonts w:ascii="Times New Roman" w:eastAsia="Times New Roman" w:hAnsi="Times New Roman"/>
          <w:i/>
          <w:iCs/>
          <w:sz w:val="24"/>
          <w:szCs w:val="24"/>
          <w:lang w:eastAsia="pl-PL"/>
        </w:rPr>
        <w:t>Świadczenie nieodpłatnej pomocy prawnej jako zadanie zlecone z zakresu administracji publicznej. Wybrana problematyka</w:t>
      </w:r>
      <w:r w:rsidR="00B16C25" w:rsidRPr="005D71E9">
        <w:rPr>
          <w:rFonts w:ascii="Times New Roman" w:eastAsia="Times New Roman" w:hAnsi="Times New Roman"/>
          <w:sz w:val="24"/>
          <w:szCs w:val="24"/>
          <w:lang w:eastAsia="pl-PL"/>
        </w:rPr>
        <w:t xml:space="preserve">, [w:] </w:t>
      </w:r>
      <w:r w:rsidR="00B16C25" w:rsidRPr="005D71E9">
        <w:rPr>
          <w:rFonts w:ascii="Times New Roman" w:eastAsia="Times New Roman" w:hAnsi="Times New Roman"/>
          <w:i/>
          <w:iCs/>
          <w:sz w:val="24"/>
          <w:szCs w:val="24"/>
          <w:lang w:eastAsia="pl-PL"/>
        </w:rPr>
        <w:t xml:space="preserve">Prawo do dobrego samorządu w </w:t>
      </w:r>
      <w:r w:rsidR="00B16C25" w:rsidRPr="005D71E9">
        <w:rPr>
          <w:rFonts w:ascii="Times New Roman" w:eastAsia="Times New Roman" w:hAnsi="Times New Roman"/>
          <w:i/>
          <w:iCs/>
          <w:sz w:val="24"/>
          <w:szCs w:val="24"/>
          <w:lang w:eastAsia="pl-PL"/>
        </w:rPr>
        <w:lastRenderedPageBreak/>
        <w:t>kontekście realizacji zadań publicznych</w:t>
      </w:r>
      <w:r w:rsidR="00B16C25" w:rsidRPr="005D71E9">
        <w:rPr>
          <w:rFonts w:ascii="Times New Roman" w:eastAsia="Times New Roman" w:hAnsi="Times New Roman"/>
          <w:sz w:val="24"/>
          <w:szCs w:val="24"/>
          <w:lang w:eastAsia="pl-PL"/>
        </w:rPr>
        <w:t xml:space="preserve">, red. M. Stec, K. Małysa-Sulińska, Warszawa 2021, s. 233-250, </w:t>
      </w:r>
      <w:r w:rsidR="00B16C25">
        <w:rPr>
          <w:rFonts w:ascii="Times New Roman" w:eastAsia="Times New Roman" w:hAnsi="Times New Roman"/>
          <w:sz w:val="24"/>
          <w:szCs w:val="24"/>
          <w:lang w:eastAsia="pl-PL"/>
        </w:rPr>
        <w:t xml:space="preserve">Wolters Kluwer S. A., </w:t>
      </w:r>
      <w:r w:rsidR="00B16C25" w:rsidRPr="005D71E9">
        <w:rPr>
          <w:rFonts w:ascii="Times New Roman" w:eastAsia="Times New Roman" w:hAnsi="Times New Roman"/>
          <w:sz w:val="24"/>
          <w:szCs w:val="24"/>
          <w:lang w:eastAsia="pl-PL"/>
        </w:rPr>
        <w:t>ISBN: 978-83-8246-247-0</w:t>
      </w:r>
      <w:r w:rsidR="00B16C25">
        <w:rPr>
          <w:rFonts w:ascii="Times New Roman" w:eastAsia="Times New Roman" w:hAnsi="Times New Roman"/>
          <w:sz w:val="24"/>
          <w:szCs w:val="24"/>
          <w:lang w:eastAsia="pl-PL"/>
        </w:rPr>
        <w:t xml:space="preserve">; </w:t>
      </w:r>
      <w:r w:rsidR="00B16C25" w:rsidRPr="005D71E9">
        <w:rPr>
          <w:rFonts w:ascii="Times New Roman" w:eastAsia="Times New Roman" w:hAnsi="Times New Roman"/>
          <w:i/>
          <w:iCs/>
          <w:sz w:val="24"/>
          <w:szCs w:val="24"/>
          <w:lang w:eastAsia="pl-PL"/>
        </w:rPr>
        <w:t>Prawnicze samorządy zawodowe a inne podmioty administrujące sui generis. Współczesny dyskurs wokół wybranych zagadnień prawnoustrojowych</w:t>
      </w:r>
      <w:r w:rsidR="00B16C25" w:rsidRPr="005D71E9">
        <w:rPr>
          <w:rFonts w:ascii="Times New Roman" w:eastAsia="Times New Roman" w:hAnsi="Times New Roman"/>
          <w:sz w:val="24"/>
          <w:szCs w:val="24"/>
          <w:lang w:eastAsia="pl-PL"/>
        </w:rPr>
        <w:t xml:space="preserve">, [w:] </w:t>
      </w:r>
      <w:r w:rsidR="00B16C25" w:rsidRPr="005D71E9">
        <w:rPr>
          <w:rFonts w:ascii="Times New Roman" w:eastAsia="Times New Roman" w:hAnsi="Times New Roman"/>
          <w:i/>
          <w:iCs/>
          <w:sz w:val="24"/>
          <w:szCs w:val="24"/>
          <w:lang w:eastAsia="pl-PL"/>
        </w:rPr>
        <w:t>Samorząd w systemie politycznym i terytorialno – administracyjnym Polski – osiągnięcia i perspektywy rozwoju</w:t>
      </w:r>
      <w:r w:rsidR="00B16C25" w:rsidRPr="005D71E9">
        <w:rPr>
          <w:rFonts w:ascii="Times New Roman" w:eastAsia="Times New Roman" w:hAnsi="Times New Roman"/>
          <w:sz w:val="24"/>
          <w:szCs w:val="24"/>
          <w:lang w:eastAsia="pl-PL"/>
        </w:rPr>
        <w:t>, red. R. Kmieciak, K. Walkowiak, Uniwersytet im. Adama Mickiewicza w Poznaniu, Wydawnictwo Naukowe Wydziału Nauk Politycznych i Dziennikarstwa, Poznań 2022, s. 239-248, ISBN 978-83-66740-66-2</w:t>
      </w:r>
      <w:r w:rsidR="00B16C25">
        <w:rPr>
          <w:rFonts w:ascii="Times New Roman" w:eastAsia="Times New Roman" w:hAnsi="Times New Roman"/>
          <w:sz w:val="24"/>
          <w:szCs w:val="24"/>
          <w:lang w:eastAsia="pl-PL"/>
        </w:rPr>
        <w:t>;</w:t>
      </w:r>
    </w:p>
    <w:p w14:paraId="2D5FDAAE" w14:textId="17DDD4BB" w:rsidR="00B16C25" w:rsidRPr="002A158B" w:rsidRDefault="00B16C25" w:rsidP="0038603B">
      <w:pPr>
        <w:pStyle w:val="Akapitzlist"/>
        <w:numPr>
          <w:ilvl w:val="0"/>
          <w:numId w:val="41"/>
        </w:numPr>
        <w:spacing w:after="0" w:line="240" w:lineRule="auto"/>
        <w:jc w:val="both"/>
        <w:rPr>
          <w:rFonts w:ascii="Cambria" w:hAnsi="Cambria" w:cs="Times New Roman"/>
          <w:sz w:val="24"/>
          <w:szCs w:val="24"/>
        </w:rPr>
      </w:pPr>
      <w:r>
        <w:rPr>
          <w:rFonts w:ascii="Times New Roman" w:eastAsia="Times New Roman" w:hAnsi="Times New Roman"/>
          <w:sz w:val="24"/>
          <w:szCs w:val="24"/>
          <w:lang w:eastAsia="pl-PL"/>
        </w:rPr>
        <w:t xml:space="preserve">Opublikowane artykuły w czasopismach naukowych: </w:t>
      </w:r>
      <w:r w:rsidRPr="005D71E9">
        <w:rPr>
          <w:rFonts w:ascii="Times New Roman" w:eastAsia="Times New Roman" w:hAnsi="Times New Roman"/>
          <w:i/>
          <w:iCs/>
          <w:sz w:val="24"/>
          <w:szCs w:val="24"/>
          <w:lang w:eastAsia="pl-PL"/>
        </w:rPr>
        <w:t>Nieprzydatność aplikanta radcowskiego do wykonywania zawodu radcy prawnego jako przesłanka skreślenia z listy aplikantów. Glosa częściowo krytyczna do wyroku Naczelnego Sądu Administracyjnego z 16 października 2018 r., II GSK 2949/16</w:t>
      </w:r>
      <w:r w:rsidRPr="005D71E9">
        <w:rPr>
          <w:rFonts w:ascii="Times New Roman" w:eastAsia="Times New Roman" w:hAnsi="Times New Roman"/>
          <w:sz w:val="24"/>
          <w:szCs w:val="24"/>
          <w:lang w:eastAsia="pl-PL"/>
        </w:rPr>
        <w:t xml:space="preserve">, „Radca Prawny. Zeszyty Naukowe” 2021, Nr 4 (29), s. 149-162, </w:t>
      </w:r>
      <w:hyperlink r:id="rId12" w:history="1">
        <w:r w:rsidRPr="00E71F2C">
          <w:rPr>
            <w:rStyle w:val="Hipercze"/>
            <w:rFonts w:ascii="Times New Roman" w:eastAsia="Times New Roman" w:hAnsi="Times New Roman"/>
            <w:sz w:val="24"/>
            <w:szCs w:val="24"/>
            <w:lang w:eastAsia="pl-PL"/>
          </w:rPr>
          <w:t>https://doi.org/10.4467/23921943RP.21.038.15415</w:t>
        </w:r>
      </w:hyperlink>
      <w:r>
        <w:rPr>
          <w:rFonts w:ascii="Times New Roman" w:eastAsia="Times New Roman" w:hAnsi="Times New Roman"/>
          <w:sz w:val="24"/>
          <w:szCs w:val="24"/>
          <w:lang w:eastAsia="pl-PL"/>
        </w:rPr>
        <w:t xml:space="preserve">; </w:t>
      </w:r>
      <w:r w:rsidRPr="005D71E9">
        <w:rPr>
          <w:rFonts w:ascii="Times New Roman" w:eastAsia="Times New Roman" w:hAnsi="Times New Roman"/>
          <w:i/>
          <w:iCs/>
          <w:color w:val="151515"/>
          <w:sz w:val="24"/>
          <w:szCs w:val="24"/>
          <w:lang w:eastAsia="pl-PL"/>
        </w:rPr>
        <w:t>Prawne uwarunkowania wykonywania zawodu przez radcę prawnego w kancelarii radcy prawnego - wybrane zagadnienia</w:t>
      </w:r>
      <w:r w:rsidRPr="005D71E9">
        <w:rPr>
          <w:rFonts w:ascii="Times New Roman" w:eastAsia="Times New Roman" w:hAnsi="Times New Roman"/>
          <w:color w:val="151515"/>
          <w:sz w:val="24"/>
          <w:szCs w:val="24"/>
          <w:lang w:eastAsia="pl-PL"/>
        </w:rPr>
        <w:t>, „Studia i Materiały Miscellanea Oeconomicae” 2018, nr 3, tom II, red. R. Frey, s. 311-322</w:t>
      </w:r>
      <w:r>
        <w:rPr>
          <w:rFonts w:ascii="Times New Roman" w:eastAsia="Times New Roman" w:hAnsi="Times New Roman"/>
          <w:color w:val="151515"/>
          <w:sz w:val="24"/>
          <w:szCs w:val="24"/>
          <w:lang w:eastAsia="pl-PL"/>
        </w:rPr>
        <w:t>;</w:t>
      </w:r>
    </w:p>
    <w:p w14:paraId="3436BE03" w14:textId="77777777" w:rsidR="002A158B" w:rsidRDefault="002A158B" w:rsidP="002A158B">
      <w:pPr>
        <w:pStyle w:val="Akapitzlist"/>
        <w:spacing w:after="0" w:line="240" w:lineRule="auto"/>
        <w:ind w:left="3217"/>
        <w:jc w:val="both"/>
        <w:rPr>
          <w:rFonts w:ascii="Cambria" w:hAnsi="Cambria" w:cs="Times New Roman"/>
          <w:sz w:val="24"/>
          <w:szCs w:val="24"/>
        </w:rPr>
      </w:pPr>
    </w:p>
    <w:p w14:paraId="49EB12A1" w14:textId="2610DE28" w:rsidR="00A751B9" w:rsidRPr="000D0BCF" w:rsidRDefault="004E368A" w:rsidP="0038603B">
      <w:pPr>
        <w:pStyle w:val="Akapitzlist"/>
        <w:numPr>
          <w:ilvl w:val="0"/>
          <w:numId w:val="44"/>
        </w:numPr>
        <w:spacing w:after="0" w:line="240" w:lineRule="auto"/>
        <w:jc w:val="both"/>
        <w:rPr>
          <w:rFonts w:ascii="Cambria" w:hAnsi="Cambria" w:cs="Times New Roman"/>
          <w:sz w:val="24"/>
          <w:szCs w:val="24"/>
        </w:rPr>
      </w:pPr>
      <w:r>
        <w:rPr>
          <w:rFonts w:ascii="Cambria" w:hAnsi="Cambria" w:cs="Times New Roman"/>
          <w:sz w:val="24"/>
          <w:szCs w:val="24"/>
        </w:rPr>
        <w:t xml:space="preserve">w </w:t>
      </w:r>
      <w:r w:rsidR="00CB5D44">
        <w:rPr>
          <w:rFonts w:ascii="Cambria" w:hAnsi="Cambria" w:cs="Times New Roman"/>
          <w:sz w:val="24"/>
          <w:szCs w:val="24"/>
        </w:rPr>
        <w:t xml:space="preserve">pozytywnie ocenionych </w:t>
      </w:r>
      <w:r>
        <w:rPr>
          <w:rFonts w:ascii="Cambria" w:hAnsi="Cambria" w:cs="Times New Roman"/>
          <w:sz w:val="24"/>
          <w:szCs w:val="24"/>
        </w:rPr>
        <w:t>rezultatach naukowych uzyskanych w ramach</w:t>
      </w:r>
      <w:r w:rsidR="00A751B9">
        <w:rPr>
          <w:rFonts w:ascii="Cambria" w:hAnsi="Cambria" w:cs="Times New Roman"/>
          <w:sz w:val="24"/>
          <w:szCs w:val="24"/>
        </w:rPr>
        <w:t xml:space="preserve"> </w:t>
      </w:r>
      <w:bookmarkStart w:id="7" w:name="_Hlk112675835"/>
      <w:r w:rsidR="00A751B9" w:rsidRPr="001000A4">
        <w:rPr>
          <w:rFonts w:ascii="Cambria" w:hAnsi="Cambria" w:cs="Times New Roman"/>
          <w:b/>
          <w:bCs/>
          <w:sz w:val="24"/>
          <w:szCs w:val="24"/>
        </w:rPr>
        <w:t>konkursu o przyznanie środków z dotacji celowej na prowadzenie badań naukowych lub prac rozwojowych służących rozwojowi młodych naukowców</w:t>
      </w:r>
      <w:r w:rsidR="00A751B9" w:rsidRPr="00266CDB">
        <w:rPr>
          <w:rFonts w:ascii="Cambria" w:hAnsi="Cambria" w:cs="Times New Roman"/>
          <w:sz w:val="24"/>
          <w:szCs w:val="24"/>
        </w:rPr>
        <w:t xml:space="preserve"> WPiA UMCS w Lublinie</w:t>
      </w:r>
      <w:r w:rsidR="00A751B9">
        <w:rPr>
          <w:rFonts w:ascii="Cambria" w:hAnsi="Cambria" w:cs="Times New Roman"/>
          <w:sz w:val="24"/>
          <w:szCs w:val="24"/>
        </w:rPr>
        <w:t xml:space="preserve"> (</w:t>
      </w:r>
      <w:r w:rsidR="00A751B9" w:rsidRPr="00637DAF">
        <w:rPr>
          <w:rFonts w:ascii="Cambria" w:hAnsi="Cambria" w:cs="Times New Roman"/>
          <w:sz w:val="24"/>
          <w:szCs w:val="24"/>
        </w:rPr>
        <w:t>tytuł</w:t>
      </w:r>
      <w:r w:rsidR="00A751B9">
        <w:rPr>
          <w:rFonts w:ascii="Cambria" w:hAnsi="Cambria" w:cs="Times New Roman"/>
          <w:sz w:val="24"/>
          <w:szCs w:val="24"/>
        </w:rPr>
        <w:t xml:space="preserve"> projektu: </w:t>
      </w:r>
      <w:r w:rsidR="00A751B9">
        <w:rPr>
          <w:rFonts w:ascii="Cambria" w:hAnsi="Cambria" w:cs="Times New Roman"/>
          <w:i/>
          <w:iCs/>
          <w:sz w:val="24"/>
          <w:szCs w:val="24"/>
        </w:rPr>
        <w:t>Wykorzystanie nowych technologii w wykonywaniu zawodów prawniczych</w:t>
      </w:r>
      <w:r w:rsidR="00A751B9">
        <w:rPr>
          <w:rFonts w:ascii="Cambria" w:hAnsi="Cambria" w:cs="Times New Roman"/>
          <w:sz w:val="24"/>
          <w:szCs w:val="24"/>
        </w:rPr>
        <w:t xml:space="preserve">) – zrealizowany w latach 2018 – 2020 </w:t>
      </w:r>
      <w:bookmarkEnd w:id="7"/>
      <w:r w:rsidR="00A751B9">
        <w:rPr>
          <w:rFonts w:ascii="Cambria" w:hAnsi="Cambria" w:cs="Times New Roman"/>
          <w:sz w:val="24"/>
          <w:szCs w:val="24"/>
        </w:rPr>
        <w:t>(ocena pozytywna); pełniona funkcja: Kierownik Zespołu badawczego</w:t>
      </w:r>
      <w:r w:rsidR="00CB5D44">
        <w:rPr>
          <w:rFonts w:ascii="Cambria" w:hAnsi="Cambria" w:cs="Times New Roman"/>
          <w:sz w:val="24"/>
          <w:szCs w:val="24"/>
        </w:rPr>
        <w:t>;</w:t>
      </w:r>
      <w:r w:rsidR="000D0BCF">
        <w:rPr>
          <w:rFonts w:ascii="Cambria" w:hAnsi="Cambria" w:cs="Times New Roman"/>
          <w:sz w:val="24"/>
          <w:szCs w:val="24"/>
        </w:rPr>
        <w:t xml:space="preserve"> </w:t>
      </w:r>
    </w:p>
    <w:p w14:paraId="1449EF51" w14:textId="08719A2A" w:rsidR="00134DBE" w:rsidRPr="00134DBE" w:rsidRDefault="00134DBE" w:rsidP="0038603B">
      <w:pPr>
        <w:pStyle w:val="Akapitzlist"/>
        <w:numPr>
          <w:ilvl w:val="0"/>
          <w:numId w:val="42"/>
        </w:numPr>
        <w:spacing w:after="0" w:line="240" w:lineRule="auto"/>
        <w:jc w:val="both"/>
        <w:rPr>
          <w:rFonts w:ascii="Cambria" w:hAnsi="Cambria" w:cs="Times New Roman"/>
          <w:sz w:val="24"/>
          <w:szCs w:val="24"/>
        </w:rPr>
      </w:pPr>
      <w:r w:rsidRPr="006A55B0">
        <w:rPr>
          <w:rFonts w:ascii="Cambria" w:hAnsi="Cambria" w:cs="Times New Roman"/>
          <w:sz w:val="24"/>
          <w:szCs w:val="24"/>
        </w:rPr>
        <w:t xml:space="preserve">W tym zakresie wypada wspomnieć przede wszystkim </w:t>
      </w:r>
      <w:r>
        <w:rPr>
          <w:rFonts w:ascii="Cambria" w:hAnsi="Cambria" w:cs="Times New Roman"/>
          <w:sz w:val="24"/>
          <w:szCs w:val="24"/>
        </w:rPr>
        <w:t xml:space="preserve">wydaną z pozytywnymi </w:t>
      </w:r>
      <w:r w:rsidRPr="006A55B0">
        <w:rPr>
          <w:rFonts w:ascii="Cambria" w:hAnsi="Cambria" w:cs="Times New Roman"/>
          <w:sz w:val="24"/>
          <w:szCs w:val="24"/>
        </w:rPr>
        <w:t>recenz</w:t>
      </w:r>
      <w:r>
        <w:rPr>
          <w:rFonts w:ascii="Cambria" w:hAnsi="Cambria" w:cs="Times New Roman"/>
          <w:sz w:val="24"/>
          <w:szCs w:val="24"/>
        </w:rPr>
        <w:t>jami</w:t>
      </w:r>
      <w:r w:rsidRPr="006A55B0">
        <w:rPr>
          <w:rFonts w:ascii="Cambria" w:hAnsi="Cambria" w:cs="Times New Roman"/>
          <w:sz w:val="24"/>
          <w:szCs w:val="24"/>
        </w:rPr>
        <w:t xml:space="preserve"> </w:t>
      </w:r>
      <w:r>
        <w:rPr>
          <w:rFonts w:ascii="Cambria" w:hAnsi="Cambria" w:cs="Times New Roman"/>
          <w:sz w:val="24"/>
          <w:szCs w:val="24"/>
        </w:rPr>
        <w:t xml:space="preserve">współautorską </w:t>
      </w:r>
      <w:r w:rsidRPr="006A55B0">
        <w:rPr>
          <w:rFonts w:ascii="Cambria" w:hAnsi="Cambria" w:cs="Times New Roman"/>
          <w:sz w:val="24"/>
          <w:szCs w:val="24"/>
        </w:rPr>
        <w:t>monografię naukową</w:t>
      </w:r>
      <w:r>
        <w:rPr>
          <w:rFonts w:ascii="Cambria" w:hAnsi="Cambria" w:cs="Times New Roman"/>
          <w:sz w:val="24"/>
          <w:szCs w:val="24"/>
        </w:rPr>
        <w:t xml:space="preserve"> </w:t>
      </w:r>
      <w:r w:rsidRPr="00E10187">
        <w:rPr>
          <w:rFonts w:ascii="Times New Roman" w:eastAsia="Times New Roman" w:hAnsi="Times New Roman"/>
          <w:i/>
          <w:iCs/>
          <w:color w:val="151515"/>
          <w:sz w:val="24"/>
          <w:szCs w:val="24"/>
          <w:lang w:eastAsia="pl-PL"/>
        </w:rPr>
        <w:t>E-protokół w postępowaniu przed Krajową Izbą Odwoławczą. Korzyści i zagrożenia na przykładzie cywilnego postępowania sądowego</w:t>
      </w:r>
      <w:r w:rsidRPr="0056426E">
        <w:rPr>
          <w:rFonts w:ascii="Times New Roman" w:eastAsia="Times New Roman" w:hAnsi="Times New Roman"/>
          <w:color w:val="151515"/>
          <w:sz w:val="24"/>
          <w:szCs w:val="24"/>
          <w:lang w:eastAsia="pl-PL"/>
        </w:rPr>
        <w:t xml:space="preserve"> (współautorzy: M. Stręciwilk, S. Zaborska), Wydawnictwo TN KUL, Lublin 2019, ISBN: 978-83-7306-874-2</w:t>
      </w:r>
      <w:r>
        <w:rPr>
          <w:rFonts w:ascii="Times New Roman" w:eastAsia="Times New Roman" w:hAnsi="Times New Roman"/>
          <w:color w:val="151515"/>
          <w:sz w:val="24"/>
          <w:szCs w:val="24"/>
          <w:lang w:eastAsia="pl-PL"/>
        </w:rPr>
        <w:t>, ss. 206;</w:t>
      </w:r>
    </w:p>
    <w:p w14:paraId="0F1A5E2B" w14:textId="70275861" w:rsidR="00134DBE" w:rsidRPr="002A158B" w:rsidRDefault="00134DBE" w:rsidP="0038603B">
      <w:pPr>
        <w:pStyle w:val="Akapitzlist"/>
        <w:numPr>
          <w:ilvl w:val="0"/>
          <w:numId w:val="42"/>
        </w:numPr>
        <w:spacing w:after="0" w:line="240" w:lineRule="auto"/>
        <w:jc w:val="both"/>
        <w:rPr>
          <w:rFonts w:ascii="Cambria" w:hAnsi="Cambria" w:cs="Times New Roman"/>
          <w:sz w:val="24"/>
          <w:szCs w:val="24"/>
        </w:rPr>
      </w:pPr>
      <w:r>
        <w:rPr>
          <w:rFonts w:ascii="Cambria" w:hAnsi="Cambria" w:cs="Times New Roman"/>
          <w:sz w:val="24"/>
          <w:szCs w:val="24"/>
        </w:rPr>
        <w:t xml:space="preserve">Opublikowane artykuły w czasopismach naukowych: </w:t>
      </w:r>
      <w:r w:rsidRPr="00E10187">
        <w:rPr>
          <w:rFonts w:ascii="Times New Roman" w:eastAsia="Times New Roman" w:hAnsi="Times New Roman"/>
          <w:i/>
          <w:iCs/>
          <w:color w:val="151515"/>
          <w:sz w:val="24"/>
          <w:szCs w:val="24"/>
          <w:lang w:eastAsia="pl-PL"/>
        </w:rPr>
        <w:t>Ochrona prawna interesów klienta radcy prawnego w świetle praktyki przeprowadzania przesłuchań przez konsula – wybrana problematyka</w:t>
      </w:r>
      <w:r>
        <w:rPr>
          <w:rFonts w:ascii="Times New Roman" w:eastAsia="Times New Roman" w:hAnsi="Times New Roman"/>
          <w:i/>
          <w:iCs/>
          <w:color w:val="151515"/>
          <w:sz w:val="24"/>
          <w:szCs w:val="24"/>
          <w:lang w:eastAsia="pl-PL"/>
        </w:rPr>
        <w:t xml:space="preserve"> </w:t>
      </w:r>
      <w:r w:rsidRPr="00C871F3">
        <w:rPr>
          <w:rFonts w:ascii="Times New Roman" w:eastAsia="Times New Roman" w:hAnsi="Times New Roman"/>
          <w:color w:val="151515"/>
          <w:sz w:val="24"/>
          <w:szCs w:val="24"/>
          <w:lang w:eastAsia="pl-PL"/>
        </w:rPr>
        <w:t>(współautor N. Karpiuk)</w:t>
      </w:r>
      <w:r>
        <w:rPr>
          <w:rFonts w:ascii="Times New Roman" w:eastAsia="Times New Roman" w:hAnsi="Times New Roman"/>
          <w:color w:val="151515"/>
          <w:sz w:val="24"/>
          <w:szCs w:val="24"/>
          <w:lang w:eastAsia="pl-PL"/>
        </w:rPr>
        <w:t xml:space="preserve">, </w:t>
      </w:r>
      <w:r w:rsidRPr="00C871F3">
        <w:rPr>
          <w:rFonts w:ascii="Times New Roman" w:eastAsia="Times New Roman" w:hAnsi="Times New Roman"/>
          <w:color w:val="151515"/>
          <w:sz w:val="24"/>
          <w:szCs w:val="24"/>
          <w:lang w:eastAsia="pl-PL"/>
        </w:rPr>
        <w:t xml:space="preserve">,,Studia Prawnicze i Administracyjne” 2018, </w:t>
      </w:r>
      <w:r>
        <w:rPr>
          <w:rFonts w:ascii="Times New Roman" w:eastAsia="Times New Roman" w:hAnsi="Times New Roman"/>
          <w:color w:val="151515"/>
          <w:sz w:val="24"/>
          <w:szCs w:val="24"/>
          <w:lang w:eastAsia="pl-PL"/>
        </w:rPr>
        <w:t xml:space="preserve">nr 24(2), </w:t>
      </w:r>
      <w:r w:rsidRPr="00C871F3">
        <w:rPr>
          <w:rFonts w:ascii="Times New Roman" w:eastAsia="Times New Roman" w:hAnsi="Times New Roman"/>
          <w:color w:val="151515"/>
          <w:sz w:val="24"/>
          <w:szCs w:val="24"/>
          <w:lang w:eastAsia="pl-PL"/>
        </w:rPr>
        <w:t>s. 17-24</w:t>
      </w:r>
      <w:r>
        <w:rPr>
          <w:rFonts w:ascii="Times New Roman" w:eastAsia="Times New Roman" w:hAnsi="Times New Roman"/>
          <w:color w:val="151515"/>
          <w:sz w:val="24"/>
          <w:szCs w:val="24"/>
          <w:lang w:eastAsia="pl-PL"/>
        </w:rPr>
        <w:t>;</w:t>
      </w:r>
    </w:p>
    <w:p w14:paraId="307675C1" w14:textId="77777777" w:rsidR="002A158B" w:rsidRDefault="002A158B" w:rsidP="002A158B">
      <w:pPr>
        <w:pStyle w:val="Akapitzlist"/>
        <w:spacing w:after="0" w:line="240" w:lineRule="auto"/>
        <w:ind w:left="3217"/>
        <w:jc w:val="both"/>
        <w:rPr>
          <w:rFonts w:ascii="Cambria" w:hAnsi="Cambria" w:cs="Times New Roman"/>
          <w:sz w:val="24"/>
          <w:szCs w:val="24"/>
        </w:rPr>
      </w:pPr>
    </w:p>
    <w:p w14:paraId="43301862" w14:textId="508517C6" w:rsidR="0036375A" w:rsidRPr="00134DBE" w:rsidRDefault="004E368A" w:rsidP="0038603B">
      <w:pPr>
        <w:pStyle w:val="Akapitzlist"/>
        <w:numPr>
          <w:ilvl w:val="0"/>
          <w:numId w:val="26"/>
        </w:numPr>
        <w:spacing w:after="0" w:line="240" w:lineRule="auto"/>
        <w:jc w:val="both"/>
        <w:rPr>
          <w:rFonts w:ascii="Cambria" w:hAnsi="Cambria" w:cs="Times New Roman"/>
          <w:b/>
          <w:bCs/>
          <w:sz w:val="24"/>
          <w:szCs w:val="24"/>
        </w:rPr>
      </w:pPr>
      <w:bookmarkStart w:id="8" w:name="_Hlk112678368"/>
      <w:bookmarkStart w:id="9" w:name="_Hlk112678142"/>
      <w:r w:rsidRPr="00FC0F82">
        <w:rPr>
          <w:rFonts w:ascii="Cambria" w:hAnsi="Cambria" w:cs="Times New Roman"/>
          <w:sz w:val="24"/>
          <w:szCs w:val="24"/>
        </w:rPr>
        <w:t xml:space="preserve">w </w:t>
      </w:r>
      <w:r w:rsidR="00CB5D44">
        <w:rPr>
          <w:rFonts w:ascii="Cambria" w:hAnsi="Cambria" w:cs="Times New Roman"/>
          <w:sz w:val="24"/>
          <w:szCs w:val="24"/>
        </w:rPr>
        <w:t xml:space="preserve">pozytywnie ocenionych </w:t>
      </w:r>
      <w:r w:rsidRPr="00FC0F82">
        <w:rPr>
          <w:rFonts w:ascii="Cambria" w:hAnsi="Cambria" w:cs="Times New Roman"/>
          <w:sz w:val="24"/>
          <w:szCs w:val="24"/>
        </w:rPr>
        <w:t>rezultatach naukowych osiągniętych podczas</w:t>
      </w:r>
      <w:r>
        <w:rPr>
          <w:rFonts w:ascii="Cambria" w:hAnsi="Cambria" w:cs="Times New Roman"/>
          <w:sz w:val="24"/>
          <w:szCs w:val="24"/>
        </w:rPr>
        <w:t xml:space="preserve"> uczestnictwa (</w:t>
      </w:r>
      <w:r w:rsidR="001A295A">
        <w:rPr>
          <w:rFonts w:ascii="Cambria" w:hAnsi="Cambria" w:cs="Times New Roman"/>
          <w:sz w:val="24"/>
          <w:szCs w:val="24"/>
        </w:rPr>
        <w:t>wykonawstwa</w:t>
      </w:r>
      <w:r>
        <w:rPr>
          <w:rFonts w:ascii="Cambria" w:hAnsi="Cambria" w:cs="Times New Roman"/>
          <w:sz w:val="24"/>
          <w:szCs w:val="24"/>
        </w:rPr>
        <w:t>)</w:t>
      </w:r>
      <w:r w:rsidR="0036375A" w:rsidRPr="003E3667">
        <w:rPr>
          <w:rFonts w:ascii="Cambria" w:hAnsi="Cambria"/>
          <w:sz w:val="24"/>
          <w:szCs w:val="24"/>
        </w:rPr>
        <w:t xml:space="preserve"> w programie badawczym </w:t>
      </w:r>
      <w:r w:rsidR="0036375A" w:rsidRPr="003E3667">
        <w:rPr>
          <w:rFonts w:ascii="Cambria" w:hAnsi="Cambria"/>
          <w:b/>
          <w:sz w:val="24"/>
          <w:szCs w:val="24"/>
        </w:rPr>
        <w:t>„</w:t>
      </w:r>
      <w:r w:rsidR="0036375A" w:rsidRPr="003E3667">
        <w:rPr>
          <w:rFonts w:ascii="Cambria" w:hAnsi="Cambria"/>
          <w:b/>
          <w:i/>
          <w:sz w:val="24"/>
          <w:szCs w:val="24"/>
        </w:rPr>
        <w:t>Instytucje samorządu w demokratycznym państwie prawa</w:t>
      </w:r>
      <w:r w:rsidR="0036375A" w:rsidRPr="003E3667">
        <w:rPr>
          <w:rFonts w:ascii="Cambria" w:hAnsi="Cambria"/>
          <w:b/>
          <w:sz w:val="24"/>
          <w:szCs w:val="24"/>
        </w:rPr>
        <w:t>”</w:t>
      </w:r>
      <w:r w:rsidR="0036375A" w:rsidRPr="003E3667">
        <w:rPr>
          <w:rFonts w:ascii="Cambria" w:hAnsi="Cambria"/>
          <w:sz w:val="24"/>
          <w:szCs w:val="24"/>
        </w:rPr>
        <w:t xml:space="preserve"> WPiA UMCS w Lublinie 2016 – 2019; Partnerzy naukowi: Koło </w:t>
      </w:r>
      <w:r w:rsidR="0036375A" w:rsidRPr="003E3667">
        <w:rPr>
          <w:rFonts w:ascii="Cambria" w:hAnsi="Cambria"/>
          <w:sz w:val="24"/>
          <w:szCs w:val="24"/>
        </w:rPr>
        <w:lastRenderedPageBreak/>
        <w:t>Naukowe Prawa Parlamentarnego UMCS; Sieć badawcza Public Administration &amp; Local Government – „Rocznik Samorządowy”</w:t>
      </w:r>
      <w:r w:rsidR="0036375A">
        <w:rPr>
          <w:rFonts w:ascii="Cambria" w:hAnsi="Cambria"/>
          <w:sz w:val="24"/>
          <w:szCs w:val="24"/>
        </w:rPr>
        <w:t xml:space="preserve">, </w:t>
      </w:r>
      <w:r w:rsidR="0036375A" w:rsidRPr="003E3667">
        <w:rPr>
          <w:rFonts w:ascii="Cambria" w:hAnsi="Cambria"/>
          <w:sz w:val="24"/>
          <w:szCs w:val="24"/>
        </w:rPr>
        <w:t>Stowarzyszenie Naukowe „Pro Scientia Iuridica</w:t>
      </w:r>
      <w:bookmarkEnd w:id="8"/>
      <w:r w:rsidR="0036375A" w:rsidRPr="003E3667">
        <w:rPr>
          <w:rFonts w:ascii="Cambria" w:hAnsi="Cambria"/>
          <w:sz w:val="24"/>
          <w:szCs w:val="24"/>
        </w:rPr>
        <w:t>”</w:t>
      </w:r>
      <w:r w:rsidR="0036375A">
        <w:rPr>
          <w:rFonts w:ascii="Cambria" w:hAnsi="Cambria"/>
          <w:sz w:val="24"/>
          <w:szCs w:val="24"/>
        </w:rPr>
        <w:t xml:space="preserve">; </w:t>
      </w:r>
    </w:p>
    <w:p w14:paraId="6400A973" w14:textId="7CB4C5E9" w:rsidR="00134DBE" w:rsidRPr="002A158B" w:rsidRDefault="00134DBE" w:rsidP="0038603B">
      <w:pPr>
        <w:pStyle w:val="Akapitzlist"/>
        <w:numPr>
          <w:ilvl w:val="0"/>
          <w:numId w:val="43"/>
        </w:numPr>
        <w:spacing w:after="0" w:line="240" w:lineRule="auto"/>
        <w:jc w:val="both"/>
        <w:rPr>
          <w:rFonts w:ascii="Cambria" w:hAnsi="Cambria" w:cs="Times New Roman"/>
          <w:b/>
          <w:bCs/>
          <w:sz w:val="24"/>
          <w:szCs w:val="24"/>
        </w:rPr>
      </w:pPr>
      <w:r>
        <w:rPr>
          <w:rFonts w:ascii="Cambria" w:hAnsi="Cambria" w:cs="Times New Roman"/>
          <w:sz w:val="24"/>
          <w:szCs w:val="24"/>
        </w:rPr>
        <w:t xml:space="preserve">W tym zakresie wypada wspomnieć przede wszystkim rozdział w recenzowanej monografii naukowej </w:t>
      </w:r>
      <w:r w:rsidR="000D0BCF" w:rsidRPr="005D71E9">
        <w:rPr>
          <w:rFonts w:ascii="Times New Roman" w:eastAsia="Times New Roman" w:hAnsi="Times New Roman"/>
          <w:i/>
          <w:iCs/>
          <w:sz w:val="24"/>
          <w:szCs w:val="24"/>
          <w:lang w:eastAsia="pl-PL"/>
        </w:rPr>
        <w:t>Pełnomocnictwo substytucyjne a upoważnienie aplikanta do zastępowania radcy prawnego i adwokata – wybrane zagadnienia. Stan obecny i postulaty de lege ferenda</w:t>
      </w:r>
      <w:r w:rsidR="000D0BCF" w:rsidRPr="005D71E9">
        <w:rPr>
          <w:rFonts w:ascii="Times New Roman" w:eastAsia="Times New Roman" w:hAnsi="Times New Roman"/>
          <w:sz w:val="24"/>
          <w:szCs w:val="24"/>
          <w:lang w:eastAsia="pl-PL"/>
        </w:rPr>
        <w:t xml:space="preserve">, [w:]  </w:t>
      </w:r>
      <w:r w:rsidR="000D0BCF" w:rsidRPr="005D71E9">
        <w:rPr>
          <w:rFonts w:ascii="Times New Roman" w:eastAsia="Times New Roman" w:hAnsi="Times New Roman"/>
          <w:i/>
          <w:iCs/>
          <w:sz w:val="24"/>
          <w:szCs w:val="24"/>
          <w:lang w:eastAsia="pl-PL"/>
        </w:rPr>
        <w:t>Samorząd a prawo do sądu</w:t>
      </w:r>
      <w:r w:rsidR="000D0BCF" w:rsidRPr="005D71E9">
        <w:rPr>
          <w:rFonts w:ascii="Times New Roman" w:eastAsia="Times New Roman" w:hAnsi="Times New Roman"/>
          <w:sz w:val="24"/>
          <w:szCs w:val="24"/>
          <w:lang w:eastAsia="pl-PL"/>
        </w:rPr>
        <w:t xml:space="preserve">, J. Sobczak (red.), Lublin 2016, s. 125-144, </w:t>
      </w:r>
      <w:r w:rsidR="000D0BCF" w:rsidRPr="005C11E9">
        <w:rPr>
          <w:rFonts w:ascii="Times New Roman" w:eastAsia="Times New Roman" w:hAnsi="Times New Roman"/>
          <w:color w:val="151515"/>
          <w:sz w:val="24"/>
          <w:szCs w:val="24"/>
          <w:lang w:eastAsia="pl-PL"/>
        </w:rPr>
        <w:t>Stowarzyszenie Naukowe "Pro Scientia Iuridica"</w:t>
      </w:r>
      <w:r w:rsidR="000D0BCF">
        <w:rPr>
          <w:rFonts w:ascii="Times New Roman" w:eastAsia="Times New Roman" w:hAnsi="Times New Roman"/>
          <w:color w:val="151515"/>
          <w:sz w:val="24"/>
          <w:szCs w:val="24"/>
          <w:lang w:eastAsia="pl-PL"/>
        </w:rPr>
        <w:t xml:space="preserve">, </w:t>
      </w:r>
      <w:r w:rsidR="000D0BCF" w:rsidRPr="005D71E9">
        <w:rPr>
          <w:rFonts w:ascii="Times New Roman" w:eastAsia="Times New Roman" w:hAnsi="Times New Roman"/>
          <w:sz w:val="24"/>
          <w:szCs w:val="24"/>
          <w:lang w:eastAsia="pl-PL"/>
        </w:rPr>
        <w:t xml:space="preserve">ISBN </w:t>
      </w:r>
      <w:r w:rsidR="000D0BCF" w:rsidRPr="005D71E9">
        <w:rPr>
          <w:rFonts w:ascii="Times New Roman" w:eastAsia="Times New Roman" w:hAnsi="Times New Roman"/>
          <w:color w:val="151515"/>
          <w:sz w:val="24"/>
          <w:szCs w:val="24"/>
          <w:lang w:eastAsia="pl-PL"/>
        </w:rPr>
        <w:t>978-83-64800-02-3</w:t>
      </w:r>
      <w:r w:rsidR="002A158B">
        <w:rPr>
          <w:rFonts w:ascii="Times New Roman" w:eastAsia="Times New Roman" w:hAnsi="Times New Roman"/>
          <w:color w:val="151515"/>
          <w:sz w:val="24"/>
          <w:szCs w:val="24"/>
          <w:lang w:eastAsia="pl-PL"/>
        </w:rPr>
        <w:t>;</w:t>
      </w:r>
    </w:p>
    <w:p w14:paraId="45869511" w14:textId="77777777" w:rsidR="002A158B" w:rsidRPr="00AD3D29" w:rsidRDefault="002A158B" w:rsidP="002A158B">
      <w:pPr>
        <w:pStyle w:val="Akapitzlist"/>
        <w:spacing w:after="0" w:line="240" w:lineRule="auto"/>
        <w:ind w:left="3217"/>
        <w:jc w:val="both"/>
        <w:rPr>
          <w:rFonts w:ascii="Cambria" w:hAnsi="Cambria" w:cs="Times New Roman"/>
          <w:b/>
          <w:bCs/>
          <w:sz w:val="24"/>
          <w:szCs w:val="24"/>
        </w:rPr>
      </w:pPr>
    </w:p>
    <w:p w14:paraId="10C61897" w14:textId="2C81DC59" w:rsidR="00AD3D29" w:rsidRPr="00C235CF" w:rsidRDefault="004E368A" w:rsidP="0038603B">
      <w:pPr>
        <w:pStyle w:val="Akapitzlist"/>
        <w:numPr>
          <w:ilvl w:val="0"/>
          <w:numId w:val="26"/>
        </w:numPr>
        <w:spacing w:after="0" w:line="240" w:lineRule="auto"/>
        <w:jc w:val="both"/>
        <w:rPr>
          <w:rFonts w:ascii="Cambria" w:hAnsi="Cambria" w:cs="Times New Roman"/>
          <w:b/>
          <w:bCs/>
          <w:sz w:val="24"/>
          <w:szCs w:val="24"/>
        </w:rPr>
      </w:pPr>
      <w:r w:rsidRPr="002A158B">
        <w:rPr>
          <w:rFonts w:ascii="Cambria" w:hAnsi="Cambria" w:cs="Times New Roman"/>
          <w:sz w:val="24"/>
          <w:szCs w:val="24"/>
        </w:rPr>
        <w:t xml:space="preserve">w rezultatach naukowych, które założono </w:t>
      </w:r>
      <w:r w:rsidR="00CB5D44" w:rsidRPr="002A158B">
        <w:rPr>
          <w:rFonts w:ascii="Cambria" w:hAnsi="Cambria" w:cs="Times New Roman"/>
          <w:sz w:val="24"/>
          <w:szCs w:val="24"/>
        </w:rPr>
        <w:t>osiągnąć</w:t>
      </w:r>
      <w:r>
        <w:rPr>
          <w:rFonts w:ascii="Cambria" w:hAnsi="Cambria" w:cs="Times New Roman"/>
          <w:b/>
          <w:bCs/>
          <w:sz w:val="24"/>
          <w:szCs w:val="24"/>
        </w:rPr>
        <w:t xml:space="preserve"> w </w:t>
      </w:r>
      <w:r w:rsidR="00AD3D29" w:rsidRPr="00F07371">
        <w:rPr>
          <w:rFonts w:ascii="Cambria" w:hAnsi="Cambria" w:cs="Times New Roman"/>
          <w:sz w:val="24"/>
          <w:szCs w:val="24"/>
        </w:rPr>
        <w:t xml:space="preserve"> </w:t>
      </w:r>
      <w:r w:rsidR="00CB5D44" w:rsidRPr="00CB5D44">
        <w:rPr>
          <w:rFonts w:ascii="Cambria" w:hAnsi="Cambria" w:cs="Times New Roman"/>
          <w:b/>
          <w:bCs/>
          <w:sz w:val="24"/>
          <w:szCs w:val="24"/>
        </w:rPr>
        <w:t>aktualnie realizowanym</w:t>
      </w:r>
      <w:r w:rsidR="00CB5D44">
        <w:rPr>
          <w:rFonts w:ascii="Cambria" w:hAnsi="Cambria" w:cs="Times New Roman"/>
          <w:sz w:val="24"/>
          <w:szCs w:val="24"/>
        </w:rPr>
        <w:t xml:space="preserve"> </w:t>
      </w:r>
      <w:r w:rsidR="00AD3D29" w:rsidRPr="00F07371">
        <w:rPr>
          <w:rFonts w:ascii="Cambria" w:hAnsi="Cambria" w:cs="Times New Roman"/>
          <w:b/>
          <w:bCs/>
          <w:sz w:val="24"/>
          <w:szCs w:val="24"/>
        </w:rPr>
        <w:t>międzynarodow</w:t>
      </w:r>
      <w:r>
        <w:rPr>
          <w:rFonts w:ascii="Cambria" w:hAnsi="Cambria" w:cs="Times New Roman"/>
          <w:b/>
          <w:bCs/>
          <w:sz w:val="24"/>
          <w:szCs w:val="24"/>
        </w:rPr>
        <w:t>ym</w:t>
      </w:r>
      <w:r w:rsidR="00AD3D29" w:rsidRPr="00F07371">
        <w:rPr>
          <w:rFonts w:ascii="Cambria" w:hAnsi="Cambria" w:cs="Times New Roman"/>
          <w:b/>
          <w:bCs/>
          <w:sz w:val="24"/>
          <w:szCs w:val="24"/>
        </w:rPr>
        <w:t xml:space="preserve"> projek</w:t>
      </w:r>
      <w:r>
        <w:rPr>
          <w:rFonts w:ascii="Cambria" w:hAnsi="Cambria" w:cs="Times New Roman"/>
          <w:b/>
          <w:bCs/>
          <w:sz w:val="24"/>
          <w:szCs w:val="24"/>
        </w:rPr>
        <w:t>cie</w:t>
      </w:r>
      <w:r w:rsidR="00AD3D29" w:rsidRPr="00F07371">
        <w:rPr>
          <w:rFonts w:ascii="Cambria" w:hAnsi="Cambria" w:cs="Times New Roman"/>
          <w:b/>
          <w:bCs/>
          <w:sz w:val="24"/>
          <w:szCs w:val="24"/>
        </w:rPr>
        <w:t xml:space="preserve"> nauko</w:t>
      </w:r>
      <w:r>
        <w:rPr>
          <w:rFonts w:ascii="Cambria" w:hAnsi="Cambria" w:cs="Times New Roman"/>
          <w:b/>
          <w:bCs/>
          <w:sz w:val="24"/>
          <w:szCs w:val="24"/>
        </w:rPr>
        <w:t>wym</w:t>
      </w:r>
      <w:r w:rsidR="00AD3D29" w:rsidRPr="00F07371">
        <w:rPr>
          <w:rFonts w:ascii="Cambria" w:hAnsi="Cambria" w:cs="Times New Roman"/>
          <w:b/>
          <w:bCs/>
          <w:sz w:val="24"/>
          <w:szCs w:val="24"/>
        </w:rPr>
        <w:t xml:space="preserve"> we współpracy UMCS (Lublin) – AEA-EAL</w:t>
      </w:r>
      <w:r w:rsidR="00AD3D29" w:rsidRPr="00F07371">
        <w:rPr>
          <w:rFonts w:ascii="Cambria" w:hAnsi="Cambria" w:cs="Times New Roman"/>
          <w:sz w:val="24"/>
          <w:szCs w:val="24"/>
        </w:rPr>
        <w:t xml:space="preserve"> (The European Association of Lawyers) – w toku od 2022 r. – tytuł projektu: </w:t>
      </w:r>
      <w:r w:rsidR="00AD3D29" w:rsidRPr="00F07371">
        <w:rPr>
          <w:rFonts w:ascii="Cambria" w:hAnsi="Cambria" w:cs="Times New Roman"/>
          <w:i/>
          <w:iCs/>
          <w:sz w:val="24"/>
          <w:szCs w:val="24"/>
        </w:rPr>
        <w:t>Restrictions of competition in the provision of lega</w:t>
      </w:r>
      <w:r w:rsidR="00AD3D29">
        <w:rPr>
          <w:rFonts w:ascii="Cambria" w:hAnsi="Cambria" w:cs="Times New Roman"/>
          <w:i/>
          <w:iCs/>
          <w:sz w:val="24"/>
          <w:szCs w:val="24"/>
        </w:rPr>
        <w:t>l</w:t>
      </w:r>
      <w:r w:rsidR="00AD3D29" w:rsidRPr="00F07371">
        <w:rPr>
          <w:rFonts w:ascii="Cambria" w:hAnsi="Cambria" w:cs="Times New Roman"/>
          <w:i/>
          <w:iCs/>
          <w:sz w:val="24"/>
          <w:szCs w:val="24"/>
        </w:rPr>
        <w:t xml:space="preserve"> services. A comparative legal perspective</w:t>
      </w:r>
      <w:r w:rsidR="00AD3D29" w:rsidRPr="00F07371">
        <w:rPr>
          <w:rFonts w:ascii="Cambria" w:hAnsi="Cambria" w:cs="Times New Roman"/>
          <w:sz w:val="24"/>
          <w:szCs w:val="24"/>
        </w:rPr>
        <w:t>; pełniona funkcja: Kierownik projektu</w:t>
      </w:r>
      <w:r>
        <w:rPr>
          <w:rFonts w:ascii="Cambria" w:hAnsi="Cambria" w:cs="Times New Roman"/>
          <w:sz w:val="24"/>
          <w:szCs w:val="24"/>
        </w:rPr>
        <w:t>;</w:t>
      </w:r>
    </w:p>
    <w:p w14:paraId="0CEF1A9A" w14:textId="77777777" w:rsidR="00C235CF" w:rsidRPr="00FC0F82" w:rsidRDefault="00C235CF" w:rsidP="00C235CF">
      <w:pPr>
        <w:pStyle w:val="Akapitzlist"/>
        <w:spacing w:after="0" w:line="240" w:lineRule="auto"/>
        <w:ind w:left="2497"/>
        <w:jc w:val="both"/>
        <w:rPr>
          <w:rFonts w:ascii="Cambria" w:hAnsi="Cambria" w:cs="Times New Roman"/>
          <w:b/>
          <w:bCs/>
          <w:sz w:val="24"/>
          <w:szCs w:val="24"/>
        </w:rPr>
      </w:pPr>
    </w:p>
    <w:bookmarkEnd w:id="9"/>
    <w:p w14:paraId="3EEAD40C" w14:textId="6635447D" w:rsidR="000D0BCF" w:rsidRDefault="007F42BD" w:rsidP="0038603B">
      <w:pPr>
        <w:pStyle w:val="Akapitzlist"/>
        <w:numPr>
          <w:ilvl w:val="0"/>
          <w:numId w:val="38"/>
        </w:numPr>
        <w:spacing w:after="0" w:line="240" w:lineRule="auto"/>
        <w:jc w:val="both"/>
        <w:rPr>
          <w:rFonts w:ascii="Cambria" w:hAnsi="Cambria" w:cs="Times New Roman"/>
          <w:sz w:val="24"/>
          <w:szCs w:val="24"/>
        </w:rPr>
      </w:pPr>
      <w:r w:rsidRPr="007F42BD">
        <w:rPr>
          <w:rFonts w:ascii="Cambria" w:eastAsia="Times New Roman" w:hAnsi="Cambria"/>
          <w:b/>
          <w:bCs/>
          <w:sz w:val="24"/>
          <w:szCs w:val="24"/>
          <w:lang w:eastAsia="pl-PL"/>
        </w:rPr>
        <w:t>Prawo medyczne</w:t>
      </w:r>
      <w:r w:rsidR="006A2ACC">
        <w:rPr>
          <w:rFonts w:ascii="Cambria" w:eastAsia="Times New Roman" w:hAnsi="Cambria"/>
          <w:b/>
          <w:bCs/>
          <w:sz w:val="24"/>
          <w:szCs w:val="24"/>
          <w:lang w:eastAsia="pl-PL"/>
        </w:rPr>
        <w:t xml:space="preserve"> </w:t>
      </w:r>
      <w:r w:rsidR="006A2ACC" w:rsidRPr="006A2ACC">
        <w:rPr>
          <w:rFonts w:ascii="Cambria" w:eastAsia="Times New Roman" w:hAnsi="Cambria"/>
          <w:sz w:val="24"/>
          <w:szCs w:val="24"/>
          <w:lang w:eastAsia="pl-PL"/>
        </w:rPr>
        <w:t>(</w:t>
      </w:r>
      <w:r w:rsidRPr="007F42BD">
        <w:rPr>
          <w:rFonts w:ascii="Cambria" w:eastAsia="Times New Roman" w:hAnsi="Cambria"/>
          <w:sz w:val="24"/>
          <w:szCs w:val="24"/>
          <w:lang w:eastAsia="pl-PL"/>
        </w:rPr>
        <w:t>w szczególności system preferencji podatkowych w kontekście świadczenia wybranych usług medycznych</w:t>
      </w:r>
      <w:r w:rsidR="006A2ACC">
        <w:rPr>
          <w:rFonts w:ascii="Cambria" w:eastAsia="Times New Roman" w:hAnsi="Cambria"/>
          <w:sz w:val="24"/>
          <w:szCs w:val="24"/>
          <w:lang w:eastAsia="pl-PL"/>
        </w:rPr>
        <w:t>)</w:t>
      </w:r>
      <w:r w:rsidRPr="007F42BD">
        <w:rPr>
          <w:rFonts w:ascii="Cambria" w:eastAsia="Times New Roman" w:hAnsi="Cambria"/>
          <w:sz w:val="24"/>
          <w:szCs w:val="24"/>
          <w:lang w:eastAsia="pl-PL"/>
        </w:rPr>
        <w:t xml:space="preserve">; </w:t>
      </w:r>
      <w:r w:rsidRPr="007F42BD">
        <w:rPr>
          <w:rFonts w:ascii="Cambria" w:eastAsia="Times New Roman" w:hAnsi="Cambria"/>
          <w:color w:val="FF0000"/>
          <w:sz w:val="24"/>
          <w:szCs w:val="24"/>
          <w:lang w:eastAsia="pl-PL"/>
        </w:rPr>
        <w:t xml:space="preserve"> </w:t>
      </w:r>
      <w:r w:rsidR="000D0BCF">
        <w:rPr>
          <w:rFonts w:ascii="Cambria" w:hAnsi="Cambria" w:cs="Times New Roman"/>
          <w:sz w:val="24"/>
          <w:szCs w:val="24"/>
        </w:rPr>
        <w:t>badania we wspomnianym obszarze znajdują odzwierciedlenie zwłaszcza:</w:t>
      </w:r>
    </w:p>
    <w:p w14:paraId="40C284F0" w14:textId="49E376BB" w:rsidR="004E368A" w:rsidRPr="001A295A" w:rsidRDefault="004E368A" w:rsidP="001A295A">
      <w:pPr>
        <w:spacing w:after="0" w:line="240" w:lineRule="auto"/>
        <w:jc w:val="both"/>
        <w:rPr>
          <w:rFonts w:ascii="Cambria" w:hAnsi="Cambria" w:cs="Times New Roman"/>
          <w:sz w:val="24"/>
          <w:szCs w:val="24"/>
        </w:rPr>
      </w:pPr>
    </w:p>
    <w:p w14:paraId="73EFFA1E" w14:textId="5F3BE609" w:rsidR="00AD3D29" w:rsidRDefault="004E368A" w:rsidP="0038603B">
      <w:pPr>
        <w:pStyle w:val="Akapitzlist"/>
        <w:numPr>
          <w:ilvl w:val="0"/>
          <w:numId w:val="30"/>
        </w:numPr>
        <w:jc w:val="both"/>
        <w:rPr>
          <w:rFonts w:ascii="Cambria" w:hAnsi="Cambria" w:cs="Times New Roman"/>
          <w:sz w:val="24"/>
          <w:szCs w:val="24"/>
        </w:rPr>
      </w:pPr>
      <w:r w:rsidRPr="004E368A">
        <w:rPr>
          <w:rFonts w:ascii="Cambria" w:hAnsi="Cambria" w:cs="Times New Roman"/>
          <w:sz w:val="24"/>
          <w:szCs w:val="24"/>
        </w:rPr>
        <w:t xml:space="preserve">w ramach </w:t>
      </w:r>
      <w:r w:rsidR="001A295A">
        <w:rPr>
          <w:rFonts w:ascii="Cambria" w:hAnsi="Cambria" w:cs="Times New Roman"/>
          <w:sz w:val="24"/>
          <w:szCs w:val="24"/>
        </w:rPr>
        <w:t xml:space="preserve">pozytywnie ocenionych </w:t>
      </w:r>
      <w:r w:rsidRPr="004E368A">
        <w:rPr>
          <w:rFonts w:ascii="Cambria" w:hAnsi="Cambria" w:cs="Times New Roman"/>
          <w:sz w:val="24"/>
          <w:szCs w:val="24"/>
        </w:rPr>
        <w:t>rezultatów uzyskanych poprzez aktywność naukową</w:t>
      </w:r>
      <w:r w:rsidR="00D16AF0">
        <w:rPr>
          <w:rFonts w:ascii="Cambria" w:hAnsi="Cambria" w:cs="Times New Roman"/>
          <w:sz w:val="24"/>
          <w:szCs w:val="24"/>
        </w:rPr>
        <w:t xml:space="preserve"> jako</w:t>
      </w:r>
      <w:r w:rsidRPr="004E368A">
        <w:rPr>
          <w:rFonts w:ascii="Cambria" w:hAnsi="Cambria" w:cs="Times New Roman"/>
          <w:sz w:val="24"/>
          <w:szCs w:val="24"/>
        </w:rPr>
        <w:t xml:space="preserve"> </w:t>
      </w:r>
      <w:r>
        <w:rPr>
          <w:rFonts w:ascii="Cambria" w:hAnsi="Cambria" w:cs="Times New Roman"/>
          <w:b/>
          <w:bCs/>
          <w:sz w:val="24"/>
          <w:szCs w:val="24"/>
        </w:rPr>
        <w:t>członka</w:t>
      </w:r>
      <w:r w:rsidR="00AD3D29" w:rsidRPr="00F07371">
        <w:rPr>
          <w:rFonts w:ascii="Cambria" w:hAnsi="Cambria" w:cs="Times New Roman"/>
          <w:b/>
          <w:bCs/>
          <w:sz w:val="24"/>
          <w:szCs w:val="24"/>
        </w:rPr>
        <w:t xml:space="preserve"> </w:t>
      </w:r>
      <w:r>
        <w:rPr>
          <w:rFonts w:ascii="Cambria" w:hAnsi="Cambria" w:cs="Times New Roman"/>
          <w:b/>
          <w:bCs/>
          <w:sz w:val="24"/>
          <w:szCs w:val="24"/>
        </w:rPr>
        <w:t xml:space="preserve">międzynarodowych </w:t>
      </w:r>
      <w:r w:rsidR="00AD3D29" w:rsidRPr="00F07371">
        <w:rPr>
          <w:rFonts w:ascii="Cambria" w:hAnsi="Cambria" w:cs="Times New Roman"/>
          <w:b/>
          <w:bCs/>
          <w:sz w:val="24"/>
          <w:szCs w:val="24"/>
        </w:rPr>
        <w:t>Zespołów badawczych realizujących międzynarodowe projekty badawcze</w:t>
      </w:r>
      <w:r w:rsidR="00AD3D29" w:rsidRPr="00F07371">
        <w:rPr>
          <w:rFonts w:ascii="Cambria" w:hAnsi="Cambria" w:cs="Times New Roman"/>
          <w:sz w:val="24"/>
          <w:szCs w:val="24"/>
        </w:rPr>
        <w:t xml:space="preserve"> pt. </w:t>
      </w:r>
      <w:r w:rsidR="00AD3D29" w:rsidRPr="00F07371">
        <w:rPr>
          <w:rFonts w:ascii="Cambria" w:hAnsi="Cambria" w:cs="Times New Roman"/>
          <w:i/>
          <w:iCs/>
          <w:sz w:val="24"/>
          <w:szCs w:val="24"/>
        </w:rPr>
        <w:t xml:space="preserve">Rozwój człowieka we współczesnym świecie </w:t>
      </w:r>
      <w:r w:rsidR="00AD3D29" w:rsidRPr="00F07371">
        <w:rPr>
          <w:rFonts w:ascii="Cambria" w:hAnsi="Cambria" w:cs="Times New Roman"/>
          <w:sz w:val="24"/>
          <w:szCs w:val="24"/>
        </w:rPr>
        <w:t xml:space="preserve">(zrealizowany w latach 2021), </w:t>
      </w:r>
      <w:r w:rsidR="00AD3D29" w:rsidRPr="00F07371">
        <w:rPr>
          <w:rFonts w:ascii="Cambria" w:hAnsi="Cambria" w:cs="Times New Roman"/>
          <w:i/>
          <w:iCs/>
          <w:sz w:val="24"/>
          <w:szCs w:val="24"/>
        </w:rPr>
        <w:t xml:space="preserve">Współczesne nauki farmaceutyczne. Postępy, wyzwania, perspektywy </w:t>
      </w:r>
      <w:r w:rsidR="00AD3D29" w:rsidRPr="00F07371">
        <w:rPr>
          <w:rFonts w:ascii="Cambria" w:hAnsi="Cambria" w:cs="Times New Roman"/>
          <w:sz w:val="24"/>
          <w:szCs w:val="24"/>
        </w:rPr>
        <w:t>(zrealizowany w latach 2021 – 2022); Partnerzy naukowi m. in. University of Gjakova Fehmi Agani w Kosowie, University of Prizren w Kosowie, Daugavpils University w Dyneburgu na Łotwie, University of Roehampton w Londynie, Vytautas Magnus University w Wilnie, Cyprus Science University; pełnione funkcje w projektach: Członek zespołu naukowego, osoba prowadząca badania nad kierunkami zmian w obszarze prawa i administracji w Polsce oraz UE, współczesnymi problemami z obszaru ekonomii i zarządzania, a także wyzwań cywilizacyjnych związanych z panującą sytuacją pandemiczną COVID-19</w:t>
      </w:r>
      <w:r w:rsidR="001A295A">
        <w:rPr>
          <w:rFonts w:ascii="Cambria" w:hAnsi="Cambria" w:cs="Times New Roman"/>
          <w:sz w:val="24"/>
          <w:szCs w:val="24"/>
        </w:rPr>
        <w:t>;</w:t>
      </w:r>
    </w:p>
    <w:p w14:paraId="17F4DCD6" w14:textId="3E196CA3" w:rsidR="001A295A" w:rsidRPr="001A295A" w:rsidRDefault="001A295A" w:rsidP="0038603B">
      <w:pPr>
        <w:pStyle w:val="Akapitzlist"/>
        <w:numPr>
          <w:ilvl w:val="0"/>
          <w:numId w:val="43"/>
        </w:numPr>
        <w:jc w:val="both"/>
        <w:rPr>
          <w:rFonts w:ascii="Cambria" w:hAnsi="Cambria" w:cs="Times New Roman"/>
          <w:sz w:val="24"/>
          <w:szCs w:val="24"/>
        </w:rPr>
      </w:pPr>
      <w:r>
        <w:rPr>
          <w:rFonts w:ascii="Cambria" w:hAnsi="Cambria" w:cs="Times New Roman"/>
          <w:sz w:val="24"/>
          <w:szCs w:val="24"/>
        </w:rPr>
        <w:t xml:space="preserve">W tym zakresie wypada wspomnieć przede wszystkim rozdziały w recenzowanych monografiach naukowych: </w:t>
      </w:r>
      <w:r w:rsidRPr="001A295A">
        <w:rPr>
          <w:rFonts w:ascii="Times New Roman" w:eastAsia="Times New Roman" w:hAnsi="Times New Roman"/>
          <w:i/>
          <w:iCs/>
          <w:sz w:val="24"/>
          <w:szCs w:val="24"/>
          <w:lang w:eastAsia="pl-PL"/>
        </w:rPr>
        <w:t xml:space="preserve">Individual Health Therapy and VAT Exemption. </w:t>
      </w:r>
      <w:r w:rsidRPr="003140C0">
        <w:rPr>
          <w:rFonts w:ascii="Times New Roman" w:eastAsia="Times New Roman" w:hAnsi="Times New Roman"/>
          <w:i/>
          <w:iCs/>
          <w:sz w:val="24"/>
          <w:szCs w:val="24"/>
          <w:lang w:val="en-GB" w:eastAsia="pl-PL"/>
        </w:rPr>
        <w:t>Gloss to the Judgement of the Supreme Administrative Court of 6 December 2017, I FSK 308/16, I FSK 308/16, LEX No. 2428591</w:t>
      </w:r>
      <w:r w:rsidRPr="007301E2">
        <w:rPr>
          <w:rFonts w:ascii="Times New Roman" w:eastAsia="Times New Roman" w:hAnsi="Times New Roman"/>
          <w:sz w:val="24"/>
          <w:szCs w:val="24"/>
          <w:lang w:val="en-GB" w:eastAsia="pl-PL"/>
        </w:rPr>
        <w:t xml:space="preserve">, [w:] </w:t>
      </w:r>
      <w:r w:rsidRPr="008E59C2">
        <w:rPr>
          <w:rFonts w:ascii="Times New Roman" w:eastAsia="Times New Roman" w:hAnsi="Times New Roman"/>
          <w:i/>
          <w:iCs/>
          <w:sz w:val="24"/>
          <w:szCs w:val="24"/>
          <w:lang w:val="en-GB" w:eastAsia="pl-PL"/>
        </w:rPr>
        <w:t xml:space="preserve">Współczesne nauki farmaceutyczne. </w:t>
      </w:r>
      <w:r w:rsidRPr="008E59C2">
        <w:rPr>
          <w:rFonts w:ascii="Times New Roman" w:eastAsia="Times New Roman" w:hAnsi="Times New Roman"/>
          <w:i/>
          <w:iCs/>
          <w:sz w:val="24"/>
          <w:szCs w:val="24"/>
          <w:lang w:eastAsia="pl-PL"/>
        </w:rPr>
        <w:t>Postępy, wyzwania, perspektywy</w:t>
      </w:r>
      <w:r w:rsidRPr="007301E2">
        <w:rPr>
          <w:rFonts w:ascii="Times New Roman" w:eastAsia="Times New Roman" w:hAnsi="Times New Roman"/>
          <w:sz w:val="24"/>
          <w:szCs w:val="24"/>
          <w:lang w:eastAsia="pl-PL"/>
        </w:rPr>
        <w:t xml:space="preserve">, red. M. Naumowicz, M. Kusaczuk, Łódź – Kielce 2021, </w:t>
      </w:r>
      <w:r w:rsidRPr="006431FD">
        <w:rPr>
          <w:rFonts w:ascii="Times New Roman" w:eastAsia="Times New Roman" w:hAnsi="Times New Roman"/>
          <w:sz w:val="24"/>
          <w:szCs w:val="24"/>
          <w:lang w:eastAsia="pl-PL"/>
        </w:rPr>
        <w:t>ArchaeGraph</w:t>
      </w:r>
      <w:r>
        <w:rPr>
          <w:rFonts w:ascii="Times New Roman" w:eastAsia="Times New Roman" w:hAnsi="Times New Roman"/>
          <w:sz w:val="24"/>
          <w:szCs w:val="24"/>
          <w:lang w:eastAsia="pl-PL"/>
        </w:rPr>
        <w:t xml:space="preserve">, </w:t>
      </w:r>
      <w:r w:rsidRPr="008E59C2">
        <w:rPr>
          <w:rFonts w:ascii="Times New Roman" w:eastAsia="Times New Roman" w:hAnsi="Times New Roman"/>
          <w:sz w:val="24"/>
          <w:szCs w:val="24"/>
          <w:lang w:eastAsia="pl-PL"/>
        </w:rPr>
        <w:t>ISBN: 978-83-67074-28-</w:t>
      </w:r>
      <w:r w:rsidRPr="008E59C2">
        <w:rPr>
          <w:rFonts w:ascii="Times New Roman" w:eastAsia="Times New Roman" w:hAnsi="Times New Roman"/>
          <w:sz w:val="24"/>
          <w:szCs w:val="24"/>
          <w:lang w:eastAsia="pl-PL"/>
        </w:rPr>
        <w:lastRenderedPageBreak/>
        <w:t>5</w:t>
      </w:r>
      <w:r>
        <w:rPr>
          <w:rFonts w:ascii="Times New Roman" w:eastAsia="Times New Roman" w:hAnsi="Times New Roman"/>
          <w:sz w:val="24"/>
          <w:szCs w:val="24"/>
          <w:lang w:eastAsia="pl-PL"/>
        </w:rPr>
        <w:t>,</w:t>
      </w:r>
      <w:r w:rsidRPr="008E59C2">
        <w:rPr>
          <w:rFonts w:ascii="Times New Roman" w:eastAsia="Times New Roman" w:hAnsi="Times New Roman"/>
          <w:sz w:val="24"/>
          <w:szCs w:val="24"/>
          <w:lang w:eastAsia="pl-PL"/>
        </w:rPr>
        <w:t xml:space="preserve"> </w:t>
      </w:r>
      <w:r w:rsidRPr="007301E2">
        <w:rPr>
          <w:rFonts w:ascii="Times New Roman" w:eastAsia="Times New Roman" w:hAnsi="Times New Roman"/>
          <w:sz w:val="24"/>
          <w:szCs w:val="24"/>
          <w:lang w:eastAsia="pl-PL"/>
        </w:rPr>
        <w:t>s. 125-140</w:t>
      </w:r>
      <w:r>
        <w:rPr>
          <w:rFonts w:ascii="Times New Roman" w:eastAsia="Times New Roman" w:hAnsi="Times New Roman"/>
          <w:sz w:val="24"/>
          <w:szCs w:val="24"/>
          <w:lang w:eastAsia="pl-PL"/>
        </w:rPr>
        <w:t xml:space="preserve">; </w:t>
      </w:r>
      <w:r w:rsidRPr="003140C0">
        <w:rPr>
          <w:rFonts w:ascii="Times New Roman" w:eastAsia="Times New Roman" w:hAnsi="Times New Roman"/>
          <w:i/>
          <w:iCs/>
          <w:sz w:val="24"/>
          <w:szCs w:val="24"/>
          <w:lang w:eastAsia="pl-PL"/>
        </w:rPr>
        <w:t>Usługa sekwencjonowania genomu ludzkiego przez podmiot leczniczy wraz z analizą danych a zwolnienie z VAT. Glosa częściowo krytyczna do wyroku WSA w Białymstoku z dnia 28 października 2020 r., I SA/Bk 667/20, LEX nr 3088192</w:t>
      </w:r>
      <w:r w:rsidRPr="007301E2">
        <w:rPr>
          <w:rFonts w:ascii="Times New Roman" w:eastAsia="Times New Roman" w:hAnsi="Times New Roman"/>
          <w:sz w:val="24"/>
          <w:szCs w:val="24"/>
          <w:lang w:eastAsia="pl-PL"/>
        </w:rPr>
        <w:t xml:space="preserve">, [w:] </w:t>
      </w:r>
      <w:r w:rsidRPr="008E59C2">
        <w:rPr>
          <w:rFonts w:ascii="Times New Roman" w:eastAsia="Times New Roman" w:hAnsi="Times New Roman"/>
          <w:i/>
          <w:iCs/>
          <w:sz w:val="24"/>
          <w:szCs w:val="24"/>
          <w:lang w:eastAsia="pl-PL"/>
        </w:rPr>
        <w:t>Rozwój człowieka we współczesnym świecie</w:t>
      </w:r>
      <w:r w:rsidRPr="007301E2">
        <w:rPr>
          <w:rFonts w:ascii="Times New Roman" w:eastAsia="Times New Roman" w:hAnsi="Times New Roman"/>
          <w:sz w:val="24"/>
          <w:szCs w:val="24"/>
          <w:lang w:eastAsia="pl-PL"/>
        </w:rPr>
        <w:t xml:space="preserve">, red. J. Kata, K. Lisowska, Łódź – Kielce 2021, </w:t>
      </w:r>
      <w:r w:rsidRPr="00B03E44">
        <w:rPr>
          <w:rFonts w:ascii="Times New Roman" w:eastAsia="Times New Roman" w:hAnsi="Times New Roman"/>
          <w:sz w:val="24"/>
          <w:szCs w:val="24"/>
          <w:lang w:eastAsia="pl-PL"/>
        </w:rPr>
        <w:t>ArchaeGraph</w:t>
      </w:r>
      <w:r>
        <w:rPr>
          <w:rFonts w:ascii="Times New Roman" w:eastAsia="Times New Roman" w:hAnsi="Times New Roman"/>
          <w:sz w:val="24"/>
          <w:szCs w:val="24"/>
          <w:lang w:eastAsia="pl-PL"/>
        </w:rPr>
        <w:t xml:space="preserve">, </w:t>
      </w:r>
      <w:r w:rsidRPr="007301E2">
        <w:rPr>
          <w:rFonts w:ascii="Times New Roman" w:eastAsia="Times New Roman" w:hAnsi="Times New Roman"/>
          <w:sz w:val="24"/>
          <w:szCs w:val="24"/>
          <w:lang w:eastAsia="pl-PL"/>
        </w:rPr>
        <w:t>ISBN: 978-83-66709-76-0, s. 155-168</w:t>
      </w:r>
      <w:r>
        <w:rPr>
          <w:rFonts w:ascii="Times New Roman" w:eastAsia="Times New Roman" w:hAnsi="Times New Roman"/>
          <w:sz w:val="24"/>
          <w:szCs w:val="24"/>
          <w:lang w:eastAsia="pl-PL"/>
        </w:rPr>
        <w:t xml:space="preserve">; </w:t>
      </w:r>
      <w:r w:rsidRPr="003140C0">
        <w:rPr>
          <w:rFonts w:ascii="Times New Roman" w:eastAsia="Times New Roman" w:hAnsi="Times New Roman"/>
          <w:i/>
          <w:iCs/>
          <w:sz w:val="24"/>
          <w:szCs w:val="24"/>
          <w:lang w:eastAsia="pl-PL"/>
        </w:rPr>
        <w:t>Bezpieczeństwo systemu ochrony zdrowia w czasie pandemii SARS-CoV-2 a rozwój eksperymentów leczniczych. Wybrane zagadnienia podatkowoprawne</w:t>
      </w:r>
      <w:r w:rsidRPr="007301E2">
        <w:rPr>
          <w:rFonts w:ascii="Times New Roman" w:eastAsia="Times New Roman" w:hAnsi="Times New Roman"/>
          <w:sz w:val="24"/>
          <w:szCs w:val="24"/>
          <w:lang w:eastAsia="pl-PL"/>
        </w:rPr>
        <w:t>, [w:] Aktualne zagrożenia i wyzwania w obszarze bezpieczeństwa społecznego i gospodarczego, red. M. Pomykała, I. Oleksiewicz, Rzeszów 2022, Oficyna Wydawnicza Politechniki Rzeszowskiej, ISBN 978-83-7934-566-3, s. 133-144</w:t>
      </w:r>
      <w:r>
        <w:rPr>
          <w:rFonts w:ascii="Times New Roman" w:eastAsia="Times New Roman" w:hAnsi="Times New Roman"/>
          <w:sz w:val="24"/>
          <w:szCs w:val="24"/>
          <w:lang w:eastAsia="pl-PL"/>
        </w:rPr>
        <w:t>;</w:t>
      </w:r>
    </w:p>
    <w:p w14:paraId="59D5E365" w14:textId="70697FC1" w:rsidR="001A295A" w:rsidRPr="00BE28CD" w:rsidRDefault="001A295A" w:rsidP="0038603B">
      <w:pPr>
        <w:pStyle w:val="Akapitzlist"/>
        <w:numPr>
          <w:ilvl w:val="0"/>
          <w:numId w:val="43"/>
        </w:numPr>
        <w:jc w:val="both"/>
        <w:rPr>
          <w:rFonts w:ascii="Cambria" w:hAnsi="Cambria" w:cs="Times New Roman"/>
          <w:sz w:val="24"/>
          <w:szCs w:val="24"/>
        </w:rPr>
      </w:pPr>
      <w:r>
        <w:rPr>
          <w:rFonts w:ascii="Cambria" w:hAnsi="Cambria" w:cs="Times New Roman"/>
          <w:sz w:val="24"/>
          <w:szCs w:val="24"/>
        </w:rPr>
        <w:t xml:space="preserve">Opublikowane artykuły w czasopismach naukowych: </w:t>
      </w:r>
      <w:r w:rsidRPr="003140C0">
        <w:rPr>
          <w:rFonts w:ascii="Times New Roman" w:hAnsi="Times New Roman"/>
          <w:i/>
          <w:iCs/>
          <w:sz w:val="24"/>
          <w:szCs w:val="24"/>
        </w:rPr>
        <w:t>Usługa pobrania i przechowywania komórek macierzystych a zwolnienie z VAT – glosa do wyroku Naczelnego Sądu Administracyjnego z dnia 15 marca 2018 roku, I FSK 750/16</w:t>
      </w:r>
      <w:r w:rsidRPr="00C871F3">
        <w:rPr>
          <w:rFonts w:ascii="Times New Roman" w:hAnsi="Times New Roman"/>
          <w:sz w:val="24"/>
          <w:szCs w:val="24"/>
        </w:rPr>
        <w:t xml:space="preserve">, </w:t>
      </w:r>
      <w:r>
        <w:rPr>
          <w:rFonts w:ascii="Times New Roman" w:hAnsi="Times New Roman"/>
          <w:sz w:val="24"/>
          <w:szCs w:val="24"/>
        </w:rPr>
        <w:t>„</w:t>
      </w:r>
      <w:r w:rsidRPr="00C871F3">
        <w:rPr>
          <w:rFonts w:ascii="Times New Roman" w:eastAsia="Times New Roman" w:hAnsi="Times New Roman"/>
          <w:sz w:val="24"/>
          <w:szCs w:val="24"/>
          <w:lang w:eastAsia="pl-PL"/>
        </w:rPr>
        <w:t>Acta Iuris Stetinensis” 2021, nr 3 (vol. 35), 137–149, DOI: 10.18276/ais.2021.35-09</w:t>
      </w:r>
      <w:r>
        <w:rPr>
          <w:rFonts w:ascii="Times New Roman" w:eastAsia="Times New Roman" w:hAnsi="Times New Roman"/>
          <w:sz w:val="24"/>
          <w:szCs w:val="24"/>
          <w:lang w:eastAsia="pl-PL"/>
        </w:rPr>
        <w:t>;</w:t>
      </w:r>
    </w:p>
    <w:p w14:paraId="1A570773" w14:textId="77777777" w:rsidR="00BE28CD" w:rsidRPr="007F42BD" w:rsidRDefault="00BE28CD" w:rsidP="00BE28CD">
      <w:pPr>
        <w:pStyle w:val="Akapitzlist"/>
        <w:ind w:left="3217"/>
        <w:jc w:val="both"/>
        <w:rPr>
          <w:rFonts w:ascii="Cambria" w:hAnsi="Cambria" w:cs="Times New Roman"/>
          <w:sz w:val="24"/>
          <w:szCs w:val="24"/>
        </w:rPr>
      </w:pPr>
    </w:p>
    <w:p w14:paraId="60C149BD" w14:textId="2C41D22D" w:rsidR="004E368A" w:rsidRPr="00122893" w:rsidRDefault="007F42BD" w:rsidP="0038603B">
      <w:pPr>
        <w:pStyle w:val="Akapitzlist"/>
        <w:numPr>
          <w:ilvl w:val="0"/>
          <w:numId w:val="38"/>
        </w:numPr>
        <w:spacing w:after="0" w:line="240" w:lineRule="auto"/>
        <w:jc w:val="both"/>
        <w:rPr>
          <w:rFonts w:ascii="Cambria" w:hAnsi="Cambria" w:cs="Times New Roman"/>
          <w:sz w:val="24"/>
          <w:szCs w:val="24"/>
        </w:rPr>
      </w:pPr>
      <w:r w:rsidRPr="007F42BD">
        <w:rPr>
          <w:rFonts w:ascii="Cambria" w:hAnsi="Cambria" w:cs="Times New Roman"/>
          <w:b/>
          <w:bCs/>
          <w:sz w:val="24"/>
          <w:szCs w:val="24"/>
        </w:rPr>
        <w:t>Prawo finansów publicznych i prawo podatkowe</w:t>
      </w:r>
      <w:r w:rsidRPr="007F42BD">
        <w:rPr>
          <w:rFonts w:ascii="Cambria" w:hAnsi="Cambria" w:cs="Times New Roman"/>
          <w:sz w:val="24"/>
          <w:szCs w:val="24"/>
        </w:rPr>
        <w:t>, w szczególności w kontekście działalności prowadzonej przez jednostki szkolnictwa wyższego i nauki, świadczenia pomocy prawnej, oraz prowadzenia działalności o charakterze twórczym</w:t>
      </w:r>
      <w:r w:rsidR="00A751B9">
        <w:rPr>
          <w:rFonts w:ascii="Cambria" w:hAnsi="Cambria" w:cs="Times New Roman"/>
          <w:sz w:val="24"/>
          <w:szCs w:val="24"/>
        </w:rPr>
        <w:t>;</w:t>
      </w:r>
      <w:r w:rsidR="004E368A" w:rsidRPr="004E368A">
        <w:rPr>
          <w:rFonts w:ascii="Cambria" w:hAnsi="Cambria" w:cs="Times New Roman"/>
          <w:sz w:val="24"/>
          <w:szCs w:val="24"/>
        </w:rPr>
        <w:t xml:space="preserve"> </w:t>
      </w:r>
      <w:r w:rsidR="00122893">
        <w:rPr>
          <w:rFonts w:ascii="Cambria" w:hAnsi="Cambria" w:cs="Times New Roman"/>
          <w:sz w:val="24"/>
          <w:szCs w:val="24"/>
        </w:rPr>
        <w:t>badania we wspomnianym obszarze znajdują odzwierciedlenie zwłaszcza:</w:t>
      </w:r>
    </w:p>
    <w:p w14:paraId="1387ED40" w14:textId="1C0E9127" w:rsidR="00D16AF0" w:rsidRDefault="00D16AF0" w:rsidP="0038603B">
      <w:pPr>
        <w:pStyle w:val="Akapitzlist"/>
        <w:numPr>
          <w:ilvl w:val="0"/>
          <w:numId w:val="29"/>
        </w:numPr>
        <w:jc w:val="both"/>
        <w:rPr>
          <w:rFonts w:ascii="Cambria" w:hAnsi="Cambria" w:cs="Times New Roman"/>
          <w:sz w:val="24"/>
          <w:szCs w:val="24"/>
        </w:rPr>
      </w:pPr>
      <w:r w:rsidRPr="00FC0F82">
        <w:rPr>
          <w:rFonts w:ascii="Cambria" w:hAnsi="Cambria" w:cs="Times New Roman"/>
          <w:sz w:val="24"/>
          <w:szCs w:val="24"/>
        </w:rPr>
        <w:t xml:space="preserve">w </w:t>
      </w:r>
      <w:r w:rsidR="00122893">
        <w:rPr>
          <w:rFonts w:ascii="Cambria" w:hAnsi="Cambria" w:cs="Times New Roman"/>
          <w:sz w:val="24"/>
          <w:szCs w:val="24"/>
        </w:rPr>
        <w:t xml:space="preserve">pozytywnie ocenionych </w:t>
      </w:r>
      <w:r w:rsidRPr="00FC0F82">
        <w:rPr>
          <w:rFonts w:ascii="Cambria" w:hAnsi="Cambria" w:cs="Times New Roman"/>
          <w:sz w:val="24"/>
          <w:szCs w:val="24"/>
        </w:rPr>
        <w:t>rezultatach naukowych osiągniętych podczas</w:t>
      </w:r>
      <w:r>
        <w:rPr>
          <w:rFonts w:ascii="Cambria" w:hAnsi="Cambria" w:cs="Times New Roman"/>
          <w:sz w:val="24"/>
          <w:szCs w:val="24"/>
        </w:rPr>
        <w:t xml:space="preserve"> realizacji</w:t>
      </w:r>
      <w:r w:rsidR="00A751B9">
        <w:rPr>
          <w:rFonts w:ascii="Cambria" w:hAnsi="Cambria" w:cs="Times New Roman"/>
          <w:sz w:val="24"/>
          <w:szCs w:val="24"/>
        </w:rPr>
        <w:t xml:space="preserve"> </w:t>
      </w:r>
      <w:bookmarkStart w:id="10" w:name="_Hlk112676092"/>
      <w:r w:rsidR="00A751B9" w:rsidRPr="001000A4">
        <w:rPr>
          <w:rFonts w:ascii="Cambria" w:hAnsi="Cambria" w:cs="Times New Roman"/>
          <w:b/>
          <w:bCs/>
          <w:sz w:val="24"/>
          <w:szCs w:val="24"/>
        </w:rPr>
        <w:t>konkursu grantowego dla dyscypliny nauki prawne</w:t>
      </w:r>
      <w:r w:rsidR="00A751B9">
        <w:rPr>
          <w:rFonts w:ascii="Cambria" w:hAnsi="Cambria" w:cs="Times New Roman"/>
          <w:sz w:val="24"/>
          <w:szCs w:val="24"/>
        </w:rPr>
        <w:t xml:space="preserve"> (</w:t>
      </w:r>
      <w:r w:rsidR="00A751B9" w:rsidRPr="00637DAF">
        <w:rPr>
          <w:rFonts w:ascii="Cambria" w:hAnsi="Cambria" w:cs="Times New Roman"/>
          <w:sz w:val="24"/>
          <w:szCs w:val="24"/>
        </w:rPr>
        <w:t xml:space="preserve">tytuł </w:t>
      </w:r>
      <w:r w:rsidR="00A751B9">
        <w:rPr>
          <w:rFonts w:ascii="Cambria" w:hAnsi="Cambria" w:cs="Times New Roman"/>
          <w:sz w:val="24"/>
          <w:szCs w:val="24"/>
        </w:rPr>
        <w:t xml:space="preserve">partnerskiego projektu międzyuczelnianego KUL - UMCS: </w:t>
      </w:r>
      <w:r w:rsidR="00A751B9">
        <w:rPr>
          <w:rFonts w:ascii="Cambria" w:hAnsi="Cambria" w:cs="Times New Roman"/>
          <w:i/>
          <w:iCs/>
          <w:sz w:val="24"/>
          <w:szCs w:val="24"/>
        </w:rPr>
        <w:t>Podatkowoprawne uwarunkowania działalności szkół wyższych</w:t>
      </w:r>
      <w:r w:rsidR="00A751B9">
        <w:rPr>
          <w:rFonts w:ascii="Cambria" w:hAnsi="Cambria" w:cs="Times New Roman"/>
          <w:sz w:val="24"/>
          <w:szCs w:val="24"/>
        </w:rPr>
        <w:t xml:space="preserve">) – zrealizowany w latach 2020 – 2021 (ocena pozytywna); </w:t>
      </w:r>
      <w:bookmarkEnd w:id="10"/>
      <w:r w:rsidR="00A751B9">
        <w:rPr>
          <w:rFonts w:ascii="Cambria" w:hAnsi="Cambria" w:cs="Times New Roman"/>
          <w:sz w:val="24"/>
          <w:szCs w:val="24"/>
        </w:rPr>
        <w:t xml:space="preserve">pełniona </w:t>
      </w:r>
      <w:r w:rsidR="00A751B9" w:rsidRPr="00637DAF">
        <w:rPr>
          <w:rFonts w:ascii="Cambria" w:hAnsi="Cambria" w:cs="Times New Roman"/>
          <w:sz w:val="24"/>
          <w:szCs w:val="24"/>
        </w:rPr>
        <w:t>funkcja</w:t>
      </w:r>
      <w:r w:rsidR="00A751B9">
        <w:rPr>
          <w:rFonts w:ascii="Cambria" w:hAnsi="Cambria" w:cs="Times New Roman"/>
          <w:sz w:val="24"/>
          <w:szCs w:val="24"/>
        </w:rPr>
        <w:t>: Partner z projekcie (UMCS),</w:t>
      </w:r>
      <w:bookmarkStart w:id="11" w:name="_Hlk112678568"/>
    </w:p>
    <w:p w14:paraId="2A7FE427" w14:textId="79F9526F" w:rsidR="00AD3D29" w:rsidRDefault="00D16AF0" w:rsidP="0038603B">
      <w:pPr>
        <w:pStyle w:val="Akapitzlist"/>
        <w:numPr>
          <w:ilvl w:val="0"/>
          <w:numId w:val="29"/>
        </w:numPr>
        <w:jc w:val="both"/>
        <w:rPr>
          <w:rFonts w:ascii="Cambria" w:hAnsi="Cambria" w:cs="Times New Roman"/>
          <w:sz w:val="24"/>
          <w:szCs w:val="24"/>
        </w:rPr>
      </w:pPr>
      <w:r w:rsidRPr="00D16AF0">
        <w:rPr>
          <w:rFonts w:ascii="Cambria" w:hAnsi="Cambria" w:cs="Times New Roman"/>
          <w:sz w:val="24"/>
          <w:szCs w:val="24"/>
        </w:rPr>
        <w:t xml:space="preserve">w </w:t>
      </w:r>
      <w:r w:rsidR="00BE28CD">
        <w:rPr>
          <w:rFonts w:ascii="Cambria" w:hAnsi="Cambria" w:cs="Times New Roman"/>
          <w:sz w:val="24"/>
          <w:szCs w:val="24"/>
        </w:rPr>
        <w:t xml:space="preserve">pozytywnie ocenionych </w:t>
      </w:r>
      <w:r w:rsidRPr="00D16AF0">
        <w:rPr>
          <w:rFonts w:ascii="Cambria" w:hAnsi="Cambria" w:cs="Times New Roman"/>
          <w:sz w:val="24"/>
          <w:szCs w:val="24"/>
        </w:rPr>
        <w:t>rezultatach naukowych osiągniętych podczas</w:t>
      </w:r>
      <w:r w:rsidRPr="00D16AF0">
        <w:rPr>
          <w:rFonts w:ascii="Cambria" w:hAnsi="Cambria" w:cs="Times New Roman"/>
          <w:b/>
          <w:bCs/>
          <w:sz w:val="24"/>
          <w:szCs w:val="24"/>
        </w:rPr>
        <w:t xml:space="preserve"> </w:t>
      </w:r>
      <w:r w:rsidRPr="00D16AF0">
        <w:rPr>
          <w:rFonts w:ascii="Cambria" w:hAnsi="Cambria" w:cs="Times New Roman"/>
          <w:sz w:val="24"/>
          <w:szCs w:val="24"/>
        </w:rPr>
        <w:t>aktywności naukowej jako c</w:t>
      </w:r>
      <w:r w:rsidR="00AD3D29" w:rsidRPr="00D16AF0">
        <w:rPr>
          <w:rFonts w:ascii="Cambria" w:hAnsi="Cambria" w:cs="Times New Roman"/>
          <w:sz w:val="24"/>
          <w:szCs w:val="24"/>
        </w:rPr>
        <w:t xml:space="preserve">złonek – </w:t>
      </w:r>
      <w:r w:rsidRPr="00D16AF0">
        <w:rPr>
          <w:rFonts w:ascii="Cambria" w:hAnsi="Cambria" w:cs="Times New Roman"/>
          <w:sz w:val="24"/>
          <w:szCs w:val="24"/>
        </w:rPr>
        <w:t>k</w:t>
      </w:r>
      <w:r w:rsidR="00AD3D29" w:rsidRPr="00D16AF0">
        <w:rPr>
          <w:rFonts w:ascii="Cambria" w:hAnsi="Cambria" w:cs="Times New Roman"/>
          <w:sz w:val="24"/>
          <w:szCs w:val="24"/>
        </w:rPr>
        <w:t xml:space="preserve">oordynator (UMCS) </w:t>
      </w:r>
      <w:r w:rsidR="00AD3D29" w:rsidRPr="00D16AF0">
        <w:rPr>
          <w:rFonts w:ascii="Cambria" w:hAnsi="Cambria" w:cs="Times New Roman"/>
          <w:b/>
          <w:bCs/>
          <w:sz w:val="24"/>
          <w:szCs w:val="24"/>
        </w:rPr>
        <w:t>międzynarodowego projektu realizowanego w ramach Europejskiej Sieci Badawczej KULTAX</w:t>
      </w:r>
      <w:r w:rsidR="00AD3D29" w:rsidRPr="00D16AF0">
        <w:rPr>
          <w:rFonts w:ascii="Cambria" w:hAnsi="Cambria" w:cs="Times New Roman"/>
          <w:sz w:val="24"/>
          <w:szCs w:val="24"/>
        </w:rPr>
        <w:t xml:space="preserve"> – tytuł projektu: </w:t>
      </w:r>
      <w:r w:rsidR="00AD3D29" w:rsidRPr="00D16AF0">
        <w:rPr>
          <w:rFonts w:ascii="Cambria" w:hAnsi="Cambria" w:cs="Times New Roman"/>
          <w:i/>
          <w:iCs/>
          <w:sz w:val="24"/>
          <w:szCs w:val="24"/>
        </w:rPr>
        <w:t xml:space="preserve">Taxes in higher education </w:t>
      </w:r>
      <w:r w:rsidR="00AD3D29" w:rsidRPr="00D16AF0">
        <w:rPr>
          <w:rFonts w:ascii="Cambria" w:hAnsi="Cambria" w:cs="Times New Roman"/>
          <w:sz w:val="24"/>
          <w:szCs w:val="24"/>
        </w:rPr>
        <w:t xml:space="preserve">(2019 – 2020); </w:t>
      </w:r>
      <w:bookmarkEnd w:id="11"/>
      <w:r w:rsidR="00AD3D29" w:rsidRPr="00D16AF0">
        <w:rPr>
          <w:rFonts w:ascii="Cambria" w:hAnsi="Cambria" w:cs="Times New Roman"/>
          <w:sz w:val="24"/>
          <w:szCs w:val="24"/>
        </w:rPr>
        <w:t xml:space="preserve">Partnerzy Sieci Badawczej: Palacký University, Olomouc (Czechy), The University of Trnava (Słowacja), The University of Debrecen (Węgry), The Babeș-Bolyai University in Cluj-Napoca (Rumunia); Sulkhan Saba Orbeliani Teaching University in Tbilisi (Gruzja); </w:t>
      </w:r>
    </w:p>
    <w:p w14:paraId="6262F3D3" w14:textId="3ED7970B" w:rsidR="00122893" w:rsidRDefault="00480848" w:rsidP="0038603B">
      <w:pPr>
        <w:pStyle w:val="Akapitzlist"/>
        <w:numPr>
          <w:ilvl w:val="0"/>
          <w:numId w:val="45"/>
        </w:numPr>
        <w:jc w:val="both"/>
        <w:rPr>
          <w:rFonts w:ascii="Cambria" w:hAnsi="Cambria" w:cs="Times New Roman"/>
          <w:sz w:val="24"/>
          <w:szCs w:val="24"/>
        </w:rPr>
      </w:pPr>
      <w:r>
        <w:rPr>
          <w:rFonts w:ascii="Cambria" w:hAnsi="Cambria" w:cs="Times New Roman"/>
          <w:sz w:val="24"/>
          <w:szCs w:val="24"/>
        </w:rPr>
        <w:t xml:space="preserve">W tym zakresie wypada wspomnieć przede wszystkim na </w:t>
      </w:r>
      <w:r w:rsidR="00122893">
        <w:rPr>
          <w:rFonts w:ascii="Cambria" w:hAnsi="Cambria" w:cs="Times New Roman"/>
          <w:sz w:val="24"/>
          <w:szCs w:val="24"/>
        </w:rPr>
        <w:t xml:space="preserve">rozdziały w recenzowanych monografiach naukowych: </w:t>
      </w:r>
      <w:r w:rsidR="00122893" w:rsidRPr="00E50943">
        <w:rPr>
          <w:rFonts w:ascii="Times New Roman" w:hAnsi="Times New Roman"/>
          <w:bCs/>
          <w:i/>
          <w:iCs/>
          <w:sz w:val="24"/>
          <w:szCs w:val="24"/>
        </w:rPr>
        <w:t xml:space="preserve">Finansowoprawne aspekty wsparcia uczelni publicznych przez jednostki samorządu terytorialnego po wstąpieniu Polski do Unii </w:t>
      </w:r>
      <w:r w:rsidR="00122893" w:rsidRPr="00E50943">
        <w:rPr>
          <w:rFonts w:ascii="Times New Roman" w:hAnsi="Times New Roman"/>
          <w:bCs/>
          <w:sz w:val="24"/>
          <w:szCs w:val="24"/>
        </w:rPr>
        <w:t xml:space="preserve">Europejskiej, [w:] </w:t>
      </w:r>
      <w:r w:rsidR="00122893" w:rsidRPr="00E50943">
        <w:rPr>
          <w:rFonts w:ascii="Times New Roman" w:hAnsi="Times New Roman"/>
          <w:bCs/>
          <w:i/>
          <w:iCs/>
          <w:sz w:val="24"/>
          <w:szCs w:val="24"/>
        </w:rPr>
        <w:t xml:space="preserve">Wspólnotowy wymiar </w:t>
      </w:r>
      <w:r w:rsidR="00122893" w:rsidRPr="00E50943">
        <w:rPr>
          <w:rFonts w:ascii="Times New Roman" w:hAnsi="Times New Roman"/>
          <w:bCs/>
          <w:i/>
          <w:iCs/>
          <w:sz w:val="24"/>
          <w:szCs w:val="24"/>
        </w:rPr>
        <w:lastRenderedPageBreak/>
        <w:t>samorządu terytorialnego – rzeczywistość a oczekiwania</w:t>
      </w:r>
      <w:r w:rsidR="00122893" w:rsidRPr="00E50943">
        <w:rPr>
          <w:rFonts w:ascii="Times New Roman" w:hAnsi="Times New Roman"/>
          <w:bCs/>
          <w:sz w:val="24"/>
          <w:szCs w:val="24"/>
        </w:rPr>
        <w:t>, red. M. Stec, K. Małysa – Sulińska, Wolters Kluwer S. A., Warszawa 2022</w:t>
      </w:r>
      <w:r w:rsidR="00122893">
        <w:rPr>
          <w:rFonts w:ascii="Times New Roman" w:hAnsi="Times New Roman"/>
          <w:bCs/>
          <w:sz w:val="24"/>
          <w:szCs w:val="24"/>
        </w:rPr>
        <w:t>, s. 127-142</w:t>
      </w:r>
      <w:r w:rsidR="00BE28CD">
        <w:rPr>
          <w:rFonts w:ascii="Times New Roman" w:hAnsi="Times New Roman"/>
          <w:bCs/>
          <w:sz w:val="24"/>
          <w:szCs w:val="24"/>
        </w:rPr>
        <w:t xml:space="preserve"> (oddane do druku)</w:t>
      </w:r>
      <w:r w:rsidR="00122893">
        <w:rPr>
          <w:rFonts w:ascii="Times New Roman" w:hAnsi="Times New Roman"/>
          <w:bCs/>
          <w:sz w:val="24"/>
          <w:szCs w:val="24"/>
        </w:rPr>
        <w:t xml:space="preserve">; </w:t>
      </w:r>
      <w:r w:rsidR="00C235CF" w:rsidRPr="00E10187">
        <w:rPr>
          <w:rFonts w:ascii="Times New Roman" w:eastAsia="Times New Roman" w:hAnsi="Times New Roman"/>
          <w:i/>
          <w:iCs/>
          <w:sz w:val="24"/>
          <w:szCs w:val="24"/>
          <w:lang w:eastAsia="pl-PL"/>
        </w:rPr>
        <w:t>Opodatkowanie domów studenckich. Kilka uwag na tle orzecznictwa</w:t>
      </w:r>
      <w:r w:rsidR="00C235CF" w:rsidRPr="0056426E">
        <w:rPr>
          <w:rFonts w:ascii="Times New Roman" w:eastAsia="Times New Roman" w:hAnsi="Times New Roman"/>
          <w:sz w:val="24"/>
          <w:szCs w:val="24"/>
          <w:lang w:eastAsia="pl-PL"/>
        </w:rPr>
        <w:t xml:space="preserve">, [w:] </w:t>
      </w:r>
      <w:r w:rsidR="00C235CF" w:rsidRPr="00E10187">
        <w:rPr>
          <w:rFonts w:ascii="Times New Roman" w:eastAsia="Times New Roman" w:hAnsi="Times New Roman"/>
          <w:i/>
          <w:iCs/>
          <w:sz w:val="24"/>
          <w:szCs w:val="24"/>
          <w:lang w:eastAsia="pl-PL"/>
        </w:rPr>
        <w:t>Rodzina, prawo i kultura w zglobalizowanym świecie</w:t>
      </w:r>
      <w:r w:rsidR="00C235CF" w:rsidRPr="0056426E">
        <w:rPr>
          <w:rFonts w:ascii="Times New Roman" w:eastAsia="Times New Roman" w:hAnsi="Times New Roman"/>
          <w:sz w:val="24"/>
          <w:szCs w:val="24"/>
          <w:lang w:eastAsia="pl-PL"/>
        </w:rPr>
        <w:t xml:space="preserve">, red. J. Kozłowska, M. Iwaniuk, Lublin 2021, </w:t>
      </w:r>
      <w:r w:rsidR="00C235CF" w:rsidRPr="00C80920">
        <w:rPr>
          <w:rFonts w:ascii="Times New Roman" w:eastAsia="Times New Roman" w:hAnsi="Times New Roman"/>
          <w:sz w:val="24"/>
          <w:szCs w:val="24"/>
          <w:lang w:eastAsia="pl-PL"/>
        </w:rPr>
        <w:t>Wydawnictwo Naukowe TYGIEL</w:t>
      </w:r>
      <w:r w:rsidR="00C235CF">
        <w:rPr>
          <w:rFonts w:ascii="Times New Roman" w:eastAsia="Times New Roman" w:hAnsi="Times New Roman"/>
          <w:sz w:val="24"/>
          <w:szCs w:val="24"/>
          <w:lang w:eastAsia="pl-PL"/>
        </w:rPr>
        <w:t xml:space="preserve">, </w:t>
      </w:r>
      <w:r w:rsidR="00C235CF" w:rsidRPr="00E10187">
        <w:rPr>
          <w:rFonts w:ascii="Times New Roman" w:eastAsia="Times New Roman" w:hAnsi="Times New Roman"/>
          <w:sz w:val="24"/>
          <w:szCs w:val="24"/>
          <w:lang w:eastAsia="pl-PL"/>
        </w:rPr>
        <w:t>ISBN 978-83-66489-71-4</w:t>
      </w:r>
      <w:r w:rsidR="00C235CF">
        <w:rPr>
          <w:rFonts w:ascii="Times New Roman" w:eastAsia="Times New Roman" w:hAnsi="Times New Roman"/>
          <w:sz w:val="24"/>
          <w:szCs w:val="24"/>
          <w:lang w:eastAsia="pl-PL"/>
        </w:rPr>
        <w:t xml:space="preserve">, </w:t>
      </w:r>
      <w:r w:rsidR="00C235CF" w:rsidRPr="0056426E">
        <w:rPr>
          <w:rFonts w:ascii="Times New Roman" w:eastAsia="Times New Roman" w:hAnsi="Times New Roman"/>
          <w:sz w:val="24"/>
          <w:szCs w:val="24"/>
          <w:lang w:eastAsia="pl-PL"/>
        </w:rPr>
        <w:t>s. 76-85</w:t>
      </w:r>
      <w:r>
        <w:rPr>
          <w:rFonts w:ascii="Times New Roman" w:eastAsia="Times New Roman" w:hAnsi="Times New Roman"/>
          <w:sz w:val="24"/>
          <w:szCs w:val="24"/>
          <w:lang w:eastAsia="pl-PL"/>
        </w:rPr>
        <w:t xml:space="preserve">; </w:t>
      </w:r>
      <w:r w:rsidRPr="00EE265E">
        <w:rPr>
          <w:rFonts w:ascii="Times New Roman" w:eastAsia="Times New Roman" w:hAnsi="Times New Roman"/>
          <w:i/>
          <w:iCs/>
          <w:sz w:val="24"/>
          <w:szCs w:val="24"/>
          <w:lang w:eastAsia="pl-PL"/>
        </w:rPr>
        <w:t>Opłata roczna za aplikację radcowską jako koszt uzyskania przychodu</w:t>
      </w:r>
      <w:r w:rsidRPr="003E593B">
        <w:rPr>
          <w:rFonts w:ascii="Times New Roman" w:eastAsia="Times New Roman" w:hAnsi="Times New Roman"/>
          <w:sz w:val="24"/>
          <w:szCs w:val="24"/>
          <w:lang w:eastAsia="pl-PL"/>
        </w:rPr>
        <w:t xml:space="preserve">, [w:] </w:t>
      </w:r>
      <w:r w:rsidRPr="00EE265E">
        <w:rPr>
          <w:rFonts w:ascii="Times New Roman" w:eastAsia="Times New Roman" w:hAnsi="Times New Roman"/>
          <w:i/>
          <w:iCs/>
          <w:sz w:val="24"/>
          <w:szCs w:val="24"/>
          <w:lang w:eastAsia="pl-PL"/>
        </w:rPr>
        <w:t>Bezpieczeństwo prawne państwa i podatnika a sprawiedliwy system podatkowy</w:t>
      </w:r>
      <w:r w:rsidRPr="003E593B">
        <w:rPr>
          <w:rFonts w:ascii="Times New Roman" w:eastAsia="Times New Roman" w:hAnsi="Times New Roman"/>
          <w:sz w:val="24"/>
          <w:szCs w:val="24"/>
          <w:lang w:eastAsia="pl-PL"/>
        </w:rPr>
        <w:t>, red. J. Krukowski, M. Sitarz, A. Romanko, Stowarzyszenie Absolwentów i Przyjaciół Wydziału Prawa Katolickiego Uniwersytetu Lubelskiego, Lublin 2020, s. 191-209</w:t>
      </w:r>
    </w:p>
    <w:p w14:paraId="299C1CA2" w14:textId="4F7F10F2" w:rsidR="00122893" w:rsidRPr="00BE28CD" w:rsidRDefault="00122893" w:rsidP="0038603B">
      <w:pPr>
        <w:pStyle w:val="Akapitzlist"/>
        <w:numPr>
          <w:ilvl w:val="0"/>
          <w:numId w:val="45"/>
        </w:numPr>
        <w:jc w:val="both"/>
        <w:rPr>
          <w:rFonts w:ascii="Cambria" w:hAnsi="Cambria" w:cs="Times New Roman"/>
          <w:sz w:val="24"/>
          <w:szCs w:val="24"/>
        </w:rPr>
      </w:pPr>
      <w:r>
        <w:rPr>
          <w:rFonts w:ascii="Cambria" w:hAnsi="Cambria" w:cs="Times New Roman"/>
          <w:sz w:val="24"/>
          <w:szCs w:val="24"/>
        </w:rPr>
        <w:t xml:space="preserve">Opublikowane artykuły w czasopismach naukowych: </w:t>
      </w:r>
      <w:r w:rsidRPr="00EE265E">
        <w:rPr>
          <w:rFonts w:ascii="Times New Roman" w:eastAsia="Times New Roman" w:hAnsi="Times New Roman"/>
          <w:i/>
          <w:iCs/>
          <w:sz w:val="24"/>
          <w:szCs w:val="24"/>
          <w:lang w:eastAsia="pl-PL"/>
        </w:rPr>
        <w:t>Przekazanie przez uczelnię nieruchomości w posiadanie zależne a stosowanie zwolnienia podatkowego. Glosa częściowo aprobująca do wyroku Wojewódzkiego Sądu Administracyjnego w Gorzowie Wielkopolskim z dnia 20 listopada 2019 r., I SA/Go 668/19, LEX nr 2749256</w:t>
      </w:r>
      <w:r w:rsidRPr="00C871F3">
        <w:rPr>
          <w:rFonts w:ascii="Times New Roman" w:eastAsia="Times New Roman" w:hAnsi="Times New Roman"/>
          <w:sz w:val="24"/>
          <w:szCs w:val="24"/>
          <w:lang w:eastAsia="pl-PL"/>
        </w:rPr>
        <w:t xml:space="preserve"> (współautor: P. Smoleń), „Studia Prawnicze KUL” 2021, </w:t>
      </w:r>
      <w:r>
        <w:rPr>
          <w:rFonts w:ascii="Times New Roman" w:eastAsia="Times New Roman" w:hAnsi="Times New Roman"/>
          <w:sz w:val="24"/>
          <w:szCs w:val="24"/>
          <w:lang w:eastAsia="pl-PL"/>
        </w:rPr>
        <w:t>n</w:t>
      </w:r>
      <w:r w:rsidRPr="00C871F3">
        <w:rPr>
          <w:rFonts w:ascii="Times New Roman" w:eastAsia="Times New Roman" w:hAnsi="Times New Roman"/>
          <w:sz w:val="24"/>
          <w:szCs w:val="24"/>
          <w:lang w:eastAsia="pl-PL"/>
        </w:rPr>
        <w:t xml:space="preserve">r 1(85), s. 307-320, DOI: </w:t>
      </w:r>
      <w:r w:rsidR="00C235CF" w:rsidRPr="00480848">
        <w:rPr>
          <w:rFonts w:ascii="Times New Roman" w:eastAsia="Times New Roman" w:hAnsi="Times New Roman"/>
          <w:sz w:val="24"/>
          <w:szCs w:val="24"/>
          <w:lang w:eastAsia="pl-PL"/>
        </w:rPr>
        <w:t>https://doi.org/10.31743/sp.11152</w:t>
      </w:r>
      <w:r w:rsidR="00C235CF">
        <w:rPr>
          <w:rFonts w:ascii="Times New Roman" w:eastAsia="Times New Roman" w:hAnsi="Times New Roman"/>
          <w:sz w:val="24"/>
          <w:szCs w:val="24"/>
          <w:lang w:eastAsia="pl-PL"/>
        </w:rPr>
        <w:t xml:space="preserve">; </w:t>
      </w:r>
      <w:r w:rsidR="00C235CF" w:rsidRPr="00C235CF">
        <w:rPr>
          <w:rFonts w:ascii="Times New Roman" w:eastAsia="Times New Roman" w:hAnsi="Times New Roman"/>
          <w:i/>
          <w:iCs/>
          <w:sz w:val="24"/>
          <w:szCs w:val="24"/>
          <w:lang w:eastAsia="pl-PL"/>
        </w:rPr>
        <w:t xml:space="preserve">Financial-Law Problems in Providing Free-of-Charge Legal Aid in Poland. </w:t>
      </w:r>
      <w:r w:rsidR="00C235CF" w:rsidRPr="00C52AC5">
        <w:rPr>
          <w:rFonts w:ascii="Times New Roman" w:eastAsia="Times New Roman" w:hAnsi="Times New Roman"/>
          <w:i/>
          <w:iCs/>
          <w:sz w:val="24"/>
          <w:szCs w:val="24"/>
          <w:lang w:eastAsia="pl-PL"/>
        </w:rPr>
        <w:t xml:space="preserve">Legal Comparative Aspects. </w:t>
      </w:r>
      <w:r w:rsidR="00C235CF" w:rsidRPr="00480848">
        <w:rPr>
          <w:rFonts w:ascii="Times New Roman" w:eastAsia="Times New Roman" w:hAnsi="Times New Roman"/>
          <w:i/>
          <w:iCs/>
          <w:sz w:val="24"/>
          <w:szCs w:val="24"/>
          <w:lang w:eastAsia="pl-PL"/>
        </w:rPr>
        <w:t>Review of European and Comparative Law</w:t>
      </w:r>
      <w:r w:rsidR="00C235CF" w:rsidRPr="00480848">
        <w:rPr>
          <w:rFonts w:ascii="Times New Roman" w:eastAsia="Times New Roman" w:hAnsi="Times New Roman"/>
          <w:sz w:val="24"/>
          <w:szCs w:val="24"/>
          <w:lang w:eastAsia="pl-PL"/>
        </w:rPr>
        <w:t xml:space="preserve"> 2021, Nr 44(1), s. 103-126. </w:t>
      </w:r>
      <w:r w:rsidR="00480848" w:rsidRPr="00480848">
        <w:rPr>
          <w:rFonts w:ascii="Times New Roman" w:eastAsia="Times New Roman" w:hAnsi="Times New Roman"/>
          <w:sz w:val="24"/>
          <w:szCs w:val="24"/>
          <w:lang w:eastAsia="pl-PL"/>
        </w:rPr>
        <w:t>https://doi.org/10.31743/recl.11495</w:t>
      </w:r>
      <w:r w:rsidR="00C235CF" w:rsidRPr="00480848">
        <w:rPr>
          <w:rFonts w:ascii="Times New Roman" w:eastAsia="Times New Roman" w:hAnsi="Times New Roman"/>
          <w:sz w:val="24"/>
          <w:szCs w:val="24"/>
          <w:lang w:eastAsia="pl-PL"/>
        </w:rPr>
        <w:t>;</w:t>
      </w:r>
      <w:r w:rsidR="00480848">
        <w:rPr>
          <w:rFonts w:ascii="Times New Roman" w:eastAsia="Times New Roman" w:hAnsi="Times New Roman"/>
          <w:sz w:val="24"/>
          <w:szCs w:val="24"/>
          <w:lang w:eastAsia="pl-PL"/>
        </w:rPr>
        <w:t xml:space="preserve"> </w:t>
      </w:r>
      <w:r w:rsidR="00480848" w:rsidRPr="00C871F3">
        <w:rPr>
          <w:rFonts w:ascii="Times New Roman" w:eastAsia="Times New Roman" w:hAnsi="Times New Roman"/>
          <w:i/>
          <w:iCs/>
          <w:sz w:val="24"/>
          <w:szCs w:val="24"/>
          <w:lang w:eastAsia="pl-PL"/>
        </w:rPr>
        <w:t>Aspekty podatkowoprawne świadczenia nieodpłatnej pomocy prawnej przez radcę prawnego</w:t>
      </w:r>
      <w:r w:rsidR="00480848" w:rsidRPr="00C871F3">
        <w:rPr>
          <w:rFonts w:ascii="Times New Roman" w:eastAsia="Times New Roman" w:hAnsi="Times New Roman"/>
          <w:sz w:val="24"/>
          <w:szCs w:val="24"/>
          <w:lang w:eastAsia="pl-PL"/>
        </w:rPr>
        <w:t xml:space="preserve">, </w:t>
      </w:r>
      <w:r w:rsidR="00480848">
        <w:rPr>
          <w:rFonts w:ascii="Times New Roman" w:eastAsia="Times New Roman" w:hAnsi="Times New Roman"/>
          <w:sz w:val="24"/>
          <w:szCs w:val="24"/>
          <w:lang w:eastAsia="pl-PL"/>
        </w:rPr>
        <w:t>„</w:t>
      </w:r>
      <w:r w:rsidR="00480848" w:rsidRPr="00C871F3">
        <w:rPr>
          <w:rFonts w:ascii="Times New Roman" w:eastAsia="Times New Roman" w:hAnsi="Times New Roman"/>
          <w:sz w:val="24"/>
          <w:szCs w:val="24"/>
          <w:lang w:eastAsia="pl-PL"/>
        </w:rPr>
        <w:t>Teka Komisji Prawniczej PAN Oddział w Lublinie</w:t>
      </w:r>
      <w:r w:rsidR="00480848">
        <w:rPr>
          <w:rFonts w:ascii="Times New Roman" w:eastAsia="Times New Roman" w:hAnsi="Times New Roman"/>
          <w:sz w:val="24"/>
          <w:szCs w:val="24"/>
          <w:lang w:eastAsia="pl-PL"/>
        </w:rPr>
        <w:t>”</w:t>
      </w:r>
      <w:r w:rsidR="00480848" w:rsidRPr="00C871F3">
        <w:rPr>
          <w:rFonts w:ascii="Times New Roman" w:eastAsia="Times New Roman" w:hAnsi="Times New Roman"/>
          <w:sz w:val="24"/>
          <w:szCs w:val="24"/>
          <w:lang w:eastAsia="pl-PL"/>
        </w:rPr>
        <w:t>, t</w:t>
      </w:r>
      <w:r w:rsidR="00480848">
        <w:rPr>
          <w:rFonts w:ascii="Times New Roman" w:eastAsia="Times New Roman" w:hAnsi="Times New Roman"/>
          <w:sz w:val="24"/>
          <w:szCs w:val="24"/>
          <w:lang w:eastAsia="pl-PL"/>
        </w:rPr>
        <w:t>om</w:t>
      </w:r>
      <w:r w:rsidR="00480848" w:rsidRPr="00C871F3">
        <w:rPr>
          <w:rFonts w:ascii="Times New Roman" w:eastAsia="Times New Roman" w:hAnsi="Times New Roman"/>
          <w:sz w:val="24"/>
          <w:szCs w:val="24"/>
          <w:lang w:eastAsia="pl-PL"/>
        </w:rPr>
        <w:t xml:space="preserve"> XIII, 2020, nr 2, s. 493-504</w:t>
      </w:r>
      <w:r w:rsidR="00480848">
        <w:rPr>
          <w:rFonts w:ascii="Times New Roman" w:eastAsia="Times New Roman" w:hAnsi="Times New Roman"/>
          <w:sz w:val="24"/>
          <w:szCs w:val="24"/>
          <w:lang w:eastAsia="pl-PL"/>
        </w:rPr>
        <w:t>,</w:t>
      </w:r>
      <w:r w:rsidR="00480848" w:rsidRPr="00C871F3">
        <w:rPr>
          <w:rFonts w:ascii="Times New Roman" w:eastAsia="Times New Roman" w:hAnsi="Times New Roman"/>
          <w:sz w:val="24"/>
          <w:szCs w:val="24"/>
          <w:lang w:eastAsia="pl-PL"/>
        </w:rPr>
        <w:t xml:space="preserve"> </w:t>
      </w:r>
      <w:hyperlink r:id="rId13" w:history="1">
        <w:r w:rsidR="00BE28CD" w:rsidRPr="002B2FDD">
          <w:rPr>
            <w:rStyle w:val="Hipercze"/>
            <w:rFonts w:ascii="Times New Roman" w:eastAsia="Times New Roman" w:hAnsi="Times New Roman"/>
            <w:sz w:val="24"/>
            <w:szCs w:val="24"/>
            <w:lang w:eastAsia="pl-PL"/>
          </w:rPr>
          <w:t>https://doi.org/10.32084/tekapr.2020.13.2-38</w:t>
        </w:r>
      </w:hyperlink>
      <w:r w:rsidR="00BE28CD">
        <w:rPr>
          <w:rFonts w:ascii="Times New Roman" w:eastAsia="Times New Roman" w:hAnsi="Times New Roman"/>
          <w:sz w:val="24"/>
          <w:szCs w:val="24"/>
          <w:lang w:eastAsia="pl-PL"/>
        </w:rPr>
        <w:t>;</w:t>
      </w:r>
    </w:p>
    <w:p w14:paraId="1DB6D27E" w14:textId="77777777" w:rsidR="00BE28CD" w:rsidRPr="00480848" w:rsidRDefault="00BE28CD" w:rsidP="00BE28CD">
      <w:pPr>
        <w:pStyle w:val="Akapitzlist"/>
        <w:ind w:left="3217"/>
        <w:jc w:val="both"/>
        <w:rPr>
          <w:rFonts w:ascii="Cambria" w:hAnsi="Cambria" w:cs="Times New Roman"/>
          <w:sz w:val="24"/>
          <w:szCs w:val="24"/>
        </w:rPr>
      </w:pPr>
    </w:p>
    <w:p w14:paraId="324600D9" w14:textId="2012712C" w:rsidR="00480848" w:rsidRDefault="007F42BD" w:rsidP="0038603B">
      <w:pPr>
        <w:pStyle w:val="Akapitzlist"/>
        <w:numPr>
          <w:ilvl w:val="0"/>
          <w:numId w:val="38"/>
        </w:numPr>
        <w:spacing w:after="0" w:line="240" w:lineRule="auto"/>
        <w:jc w:val="both"/>
        <w:rPr>
          <w:rFonts w:ascii="Cambria" w:hAnsi="Cambria" w:cs="Times New Roman"/>
          <w:sz w:val="24"/>
          <w:szCs w:val="24"/>
        </w:rPr>
      </w:pPr>
      <w:r w:rsidRPr="00480848">
        <w:rPr>
          <w:rFonts w:ascii="Cambria" w:hAnsi="Cambria" w:cs="Times New Roman"/>
          <w:b/>
          <w:bCs/>
          <w:sz w:val="24"/>
          <w:szCs w:val="24"/>
        </w:rPr>
        <w:t xml:space="preserve">Gwarancje stron w postępowaniu </w:t>
      </w:r>
      <w:r w:rsidR="006A2ACC">
        <w:rPr>
          <w:rFonts w:ascii="Cambria" w:hAnsi="Cambria" w:cs="Times New Roman"/>
          <w:b/>
          <w:bCs/>
          <w:sz w:val="24"/>
          <w:szCs w:val="24"/>
        </w:rPr>
        <w:t>sądowym i pozasądowym</w:t>
      </w:r>
      <w:r w:rsidRPr="00480848">
        <w:rPr>
          <w:rFonts w:ascii="Cambria" w:hAnsi="Cambria" w:cs="Times New Roman"/>
          <w:b/>
          <w:bCs/>
          <w:sz w:val="24"/>
          <w:szCs w:val="24"/>
        </w:rPr>
        <w:t xml:space="preserve">, z uwzględnieniem elementów prawa międzynarodowego i nowych technologii (w </w:t>
      </w:r>
      <w:r w:rsidR="00480848" w:rsidRPr="00480848">
        <w:rPr>
          <w:rFonts w:ascii="Cambria" w:hAnsi="Cambria" w:cs="Times New Roman"/>
          <w:b/>
          <w:bCs/>
          <w:sz w:val="24"/>
          <w:szCs w:val="24"/>
        </w:rPr>
        <w:t xml:space="preserve">szczególności w </w:t>
      </w:r>
      <w:r w:rsidRPr="00480848">
        <w:rPr>
          <w:rFonts w:ascii="Cambria" w:hAnsi="Cambria" w:cs="Times New Roman"/>
          <w:b/>
          <w:bCs/>
          <w:sz w:val="24"/>
          <w:szCs w:val="24"/>
        </w:rPr>
        <w:t>kontekście bezpieczeństwa publicznego)</w:t>
      </w:r>
      <w:r w:rsidR="00D16AF0" w:rsidRPr="00480848">
        <w:rPr>
          <w:rFonts w:ascii="Cambria" w:hAnsi="Cambria" w:cs="Times New Roman"/>
          <w:b/>
          <w:bCs/>
          <w:sz w:val="24"/>
          <w:szCs w:val="24"/>
        </w:rPr>
        <w:t xml:space="preserve">; </w:t>
      </w:r>
      <w:r w:rsidR="00480848">
        <w:rPr>
          <w:rFonts w:ascii="Cambria" w:hAnsi="Cambria" w:cs="Times New Roman"/>
          <w:sz w:val="24"/>
          <w:szCs w:val="24"/>
        </w:rPr>
        <w:t>badania we wspomnianym obszarze znajdują odzwierciedlenie zwłaszcza:</w:t>
      </w:r>
    </w:p>
    <w:p w14:paraId="7E8C5802" w14:textId="77777777" w:rsidR="00BE28CD" w:rsidRPr="00122893" w:rsidRDefault="00BE28CD" w:rsidP="00BE28CD">
      <w:pPr>
        <w:pStyle w:val="Akapitzlist"/>
        <w:spacing w:after="0" w:line="240" w:lineRule="auto"/>
        <w:ind w:left="1777"/>
        <w:jc w:val="both"/>
        <w:rPr>
          <w:rFonts w:ascii="Cambria" w:hAnsi="Cambria" w:cs="Times New Roman"/>
          <w:sz w:val="24"/>
          <w:szCs w:val="24"/>
        </w:rPr>
      </w:pPr>
    </w:p>
    <w:p w14:paraId="4C2ACE14" w14:textId="24B10425" w:rsidR="00A751B9" w:rsidRPr="00480848" w:rsidRDefault="00D16AF0" w:rsidP="0038603B">
      <w:pPr>
        <w:pStyle w:val="Akapitzlist"/>
        <w:numPr>
          <w:ilvl w:val="0"/>
          <w:numId w:val="28"/>
        </w:numPr>
        <w:spacing w:after="0" w:line="240" w:lineRule="auto"/>
        <w:jc w:val="both"/>
        <w:rPr>
          <w:rFonts w:ascii="Cambria" w:hAnsi="Cambria" w:cs="Times New Roman"/>
          <w:b/>
          <w:bCs/>
          <w:sz w:val="24"/>
          <w:szCs w:val="24"/>
        </w:rPr>
      </w:pPr>
      <w:r w:rsidRPr="00480848">
        <w:rPr>
          <w:rFonts w:ascii="Cambria" w:hAnsi="Cambria" w:cs="Times New Roman"/>
          <w:sz w:val="24"/>
          <w:szCs w:val="24"/>
        </w:rPr>
        <w:t xml:space="preserve">w </w:t>
      </w:r>
      <w:r w:rsidR="00480848">
        <w:rPr>
          <w:rFonts w:ascii="Cambria" w:hAnsi="Cambria" w:cs="Times New Roman"/>
          <w:sz w:val="24"/>
          <w:szCs w:val="24"/>
        </w:rPr>
        <w:t xml:space="preserve">pozytywnie ocenionych </w:t>
      </w:r>
      <w:r w:rsidRPr="00480848">
        <w:rPr>
          <w:rFonts w:ascii="Cambria" w:hAnsi="Cambria" w:cs="Times New Roman"/>
          <w:sz w:val="24"/>
          <w:szCs w:val="24"/>
        </w:rPr>
        <w:t xml:space="preserve">rezultatach naukowych osiągniętych podczas realizacji </w:t>
      </w:r>
      <w:r w:rsidR="00A751B9" w:rsidRPr="00480848">
        <w:rPr>
          <w:rFonts w:ascii="Cambria" w:hAnsi="Cambria" w:cs="Times New Roman"/>
          <w:b/>
          <w:bCs/>
          <w:sz w:val="24"/>
          <w:szCs w:val="24"/>
        </w:rPr>
        <w:t>konkursu o przyznanie środków z dotacji celowej na prowadzenie badań naukowych lub prac rozwojowych służących rozwojowi młodych naukowców</w:t>
      </w:r>
      <w:r w:rsidR="00A751B9" w:rsidRPr="00480848">
        <w:rPr>
          <w:rFonts w:ascii="Cambria" w:hAnsi="Cambria" w:cs="Times New Roman"/>
          <w:sz w:val="24"/>
          <w:szCs w:val="24"/>
        </w:rPr>
        <w:t xml:space="preserve"> WPiA UMCS w Lublinie (tytuł projektu: </w:t>
      </w:r>
      <w:r w:rsidR="00A751B9" w:rsidRPr="00480848">
        <w:rPr>
          <w:rFonts w:ascii="Cambria" w:hAnsi="Cambria" w:cs="Times New Roman"/>
          <w:i/>
          <w:iCs/>
          <w:sz w:val="24"/>
          <w:szCs w:val="24"/>
        </w:rPr>
        <w:t>Wykorzystanie nowych technologii w wykonywaniu zawodów prawniczych</w:t>
      </w:r>
      <w:r w:rsidR="00A751B9" w:rsidRPr="00480848">
        <w:rPr>
          <w:rFonts w:ascii="Cambria" w:hAnsi="Cambria" w:cs="Times New Roman"/>
          <w:sz w:val="24"/>
          <w:szCs w:val="24"/>
        </w:rPr>
        <w:t>) – zrealizowany w latach 2018 – 2020 (ocena pozytywna); pełniona funkcja: Kierownik Zespołu badawczego</w:t>
      </w:r>
      <w:r w:rsidR="00AD3D29" w:rsidRPr="00480848">
        <w:rPr>
          <w:rFonts w:ascii="Cambria" w:hAnsi="Cambria" w:cs="Times New Roman"/>
          <w:sz w:val="24"/>
          <w:szCs w:val="24"/>
        </w:rPr>
        <w:t>;</w:t>
      </w:r>
    </w:p>
    <w:p w14:paraId="768176B3" w14:textId="4332EEB3" w:rsidR="005C06CC" w:rsidRPr="00682072" w:rsidRDefault="00D16AF0" w:rsidP="0038603B">
      <w:pPr>
        <w:pStyle w:val="Akapitzlist"/>
        <w:numPr>
          <w:ilvl w:val="0"/>
          <w:numId w:val="28"/>
        </w:numPr>
        <w:jc w:val="both"/>
        <w:rPr>
          <w:rFonts w:ascii="Cambria" w:hAnsi="Cambria" w:cs="Times New Roman"/>
          <w:b/>
          <w:bCs/>
          <w:sz w:val="24"/>
          <w:szCs w:val="24"/>
        </w:rPr>
      </w:pPr>
      <w:r w:rsidRPr="00FC0F82">
        <w:rPr>
          <w:rFonts w:ascii="Cambria" w:hAnsi="Cambria" w:cs="Times New Roman"/>
          <w:sz w:val="24"/>
          <w:szCs w:val="24"/>
        </w:rPr>
        <w:t xml:space="preserve">w </w:t>
      </w:r>
      <w:r w:rsidR="00480848">
        <w:rPr>
          <w:rFonts w:ascii="Cambria" w:hAnsi="Cambria" w:cs="Times New Roman"/>
          <w:sz w:val="24"/>
          <w:szCs w:val="24"/>
        </w:rPr>
        <w:t xml:space="preserve">pozytywnie ocenionych </w:t>
      </w:r>
      <w:r w:rsidRPr="00FC0F82">
        <w:rPr>
          <w:rFonts w:ascii="Cambria" w:hAnsi="Cambria" w:cs="Times New Roman"/>
          <w:sz w:val="24"/>
          <w:szCs w:val="24"/>
        </w:rPr>
        <w:t>rezultatach naukowych osiągniętych podczas</w:t>
      </w:r>
      <w:r>
        <w:rPr>
          <w:rFonts w:ascii="Cambria" w:hAnsi="Cambria" w:cs="Times New Roman"/>
          <w:sz w:val="24"/>
          <w:szCs w:val="24"/>
        </w:rPr>
        <w:t xml:space="preserve"> realizacji jako k</w:t>
      </w:r>
      <w:r w:rsidR="00AD3D29" w:rsidRPr="00F07371">
        <w:rPr>
          <w:rFonts w:ascii="Cambria" w:hAnsi="Cambria" w:cs="Times New Roman"/>
          <w:b/>
          <w:bCs/>
          <w:sz w:val="24"/>
          <w:szCs w:val="24"/>
        </w:rPr>
        <w:t>ierownik</w:t>
      </w:r>
      <w:r w:rsidR="00AD3D29" w:rsidRPr="00F07371">
        <w:rPr>
          <w:rFonts w:ascii="Cambria" w:hAnsi="Cambria" w:cs="Times New Roman"/>
          <w:sz w:val="24"/>
          <w:szCs w:val="24"/>
        </w:rPr>
        <w:t xml:space="preserve"> </w:t>
      </w:r>
      <w:r w:rsidR="00AD3D29" w:rsidRPr="00F07371">
        <w:rPr>
          <w:rFonts w:ascii="Cambria" w:hAnsi="Cambria" w:cs="Times New Roman"/>
          <w:b/>
          <w:bCs/>
          <w:sz w:val="24"/>
          <w:szCs w:val="24"/>
        </w:rPr>
        <w:t xml:space="preserve">projektów realizowanych w </w:t>
      </w:r>
      <w:r w:rsidR="00AD3D29" w:rsidRPr="00F07371">
        <w:rPr>
          <w:rFonts w:ascii="Cambria" w:hAnsi="Cambria" w:cs="Times New Roman"/>
          <w:b/>
          <w:bCs/>
          <w:sz w:val="24"/>
          <w:szCs w:val="24"/>
        </w:rPr>
        <w:lastRenderedPageBreak/>
        <w:t xml:space="preserve">ramach współpracy międzynarodowej </w:t>
      </w:r>
      <w:r w:rsidR="00AD3D29" w:rsidRPr="00F07371">
        <w:rPr>
          <w:rFonts w:ascii="Cambria" w:hAnsi="Cambria" w:cs="Times New Roman"/>
          <w:sz w:val="24"/>
          <w:szCs w:val="24"/>
        </w:rPr>
        <w:t xml:space="preserve">pt. </w:t>
      </w:r>
      <w:r w:rsidR="00AD3D29" w:rsidRPr="00F07371">
        <w:rPr>
          <w:rFonts w:ascii="Cambria" w:hAnsi="Cambria" w:cs="Times New Roman"/>
          <w:i/>
          <w:iCs/>
          <w:sz w:val="24"/>
          <w:szCs w:val="24"/>
        </w:rPr>
        <w:t>Bezpieczeństwo globalne w XXI w. Środowisko bezpieczeństwa dla Polski</w:t>
      </w:r>
      <w:r w:rsidR="00AD3D29" w:rsidRPr="00F07371">
        <w:rPr>
          <w:rFonts w:ascii="Cambria" w:hAnsi="Cambria" w:cs="Times New Roman"/>
          <w:sz w:val="24"/>
          <w:szCs w:val="24"/>
        </w:rPr>
        <w:t xml:space="preserve"> (zrealizowany w latach 2020 – 2021 r.) oraz </w:t>
      </w:r>
      <w:r w:rsidR="00AD3D29" w:rsidRPr="00F07371">
        <w:rPr>
          <w:rFonts w:ascii="Cambria" w:hAnsi="Cambria" w:cs="Times New Roman"/>
          <w:i/>
          <w:iCs/>
          <w:sz w:val="24"/>
          <w:szCs w:val="24"/>
        </w:rPr>
        <w:t xml:space="preserve">Globalizacja vs. Glokalizacja. Świat i Polska w czasach nowożytnych i najnowszych </w:t>
      </w:r>
      <w:r w:rsidR="00AD3D29" w:rsidRPr="00F07371">
        <w:rPr>
          <w:rFonts w:ascii="Cambria" w:hAnsi="Cambria" w:cs="Times New Roman"/>
          <w:sz w:val="24"/>
          <w:szCs w:val="24"/>
        </w:rPr>
        <w:t xml:space="preserve">(2021 – 2022); Partnerzy naukowi m. in. </w:t>
      </w:r>
      <w:r w:rsidR="00AD3D29" w:rsidRPr="00682072">
        <w:rPr>
          <w:rFonts w:ascii="Cambria" w:hAnsi="Cambria" w:cs="Times New Roman"/>
          <w:sz w:val="24"/>
          <w:szCs w:val="24"/>
        </w:rPr>
        <w:t xml:space="preserve">University of Gjakova Fehmi Agani w Kosowie, University of Prizren w Kosowie, Daugavpils University w Dyneburgu na Łotwie, University of Roehampton w Londynie, Vytautas Magnus University w Wilnie, Cyprus Science University; </w:t>
      </w:r>
    </w:p>
    <w:p w14:paraId="74D95416" w14:textId="73E712D2" w:rsidR="005C06CC" w:rsidRPr="00480848" w:rsidRDefault="00480848" w:rsidP="0038603B">
      <w:pPr>
        <w:pStyle w:val="Akapitzlist"/>
        <w:numPr>
          <w:ilvl w:val="0"/>
          <w:numId w:val="46"/>
        </w:numPr>
        <w:spacing w:after="0" w:line="240" w:lineRule="auto"/>
        <w:jc w:val="both"/>
        <w:rPr>
          <w:rFonts w:ascii="Cambria" w:hAnsi="Cambria" w:cs="Times New Roman"/>
          <w:sz w:val="24"/>
          <w:szCs w:val="24"/>
        </w:rPr>
      </w:pPr>
      <w:r w:rsidRPr="00480848">
        <w:rPr>
          <w:rFonts w:ascii="Cambria" w:hAnsi="Cambria" w:cs="Times New Roman"/>
          <w:sz w:val="24"/>
          <w:szCs w:val="24"/>
        </w:rPr>
        <w:t xml:space="preserve">W tym zakresie wypada wspomnieć przede wszystkim na </w:t>
      </w:r>
      <w:r w:rsidR="0038603B">
        <w:rPr>
          <w:rFonts w:ascii="Cambria" w:hAnsi="Cambria" w:cs="Times New Roman"/>
          <w:sz w:val="24"/>
          <w:szCs w:val="24"/>
        </w:rPr>
        <w:t xml:space="preserve">redakcję naukową recenzowanych monografii naukowych: </w:t>
      </w:r>
      <w:r w:rsidR="0038603B" w:rsidRPr="00E25BC7">
        <w:rPr>
          <w:rFonts w:ascii="Times New Roman" w:eastAsia="Times New Roman" w:hAnsi="Times New Roman"/>
          <w:i/>
          <w:iCs/>
          <w:sz w:val="24"/>
          <w:szCs w:val="24"/>
          <w:lang w:eastAsia="pl-PL"/>
        </w:rPr>
        <w:t>Bezpieczeństwo globalne w XXI wieku. Środowisko bezpieczeństwa dla Polski</w:t>
      </w:r>
      <w:r w:rsidR="0038603B" w:rsidRPr="0056426E">
        <w:rPr>
          <w:rFonts w:ascii="Times New Roman" w:eastAsia="Times New Roman" w:hAnsi="Times New Roman"/>
          <w:sz w:val="24"/>
          <w:szCs w:val="24"/>
          <w:lang w:eastAsia="pl-PL"/>
        </w:rPr>
        <w:t xml:space="preserve">, red. M. Świstak, </w:t>
      </w:r>
      <w:r w:rsidR="0038603B">
        <w:rPr>
          <w:rFonts w:ascii="Times New Roman" w:eastAsia="Times New Roman" w:hAnsi="Times New Roman"/>
          <w:sz w:val="24"/>
          <w:szCs w:val="24"/>
          <w:lang w:eastAsia="pl-PL"/>
        </w:rPr>
        <w:t xml:space="preserve">Wydawnictwo Naukowe </w:t>
      </w:r>
      <w:r w:rsidR="0038603B" w:rsidRPr="00CD5357">
        <w:rPr>
          <w:rFonts w:ascii="Times New Roman" w:eastAsia="Times New Roman" w:hAnsi="Times New Roman"/>
          <w:sz w:val="24"/>
          <w:szCs w:val="24"/>
          <w:lang w:eastAsia="pl-PL"/>
        </w:rPr>
        <w:t>ArchaeGraph</w:t>
      </w:r>
      <w:r w:rsidR="0038603B">
        <w:rPr>
          <w:rFonts w:ascii="Times New Roman" w:eastAsia="Times New Roman" w:hAnsi="Times New Roman"/>
          <w:sz w:val="24"/>
          <w:szCs w:val="24"/>
          <w:lang w:eastAsia="pl-PL"/>
        </w:rPr>
        <w:t xml:space="preserve">, </w:t>
      </w:r>
      <w:r w:rsidR="0038603B" w:rsidRPr="0056426E">
        <w:rPr>
          <w:rFonts w:ascii="Times New Roman" w:eastAsia="Times New Roman" w:hAnsi="Times New Roman"/>
          <w:sz w:val="24"/>
          <w:szCs w:val="24"/>
          <w:lang w:eastAsia="pl-PL"/>
        </w:rPr>
        <w:t>Łódź – Kielce 2021, ISBN: 978-83-66709-69-0</w:t>
      </w:r>
      <w:r w:rsidR="0038603B">
        <w:rPr>
          <w:rFonts w:ascii="Times New Roman" w:eastAsia="Times New Roman" w:hAnsi="Times New Roman"/>
          <w:sz w:val="24"/>
          <w:szCs w:val="24"/>
          <w:lang w:eastAsia="pl-PL"/>
        </w:rPr>
        <w:t xml:space="preserve">; </w:t>
      </w:r>
      <w:r w:rsidR="0038603B" w:rsidRPr="00E25BC7">
        <w:rPr>
          <w:rFonts w:ascii="Times New Roman" w:eastAsia="Times New Roman" w:hAnsi="Times New Roman"/>
          <w:i/>
          <w:iCs/>
          <w:sz w:val="24"/>
          <w:szCs w:val="24"/>
          <w:lang w:eastAsia="pl-PL"/>
        </w:rPr>
        <w:t>Ekonomia i zarządzanie we współczesnym świecie – wybrane problemy</w:t>
      </w:r>
      <w:r w:rsidR="0038603B" w:rsidRPr="0056426E">
        <w:rPr>
          <w:rFonts w:ascii="Times New Roman" w:eastAsia="Times New Roman" w:hAnsi="Times New Roman"/>
          <w:sz w:val="24"/>
          <w:szCs w:val="24"/>
          <w:lang w:eastAsia="pl-PL"/>
        </w:rPr>
        <w:t>, red. M. Świstak, Kielce 2021, ISBN: 978-83-956810-8-0</w:t>
      </w:r>
      <w:r w:rsidR="0038603B">
        <w:rPr>
          <w:rFonts w:ascii="Times New Roman" w:eastAsia="Times New Roman" w:hAnsi="Times New Roman"/>
          <w:sz w:val="24"/>
          <w:szCs w:val="24"/>
          <w:lang w:eastAsia="pl-PL"/>
        </w:rPr>
        <w:t xml:space="preserve">; </w:t>
      </w:r>
      <w:r w:rsidR="0038603B" w:rsidRPr="00E25BC7">
        <w:rPr>
          <w:rFonts w:ascii="Times New Roman" w:eastAsia="Times New Roman" w:hAnsi="Times New Roman"/>
          <w:i/>
          <w:iCs/>
          <w:sz w:val="24"/>
          <w:szCs w:val="24"/>
          <w:lang w:eastAsia="pl-PL"/>
        </w:rPr>
        <w:t>Globalizacja vs. Glokalizacja. Świat i Polska w czasach nowożytnych i najnowszych</w:t>
      </w:r>
      <w:r w:rsidR="0038603B" w:rsidRPr="0056426E">
        <w:rPr>
          <w:rFonts w:ascii="Times New Roman" w:eastAsia="Times New Roman" w:hAnsi="Times New Roman"/>
          <w:sz w:val="24"/>
          <w:szCs w:val="24"/>
          <w:lang w:eastAsia="pl-PL"/>
        </w:rPr>
        <w:t xml:space="preserve">, red. M. Świstak, </w:t>
      </w:r>
      <w:r w:rsidR="0038603B">
        <w:rPr>
          <w:rFonts w:ascii="Times New Roman" w:eastAsia="Times New Roman" w:hAnsi="Times New Roman"/>
          <w:sz w:val="24"/>
          <w:szCs w:val="24"/>
          <w:lang w:eastAsia="pl-PL"/>
        </w:rPr>
        <w:t xml:space="preserve">Wydawnictwo Naukowe </w:t>
      </w:r>
      <w:r w:rsidR="0038603B" w:rsidRPr="00CD5357">
        <w:rPr>
          <w:rFonts w:ascii="Times New Roman" w:eastAsia="Times New Roman" w:hAnsi="Times New Roman"/>
          <w:sz w:val="24"/>
          <w:szCs w:val="24"/>
          <w:lang w:eastAsia="pl-PL"/>
        </w:rPr>
        <w:t>ArchaeGraph</w:t>
      </w:r>
      <w:r w:rsidR="0038603B">
        <w:rPr>
          <w:rFonts w:ascii="Times New Roman" w:eastAsia="Times New Roman" w:hAnsi="Times New Roman"/>
          <w:sz w:val="24"/>
          <w:szCs w:val="24"/>
          <w:lang w:eastAsia="pl-PL"/>
        </w:rPr>
        <w:t xml:space="preserve">, </w:t>
      </w:r>
      <w:r w:rsidR="0038603B" w:rsidRPr="0056426E">
        <w:rPr>
          <w:rFonts w:ascii="Times New Roman" w:eastAsia="Times New Roman" w:hAnsi="Times New Roman"/>
          <w:sz w:val="24"/>
          <w:szCs w:val="24"/>
          <w:lang w:eastAsia="pl-PL"/>
        </w:rPr>
        <w:t>Łódź - Kielce 2021, ISBN: 978-83-67074-30-8</w:t>
      </w:r>
      <w:r w:rsidR="0038603B">
        <w:rPr>
          <w:rFonts w:ascii="Times New Roman" w:eastAsia="Times New Roman" w:hAnsi="Times New Roman"/>
          <w:sz w:val="24"/>
          <w:szCs w:val="24"/>
          <w:lang w:eastAsia="pl-PL"/>
        </w:rPr>
        <w:t xml:space="preserve">; </w:t>
      </w:r>
    </w:p>
    <w:p w14:paraId="28EA508D" w14:textId="77777777" w:rsidR="00BB12AB" w:rsidRPr="007F42BD" w:rsidRDefault="00BB12AB" w:rsidP="00AF3184">
      <w:pPr>
        <w:spacing w:after="0" w:line="240" w:lineRule="auto"/>
        <w:jc w:val="both"/>
        <w:rPr>
          <w:rFonts w:ascii="Cambria" w:hAnsi="Cambria" w:cs="Times New Roman"/>
          <w:i/>
          <w:iCs/>
          <w:sz w:val="24"/>
          <w:szCs w:val="24"/>
        </w:rPr>
      </w:pPr>
    </w:p>
    <w:p w14:paraId="5AA2BC1C" w14:textId="29892366" w:rsidR="00C6173D" w:rsidRPr="007F42BD" w:rsidRDefault="00BB12AB" w:rsidP="00C6173D">
      <w:pPr>
        <w:pStyle w:val="Akapitzlist"/>
        <w:spacing w:after="0" w:line="360" w:lineRule="auto"/>
        <w:jc w:val="both"/>
        <w:rPr>
          <w:rFonts w:ascii="Cambria" w:hAnsi="Cambria" w:cs="Times New Roman"/>
          <w:color w:val="FF0000"/>
          <w:sz w:val="24"/>
          <w:szCs w:val="24"/>
        </w:rPr>
      </w:pPr>
      <w:r w:rsidRPr="007F42BD">
        <w:rPr>
          <w:rFonts w:ascii="Cambria" w:hAnsi="Cambria" w:cs="Times New Roman"/>
          <w:i/>
          <w:iCs/>
          <w:noProof/>
          <w:sz w:val="24"/>
          <w:szCs w:val="24"/>
        </w:rPr>
        <mc:AlternateContent>
          <mc:Choice Requires="wps">
            <w:drawing>
              <wp:anchor distT="91440" distB="91440" distL="114300" distR="114300" simplePos="0" relativeHeight="251667456" behindDoc="0" locked="0" layoutInCell="1" allowOverlap="1" wp14:anchorId="22E84D51" wp14:editId="6E4558F5">
                <wp:simplePos x="0" y="0"/>
                <wp:positionH relativeFrom="page">
                  <wp:posOffset>1219200</wp:posOffset>
                </wp:positionH>
                <wp:positionV relativeFrom="paragraph">
                  <wp:posOffset>114935</wp:posOffset>
                </wp:positionV>
                <wp:extent cx="5554980" cy="66960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69600"/>
                        </a:xfrm>
                        <a:prstGeom prst="rect">
                          <a:avLst/>
                        </a:prstGeom>
                        <a:noFill/>
                        <a:ln w="9525">
                          <a:noFill/>
                          <a:miter lim="800000"/>
                          <a:headEnd/>
                          <a:tailEnd/>
                        </a:ln>
                      </wps:spPr>
                      <wps:txbx>
                        <w:txbxContent>
                          <w:p w14:paraId="4F5A8789" w14:textId="1A2C5D9A" w:rsidR="00EC049D" w:rsidRDefault="00EC049D">
                            <w:pPr>
                              <w:pBdr>
                                <w:top w:val="single" w:sz="24" w:space="8" w:color="5B9BD5" w:themeColor="accent1"/>
                                <w:bottom w:val="single" w:sz="24" w:space="8" w:color="5B9BD5" w:themeColor="accent1"/>
                              </w:pBdr>
                              <w:spacing w:after="0"/>
                              <w:rPr>
                                <w:i/>
                                <w:iCs/>
                                <w:color w:val="5B9BD5"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84D51" id="_x0000_s1030" type="#_x0000_t202" style="position:absolute;left:0;text-align:left;margin-left:96pt;margin-top:9.05pt;width:437.4pt;height:52.7pt;z-index:25166745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" filled="f" stroked="f">
                <v:textbox>
                  <w:txbxContent>
                    <w:p w14:paraId="4F5A8789" w14:textId="1A2C5D9A" w:rsidR="00EC049D" w:rsidRDefault="00EC049D">
                      <w:pPr>
                        <w:pBdr>
                          <w:top w:val="single" w:sz="24" w:space="8" w:color="5B9BD5" w:themeColor="accent1"/>
                          <w:bottom w:val="single" w:sz="24" w:space="8" w:color="5B9BD5" w:themeColor="accent1"/>
                        </w:pBdr>
                        <w:spacing w:after="0"/>
                        <w:rPr>
                          <w:i/>
                          <w:iCs/>
                          <w:color w:val="5B9BD5" w:themeColor="accent1"/>
                          <w:sz w:val="24"/>
                        </w:rPr>
                      </w:pPr>
                    </w:p>
                  </w:txbxContent>
                </v:textbox>
                <w10:wrap anchorx="page"/>
              </v:shape>
            </w:pict>
          </mc:Fallback>
        </mc:AlternateContent>
      </w:r>
    </w:p>
    <w:p w14:paraId="5F4A8036" w14:textId="22A4DB98" w:rsidR="00EA3229" w:rsidRPr="007F42BD" w:rsidRDefault="006501A5" w:rsidP="00364EE7">
      <w:pPr>
        <w:pStyle w:val="Akapitzlist"/>
        <w:numPr>
          <w:ilvl w:val="0"/>
          <w:numId w:val="1"/>
        </w:numPr>
        <w:spacing w:after="0" w:line="240" w:lineRule="auto"/>
        <w:ind w:left="714" w:hanging="357"/>
        <w:jc w:val="both"/>
        <w:rPr>
          <w:rFonts w:ascii="Cambria" w:hAnsi="Cambria" w:cs="Times New Roman"/>
          <w:i/>
          <w:iCs/>
          <w:sz w:val="24"/>
          <w:szCs w:val="24"/>
        </w:rPr>
      </w:pPr>
      <w:r w:rsidRPr="007F42BD">
        <w:rPr>
          <w:rFonts w:ascii="Cambria" w:hAnsi="Cambria" w:cs="Times New Roman"/>
          <w:i/>
          <w:iCs/>
          <w:sz w:val="24"/>
          <w:szCs w:val="24"/>
        </w:rPr>
        <w:t>Informacja o</w:t>
      </w:r>
      <w:r w:rsidR="000F6F83" w:rsidRPr="007F42BD">
        <w:rPr>
          <w:rFonts w:ascii="Cambria" w:hAnsi="Cambria" w:cs="Times New Roman"/>
          <w:i/>
          <w:iCs/>
          <w:sz w:val="24"/>
          <w:szCs w:val="24"/>
        </w:rPr>
        <w:t xml:space="preserve"> osiągnięciach</w:t>
      </w:r>
      <w:r w:rsidR="002D510D" w:rsidRPr="007F42BD">
        <w:rPr>
          <w:rFonts w:ascii="Cambria" w:hAnsi="Cambria" w:cs="Times New Roman"/>
          <w:i/>
          <w:iCs/>
          <w:sz w:val="24"/>
          <w:szCs w:val="24"/>
        </w:rPr>
        <w:t xml:space="preserve"> dydaktycznych, organizacyjny</w:t>
      </w:r>
      <w:r w:rsidR="000F6F83" w:rsidRPr="007F42BD">
        <w:rPr>
          <w:rFonts w:ascii="Cambria" w:hAnsi="Cambria" w:cs="Times New Roman"/>
          <w:i/>
          <w:iCs/>
          <w:sz w:val="24"/>
          <w:szCs w:val="24"/>
        </w:rPr>
        <w:t>ch oraz</w:t>
      </w:r>
      <w:r w:rsidR="002D510D" w:rsidRPr="007F42BD">
        <w:rPr>
          <w:rFonts w:ascii="Cambria" w:hAnsi="Cambria" w:cs="Times New Roman"/>
          <w:i/>
          <w:iCs/>
          <w:sz w:val="24"/>
          <w:szCs w:val="24"/>
        </w:rPr>
        <w:t xml:space="preserve"> popularyzujących naukę lub sztukę.</w:t>
      </w:r>
    </w:p>
    <w:p w14:paraId="63DAAE7F" w14:textId="70C02096" w:rsidR="00C6173D" w:rsidRPr="007F42BD" w:rsidRDefault="00C6173D" w:rsidP="00C6173D">
      <w:pPr>
        <w:pStyle w:val="Akapitzlist"/>
        <w:rPr>
          <w:rFonts w:ascii="Cambria" w:hAnsi="Cambria" w:cs="Times New Roman"/>
          <w:color w:val="FF0000"/>
          <w:sz w:val="24"/>
          <w:szCs w:val="24"/>
        </w:rPr>
      </w:pPr>
    </w:p>
    <w:p w14:paraId="473EB0BE" w14:textId="77777777" w:rsidR="00D10CFD" w:rsidRDefault="00D10CFD" w:rsidP="00D10CFD">
      <w:pPr>
        <w:pStyle w:val="Akapitzlist"/>
        <w:spacing w:after="120" w:line="276" w:lineRule="auto"/>
        <w:ind w:left="1440"/>
        <w:jc w:val="both"/>
        <w:rPr>
          <w:rFonts w:ascii="Cambria" w:hAnsi="Cambria" w:cs="Times New Roman"/>
          <w:b/>
          <w:bCs/>
          <w:sz w:val="24"/>
          <w:szCs w:val="24"/>
          <w:u w:val="single"/>
        </w:rPr>
      </w:pPr>
    </w:p>
    <w:p w14:paraId="104CC3D7" w14:textId="21BC1357" w:rsidR="0040255F" w:rsidRPr="0040255F" w:rsidRDefault="0040255F" w:rsidP="0040255F">
      <w:pPr>
        <w:pStyle w:val="Akapitzlist"/>
        <w:numPr>
          <w:ilvl w:val="0"/>
          <w:numId w:val="50"/>
        </w:numPr>
        <w:spacing w:after="120" w:line="276" w:lineRule="auto"/>
        <w:jc w:val="both"/>
        <w:rPr>
          <w:rFonts w:ascii="Cambria" w:hAnsi="Cambria" w:cs="Times New Roman"/>
          <w:b/>
          <w:bCs/>
          <w:sz w:val="24"/>
          <w:szCs w:val="24"/>
          <w:u w:val="single"/>
        </w:rPr>
      </w:pPr>
      <w:r w:rsidRPr="0040255F">
        <w:rPr>
          <w:rFonts w:ascii="Cambria" w:hAnsi="Cambria" w:cs="Times New Roman"/>
          <w:b/>
          <w:bCs/>
          <w:sz w:val="24"/>
          <w:szCs w:val="24"/>
          <w:u w:val="single"/>
        </w:rPr>
        <w:t>Osiągnięcia dydaktyczne;</w:t>
      </w:r>
    </w:p>
    <w:p w14:paraId="7A366459" w14:textId="77777777" w:rsidR="0040255F" w:rsidRPr="0040255F" w:rsidRDefault="0040255F" w:rsidP="0040255F">
      <w:pPr>
        <w:pStyle w:val="Akapitzlist"/>
        <w:spacing w:after="120" w:line="276" w:lineRule="auto"/>
        <w:ind w:left="1440"/>
        <w:jc w:val="both"/>
        <w:rPr>
          <w:rFonts w:ascii="Cambria" w:hAnsi="Cambria" w:cs="Times New Roman"/>
          <w:sz w:val="24"/>
          <w:szCs w:val="24"/>
        </w:rPr>
      </w:pPr>
    </w:p>
    <w:p w14:paraId="18A7A7A6" w14:textId="77777777" w:rsidR="00BE28CD" w:rsidRDefault="00C066EC" w:rsidP="00C52AC5">
      <w:pPr>
        <w:pStyle w:val="Akapitzlist"/>
        <w:spacing w:after="120" w:line="276" w:lineRule="auto"/>
        <w:jc w:val="both"/>
        <w:rPr>
          <w:rFonts w:ascii="Cambria" w:hAnsi="Cambria" w:cs="Times New Roman"/>
          <w:sz w:val="24"/>
          <w:szCs w:val="24"/>
        </w:rPr>
      </w:pPr>
      <w:r w:rsidRPr="00CF3A1E">
        <w:rPr>
          <w:rFonts w:ascii="Cambria" w:hAnsi="Cambria" w:cs="Times New Roman"/>
          <w:sz w:val="24"/>
          <w:szCs w:val="24"/>
        </w:rPr>
        <w:t xml:space="preserve">W całym okresie działalności dydaktycznej można wykazać zróżnicowane formy osiągnięć dydaktycznych. Do takich niewątpliwie można zaliczyć </w:t>
      </w:r>
      <w:r w:rsidRPr="00D10CFD">
        <w:rPr>
          <w:rFonts w:ascii="Cambria" w:hAnsi="Cambria" w:cs="Times New Roman"/>
          <w:b/>
          <w:bCs/>
          <w:sz w:val="24"/>
          <w:szCs w:val="24"/>
        </w:rPr>
        <w:t>opracowanie materiałów dydaktycznych</w:t>
      </w:r>
      <w:r w:rsidRPr="00CF3A1E">
        <w:rPr>
          <w:rFonts w:ascii="Cambria" w:hAnsi="Cambria" w:cs="Times New Roman"/>
          <w:sz w:val="24"/>
          <w:szCs w:val="24"/>
        </w:rPr>
        <w:t xml:space="preserve"> (autorstwo rozdziału w </w:t>
      </w:r>
      <w:r w:rsidR="00BE28CD">
        <w:rPr>
          <w:rFonts w:ascii="Cambria" w:hAnsi="Cambria" w:cs="Times New Roman"/>
          <w:sz w:val="24"/>
          <w:szCs w:val="24"/>
        </w:rPr>
        <w:t xml:space="preserve">międzyuniwersyteckim </w:t>
      </w:r>
      <w:r w:rsidRPr="00CF3A1E">
        <w:rPr>
          <w:rFonts w:ascii="Cambria" w:hAnsi="Cambria" w:cs="Times New Roman"/>
          <w:sz w:val="24"/>
          <w:szCs w:val="24"/>
        </w:rPr>
        <w:t>podręczniku akademickim</w:t>
      </w:r>
      <w:r w:rsidR="00BE28CD">
        <w:rPr>
          <w:rFonts w:ascii="Cambria" w:hAnsi="Cambria" w:cs="Times New Roman"/>
          <w:sz w:val="24"/>
          <w:szCs w:val="24"/>
        </w:rPr>
        <w:t xml:space="preserve"> przeznaczony dla studentów kierunków: Prawo i Administracja -</w:t>
      </w:r>
      <w:r w:rsidRPr="00CF3A1E">
        <w:rPr>
          <w:rFonts w:ascii="Cambria" w:hAnsi="Cambria" w:cs="Times New Roman"/>
          <w:sz w:val="24"/>
          <w:szCs w:val="24"/>
        </w:rPr>
        <w:t xml:space="preserve"> </w:t>
      </w:r>
      <w:r w:rsidRPr="007F42BD">
        <w:rPr>
          <w:rFonts w:ascii="Cambria" w:eastAsia="Times New Roman" w:hAnsi="Cambria"/>
          <w:i/>
          <w:iCs/>
          <w:sz w:val="24"/>
          <w:szCs w:val="24"/>
          <w:lang w:eastAsia="pl-PL"/>
        </w:rPr>
        <w:t>Konstytucyjne podstawy finansów publicznych</w:t>
      </w:r>
      <w:r w:rsidRPr="007F42BD">
        <w:rPr>
          <w:rFonts w:ascii="Cambria" w:eastAsia="Times New Roman" w:hAnsi="Cambria"/>
          <w:sz w:val="24"/>
          <w:szCs w:val="24"/>
          <w:lang w:eastAsia="pl-PL"/>
        </w:rPr>
        <w:t xml:space="preserve">, [w:] </w:t>
      </w:r>
      <w:r w:rsidRPr="007F42BD">
        <w:rPr>
          <w:rFonts w:ascii="Cambria" w:eastAsia="Times New Roman" w:hAnsi="Cambria"/>
          <w:i/>
          <w:iCs/>
          <w:sz w:val="24"/>
          <w:szCs w:val="24"/>
          <w:lang w:eastAsia="pl-PL"/>
        </w:rPr>
        <w:t>Prawo finansów publicznych. Vademecum akademickie</w:t>
      </w:r>
      <w:r w:rsidRPr="007F42BD">
        <w:rPr>
          <w:rFonts w:ascii="Cambria" w:eastAsia="Times New Roman" w:hAnsi="Cambria"/>
          <w:sz w:val="24"/>
          <w:szCs w:val="24"/>
          <w:lang w:eastAsia="pl-PL"/>
        </w:rPr>
        <w:t xml:space="preserve">, red. P. Smoleń, Warszawa 2022, </w:t>
      </w:r>
      <w:r w:rsidR="0093734C">
        <w:rPr>
          <w:rFonts w:ascii="Cambria" w:eastAsia="Times New Roman" w:hAnsi="Cambria"/>
          <w:sz w:val="24"/>
          <w:szCs w:val="24"/>
          <w:lang w:eastAsia="pl-PL"/>
        </w:rPr>
        <w:t xml:space="preserve">Wolters Kluwer S. A., </w:t>
      </w:r>
      <w:r w:rsidRPr="007F42BD">
        <w:rPr>
          <w:rFonts w:ascii="Cambria" w:eastAsia="Times New Roman" w:hAnsi="Cambria"/>
          <w:sz w:val="24"/>
          <w:szCs w:val="24"/>
          <w:lang w:eastAsia="pl-PL"/>
        </w:rPr>
        <w:t>ISBN: 978-83-8286-549-3, s. 23-</w:t>
      </w:r>
      <w:r w:rsidRPr="00CF3A1E">
        <w:rPr>
          <w:rFonts w:ascii="Cambria" w:eastAsia="Times New Roman" w:hAnsi="Cambria"/>
          <w:sz w:val="24"/>
          <w:szCs w:val="24"/>
          <w:lang w:eastAsia="pl-PL"/>
        </w:rPr>
        <w:t>31</w:t>
      </w:r>
      <w:r w:rsidRPr="00CF3A1E">
        <w:rPr>
          <w:rFonts w:ascii="Cambria" w:hAnsi="Cambria" w:cs="Times New Roman"/>
          <w:sz w:val="24"/>
          <w:szCs w:val="24"/>
        </w:rPr>
        <w:t>).</w:t>
      </w:r>
      <w:r w:rsidR="00CA1628" w:rsidRPr="00CF3A1E">
        <w:rPr>
          <w:rFonts w:ascii="Cambria" w:hAnsi="Cambria" w:cs="Times New Roman"/>
          <w:sz w:val="24"/>
          <w:szCs w:val="24"/>
        </w:rPr>
        <w:t xml:space="preserve"> </w:t>
      </w:r>
    </w:p>
    <w:p w14:paraId="029D1982" w14:textId="77DA9C35" w:rsidR="00CF3A1E" w:rsidRDefault="00CA1628" w:rsidP="00BE28CD">
      <w:pPr>
        <w:pStyle w:val="Akapitzlist"/>
        <w:spacing w:after="120" w:line="276" w:lineRule="auto"/>
        <w:ind w:firstLine="696"/>
        <w:jc w:val="both"/>
        <w:rPr>
          <w:rFonts w:ascii="Cambria" w:hAnsi="Cambria" w:cs="Times New Roman"/>
          <w:sz w:val="24"/>
          <w:szCs w:val="24"/>
        </w:rPr>
      </w:pPr>
      <w:r w:rsidRPr="00CF3A1E">
        <w:rPr>
          <w:rFonts w:ascii="Cambria" w:hAnsi="Cambria" w:cs="Times New Roman"/>
          <w:sz w:val="24"/>
          <w:szCs w:val="24"/>
        </w:rPr>
        <w:t xml:space="preserve">Ponadto, w profil działalności nie tylko organizacyjnej, ale i dydaktycznej wpisuje się </w:t>
      </w:r>
      <w:r w:rsidRPr="00D10CFD">
        <w:rPr>
          <w:rFonts w:ascii="Cambria" w:hAnsi="Cambria" w:cs="Times New Roman"/>
          <w:b/>
          <w:bCs/>
          <w:sz w:val="24"/>
          <w:szCs w:val="24"/>
        </w:rPr>
        <w:t>pełnienie funkcji</w:t>
      </w:r>
      <w:r w:rsidR="00BE28CD">
        <w:rPr>
          <w:rFonts w:ascii="Cambria" w:hAnsi="Cambria" w:cs="Times New Roman"/>
          <w:sz w:val="24"/>
          <w:szCs w:val="24"/>
        </w:rPr>
        <w:t>:</w:t>
      </w:r>
      <w:r w:rsidRPr="007F42BD">
        <w:rPr>
          <w:rFonts w:ascii="Cambria" w:hAnsi="Cambria" w:cs="Times New Roman"/>
          <w:sz w:val="24"/>
          <w:szCs w:val="24"/>
        </w:rPr>
        <w:t xml:space="preserve"> członka Wydziałowej Komisji ds. jakości kształcenia (2020 – aktualnie) na podstawie aktu powołania przez Dziekana WPiA UMCS w Lublinie z dnia 18 listopada 2014 r. </w:t>
      </w:r>
      <w:r w:rsidR="00CB011C" w:rsidRPr="007F42BD">
        <w:rPr>
          <w:rFonts w:ascii="Cambria" w:hAnsi="Cambria" w:cs="Times New Roman"/>
          <w:sz w:val="24"/>
          <w:szCs w:val="24"/>
        </w:rPr>
        <w:t>oraz funkcji opiekuna kierunków: prawno – biznesowy oraz prawno – menedżerski studia stacjonarne i niestacjonarne (w latach 2018/2019 – 2020/2021 – akt powołania Dziekana WPiA UMCS w Lublinie z dnia 21 września 2018 r.)</w:t>
      </w:r>
      <w:r w:rsidR="00853A8B" w:rsidRPr="007F42BD">
        <w:rPr>
          <w:rFonts w:ascii="Cambria" w:hAnsi="Cambria" w:cs="Times New Roman"/>
          <w:sz w:val="24"/>
          <w:szCs w:val="24"/>
        </w:rPr>
        <w:t xml:space="preserve">. W całym okresie zatrudnienia, w sposób stały </w:t>
      </w:r>
      <w:r w:rsidR="00BE28CD">
        <w:rPr>
          <w:rFonts w:ascii="Cambria" w:hAnsi="Cambria" w:cs="Times New Roman"/>
          <w:sz w:val="24"/>
          <w:szCs w:val="24"/>
        </w:rPr>
        <w:t>kontynuowana jest</w:t>
      </w:r>
      <w:r w:rsidR="00853A8B" w:rsidRPr="007F42BD">
        <w:rPr>
          <w:rFonts w:ascii="Cambria" w:hAnsi="Cambria" w:cs="Times New Roman"/>
          <w:sz w:val="24"/>
          <w:szCs w:val="24"/>
        </w:rPr>
        <w:t xml:space="preserve"> współpraca ze Studenckim Kołem Naukowym Prawników, WPiA UMCS poprzez uczestnictwo (i patronat) w realizowanych przez </w:t>
      </w:r>
      <w:r w:rsidR="00853A8B" w:rsidRPr="007F42BD">
        <w:rPr>
          <w:rFonts w:ascii="Cambria" w:hAnsi="Cambria" w:cs="Times New Roman"/>
          <w:sz w:val="24"/>
          <w:szCs w:val="24"/>
        </w:rPr>
        <w:lastRenderedPageBreak/>
        <w:t xml:space="preserve">Koło konferencjach i sympozjach, moderowanie paneli dyskusyjnych, czy też prowadzenie warsztatów naukowych dla studentów ostatnich lat studiów prawniczych przed egzaminami na aplikacje prawnicze. </w:t>
      </w:r>
    </w:p>
    <w:p w14:paraId="14031C39" w14:textId="7793275B" w:rsidR="00AA2070" w:rsidRDefault="00CA1628" w:rsidP="00CF3A1E">
      <w:pPr>
        <w:pStyle w:val="Akapitzlist"/>
        <w:spacing w:after="120" w:line="276" w:lineRule="auto"/>
        <w:ind w:firstLine="696"/>
        <w:jc w:val="both"/>
        <w:rPr>
          <w:rFonts w:ascii="Cambria" w:hAnsi="Cambria" w:cs="Times New Roman"/>
          <w:sz w:val="24"/>
          <w:szCs w:val="24"/>
        </w:rPr>
      </w:pPr>
      <w:r w:rsidRPr="00CF3A1E">
        <w:rPr>
          <w:rFonts w:ascii="Cambria" w:hAnsi="Cambria" w:cs="Times New Roman"/>
          <w:sz w:val="24"/>
          <w:szCs w:val="24"/>
        </w:rPr>
        <w:t>W przedstawiony</w:t>
      </w:r>
      <w:r w:rsidR="00CB011C" w:rsidRPr="00CF3A1E">
        <w:rPr>
          <w:rFonts w:ascii="Cambria" w:hAnsi="Cambria" w:cs="Times New Roman"/>
          <w:sz w:val="24"/>
          <w:szCs w:val="24"/>
        </w:rPr>
        <w:t>m</w:t>
      </w:r>
      <w:r w:rsidRPr="00CF3A1E">
        <w:rPr>
          <w:rFonts w:ascii="Cambria" w:hAnsi="Cambria" w:cs="Times New Roman"/>
          <w:sz w:val="24"/>
          <w:szCs w:val="24"/>
        </w:rPr>
        <w:t xml:space="preserve"> okresie wykonywano nie tylko pracę na rzecz </w:t>
      </w:r>
      <w:r w:rsidR="00CF3A1E">
        <w:rPr>
          <w:rFonts w:ascii="Cambria" w:hAnsi="Cambria" w:cs="Times New Roman"/>
          <w:sz w:val="24"/>
          <w:szCs w:val="24"/>
        </w:rPr>
        <w:t xml:space="preserve">tworzenia </w:t>
      </w:r>
      <w:r w:rsidRPr="00CF3A1E">
        <w:rPr>
          <w:rFonts w:ascii="Cambria" w:hAnsi="Cambria" w:cs="Times New Roman"/>
          <w:sz w:val="24"/>
          <w:szCs w:val="24"/>
        </w:rPr>
        <w:t xml:space="preserve">oferty dydaktycznej i jakości kształcenia, ale również prowadzono szeroko zakrojoną pracę o charakterze ściśle dydaktycznym. </w:t>
      </w:r>
      <w:r w:rsidR="00CB011C" w:rsidRPr="00CF3A1E">
        <w:rPr>
          <w:rFonts w:ascii="Cambria" w:hAnsi="Cambria" w:cs="Times New Roman"/>
          <w:sz w:val="24"/>
          <w:szCs w:val="24"/>
        </w:rPr>
        <w:t xml:space="preserve">Oceny realizowanych zajęć otrzymywały zarówno wysoką ocenę </w:t>
      </w:r>
      <w:r w:rsidR="00853A8B" w:rsidRPr="00CF3A1E">
        <w:rPr>
          <w:rFonts w:ascii="Cambria" w:hAnsi="Cambria" w:cs="Times New Roman"/>
          <w:sz w:val="24"/>
          <w:szCs w:val="24"/>
        </w:rPr>
        <w:t xml:space="preserve">bezpośredniego przełożonego (od początku zatrudnienia w charakterze nauczyciela akademickiego hospitacje na poziomie 5,0), jak i studentów (od początku zatrudnienia w charakterze nauczyciela akademickiego wyniki ocen ankietowych studentów w przedziale 5,0 – 6.0). </w:t>
      </w:r>
      <w:r w:rsidRPr="00CF3A1E">
        <w:rPr>
          <w:rFonts w:ascii="Cambria" w:hAnsi="Cambria" w:cs="Times New Roman"/>
          <w:sz w:val="24"/>
          <w:szCs w:val="24"/>
        </w:rPr>
        <w:t xml:space="preserve">W obszar </w:t>
      </w:r>
      <w:r w:rsidR="00853A8B" w:rsidRPr="00CF3A1E">
        <w:rPr>
          <w:rFonts w:ascii="Cambria" w:hAnsi="Cambria" w:cs="Times New Roman"/>
          <w:sz w:val="24"/>
          <w:szCs w:val="24"/>
        </w:rPr>
        <w:t>działalności dydaktycznej</w:t>
      </w:r>
      <w:r w:rsidRPr="00CF3A1E">
        <w:rPr>
          <w:rFonts w:ascii="Cambria" w:hAnsi="Cambria" w:cs="Times New Roman"/>
          <w:sz w:val="24"/>
          <w:szCs w:val="24"/>
        </w:rPr>
        <w:t xml:space="preserve"> wpisuje się </w:t>
      </w:r>
      <w:r w:rsidRPr="00D10CFD">
        <w:rPr>
          <w:rFonts w:ascii="Cambria" w:hAnsi="Cambria" w:cs="Times New Roman"/>
          <w:b/>
          <w:bCs/>
          <w:sz w:val="24"/>
          <w:szCs w:val="24"/>
        </w:rPr>
        <w:t>prowadzenie zajęć</w:t>
      </w:r>
      <w:r w:rsidR="00E30FD8" w:rsidRPr="00D10CFD">
        <w:rPr>
          <w:rFonts w:ascii="Cambria" w:hAnsi="Cambria" w:cs="Times New Roman"/>
          <w:b/>
          <w:bCs/>
          <w:sz w:val="24"/>
          <w:szCs w:val="24"/>
        </w:rPr>
        <w:t xml:space="preserve"> na zróżnicowanych kierunkach studiów, z przedmiotów </w:t>
      </w:r>
      <w:r w:rsidR="0016148D" w:rsidRPr="00D10CFD">
        <w:rPr>
          <w:rFonts w:ascii="Cambria" w:hAnsi="Cambria" w:cs="Times New Roman"/>
          <w:b/>
          <w:bCs/>
          <w:sz w:val="24"/>
          <w:szCs w:val="24"/>
        </w:rPr>
        <w:t xml:space="preserve">podstawowych, kierunkowych, monograficznych, </w:t>
      </w:r>
      <w:r w:rsidR="00E30FD8" w:rsidRPr="00D10CFD">
        <w:rPr>
          <w:rFonts w:ascii="Cambria" w:hAnsi="Cambria" w:cs="Times New Roman"/>
          <w:b/>
          <w:bCs/>
          <w:sz w:val="24"/>
          <w:szCs w:val="24"/>
        </w:rPr>
        <w:t xml:space="preserve">zajęć seminaryjnych, </w:t>
      </w:r>
      <w:r w:rsidR="0016148D" w:rsidRPr="00D10CFD">
        <w:rPr>
          <w:rFonts w:ascii="Cambria" w:hAnsi="Cambria" w:cs="Times New Roman"/>
          <w:b/>
          <w:bCs/>
          <w:sz w:val="24"/>
          <w:szCs w:val="24"/>
        </w:rPr>
        <w:t xml:space="preserve">a także </w:t>
      </w:r>
      <w:r w:rsidR="00E30FD8" w:rsidRPr="00D10CFD">
        <w:rPr>
          <w:rFonts w:ascii="Cambria" w:hAnsi="Cambria" w:cs="Times New Roman"/>
          <w:b/>
          <w:bCs/>
          <w:sz w:val="24"/>
          <w:szCs w:val="24"/>
        </w:rPr>
        <w:t xml:space="preserve">zajęć </w:t>
      </w:r>
      <w:r w:rsidR="0016148D" w:rsidRPr="00D10CFD">
        <w:rPr>
          <w:rFonts w:ascii="Cambria" w:hAnsi="Cambria" w:cs="Times New Roman"/>
          <w:b/>
          <w:bCs/>
          <w:sz w:val="24"/>
          <w:szCs w:val="24"/>
        </w:rPr>
        <w:t>na studiach podyplomowych</w:t>
      </w:r>
      <w:r w:rsidRPr="00CF3A1E">
        <w:rPr>
          <w:rFonts w:ascii="Cambria" w:hAnsi="Cambria" w:cs="Times New Roman"/>
          <w:sz w:val="24"/>
          <w:szCs w:val="24"/>
        </w:rPr>
        <w:t>:</w:t>
      </w:r>
    </w:p>
    <w:p w14:paraId="6359CF88" w14:textId="77777777" w:rsidR="00D10CFD" w:rsidRPr="00CF3A1E" w:rsidRDefault="00D10CFD" w:rsidP="00CF3A1E">
      <w:pPr>
        <w:pStyle w:val="Akapitzlist"/>
        <w:spacing w:after="120" w:line="276" w:lineRule="auto"/>
        <w:ind w:firstLine="696"/>
        <w:jc w:val="both"/>
        <w:rPr>
          <w:rFonts w:ascii="Cambria" w:hAnsi="Cambria" w:cs="Times New Roman"/>
          <w:sz w:val="24"/>
          <w:szCs w:val="24"/>
        </w:rPr>
      </w:pPr>
    </w:p>
    <w:p w14:paraId="1D95AF13" w14:textId="630EDBF1" w:rsidR="0016148D" w:rsidRPr="007F42BD" w:rsidRDefault="0016148D" w:rsidP="00364EE7">
      <w:pPr>
        <w:pStyle w:val="Akapitzlist"/>
        <w:numPr>
          <w:ilvl w:val="0"/>
          <w:numId w:val="10"/>
        </w:numPr>
        <w:spacing w:after="120" w:line="276" w:lineRule="auto"/>
        <w:jc w:val="both"/>
        <w:rPr>
          <w:rFonts w:ascii="Cambria" w:hAnsi="Cambria" w:cs="Times New Roman"/>
          <w:sz w:val="24"/>
          <w:szCs w:val="24"/>
        </w:rPr>
      </w:pPr>
      <w:r w:rsidRPr="007F42BD">
        <w:rPr>
          <w:rFonts w:ascii="Cambria" w:hAnsi="Cambria" w:cs="Times New Roman"/>
          <w:sz w:val="24"/>
          <w:szCs w:val="24"/>
          <w:u w:val="single"/>
        </w:rPr>
        <w:t>Przedmioty podstawowe</w:t>
      </w:r>
      <w:r w:rsidRPr="007F42BD">
        <w:rPr>
          <w:rFonts w:ascii="Cambria" w:hAnsi="Cambria" w:cs="Times New Roman"/>
          <w:sz w:val="24"/>
          <w:szCs w:val="24"/>
        </w:rPr>
        <w:t>:</w:t>
      </w:r>
    </w:p>
    <w:p w14:paraId="4C1B9305" w14:textId="77777777" w:rsidR="0016148D" w:rsidRPr="007F42BD" w:rsidRDefault="000E57D5" w:rsidP="00364EE7">
      <w:pPr>
        <w:pStyle w:val="Akapitzlist"/>
        <w:numPr>
          <w:ilvl w:val="0"/>
          <w:numId w:val="9"/>
        </w:numPr>
        <w:spacing w:after="120" w:line="276" w:lineRule="auto"/>
        <w:jc w:val="both"/>
        <w:rPr>
          <w:rFonts w:ascii="Cambria" w:hAnsi="Cambria" w:cs="Times New Roman"/>
          <w:sz w:val="24"/>
          <w:szCs w:val="24"/>
        </w:rPr>
      </w:pPr>
      <w:r w:rsidRPr="007F42BD">
        <w:rPr>
          <w:rFonts w:ascii="Cambria" w:hAnsi="Cambria" w:cs="Times New Roman"/>
          <w:sz w:val="24"/>
          <w:szCs w:val="24"/>
        </w:rPr>
        <w:t>Organizacja i funkcjonowanie administracji publicznej (wykład – 24 godziny i ćwiczenia – 3 godziny) – cykle: rok akademicki 20</w:t>
      </w:r>
      <w:r w:rsidR="00D2489E" w:rsidRPr="007F42BD">
        <w:rPr>
          <w:rFonts w:ascii="Cambria" w:hAnsi="Cambria" w:cs="Times New Roman"/>
          <w:sz w:val="24"/>
          <w:szCs w:val="24"/>
        </w:rPr>
        <w:t>19</w:t>
      </w:r>
      <w:r w:rsidRPr="007F42BD">
        <w:rPr>
          <w:rFonts w:ascii="Cambria" w:hAnsi="Cambria" w:cs="Times New Roman"/>
          <w:sz w:val="24"/>
          <w:szCs w:val="24"/>
        </w:rPr>
        <w:t>/202</w:t>
      </w:r>
      <w:r w:rsidR="00D2489E" w:rsidRPr="007F42BD">
        <w:rPr>
          <w:rFonts w:ascii="Cambria" w:hAnsi="Cambria" w:cs="Times New Roman"/>
          <w:sz w:val="24"/>
          <w:szCs w:val="24"/>
        </w:rPr>
        <w:t>0 -</w:t>
      </w:r>
      <w:r w:rsidRPr="007F42BD">
        <w:rPr>
          <w:rFonts w:ascii="Cambria" w:hAnsi="Cambria" w:cs="Times New Roman"/>
          <w:sz w:val="24"/>
          <w:szCs w:val="24"/>
        </w:rPr>
        <w:t xml:space="preserve"> 2021/2022 – kierunek: Prawno – Administracyjny, I st., studia niestacjonarne</w:t>
      </w:r>
      <w:r w:rsidR="00AC284F" w:rsidRPr="007F42BD">
        <w:rPr>
          <w:rFonts w:ascii="Cambria" w:hAnsi="Cambria" w:cs="Times New Roman"/>
          <w:sz w:val="24"/>
          <w:szCs w:val="24"/>
        </w:rPr>
        <w:t xml:space="preserve"> [przedmiot podstawowy]</w:t>
      </w:r>
      <w:r w:rsidR="0016148D" w:rsidRPr="007F42BD">
        <w:rPr>
          <w:rFonts w:ascii="Cambria" w:hAnsi="Cambria" w:cs="Times New Roman"/>
          <w:sz w:val="24"/>
          <w:szCs w:val="24"/>
        </w:rPr>
        <w:t>;</w:t>
      </w:r>
    </w:p>
    <w:p w14:paraId="426040AD" w14:textId="77777777" w:rsidR="0016148D" w:rsidRPr="007F42BD" w:rsidRDefault="00E85B43" w:rsidP="00364EE7">
      <w:pPr>
        <w:pStyle w:val="Akapitzlist"/>
        <w:numPr>
          <w:ilvl w:val="0"/>
          <w:numId w:val="9"/>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Zarządzanie jakością w instytucjach odpowiedzialnych za bezpieczeństwo wewnętrzne (wykład – 15 godz.) – cykle: </w:t>
      </w:r>
      <w:r w:rsidR="000E57D5" w:rsidRPr="007F42BD">
        <w:rPr>
          <w:rFonts w:ascii="Cambria" w:hAnsi="Cambria" w:cs="Times New Roman"/>
          <w:sz w:val="24"/>
          <w:szCs w:val="24"/>
        </w:rPr>
        <w:t xml:space="preserve"> </w:t>
      </w:r>
      <w:r w:rsidRPr="007F42BD">
        <w:rPr>
          <w:rFonts w:ascii="Cambria" w:hAnsi="Cambria" w:cs="Times New Roman"/>
          <w:sz w:val="24"/>
          <w:szCs w:val="24"/>
        </w:rPr>
        <w:t xml:space="preserve">rok akademicki </w:t>
      </w:r>
      <w:r w:rsidR="006202DD" w:rsidRPr="007F42BD">
        <w:rPr>
          <w:rFonts w:ascii="Cambria" w:hAnsi="Cambria" w:cs="Times New Roman"/>
          <w:sz w:val="24"/>
          <w:szCs w:val="24"/>
        </w:rPr>
        <w:t>201</w:t>
      </w:r>
      <w:r w:rsidR="002317C6" w:rsidRPr="007F42BD">
        <w:rPr>
          <w:rFonts w:ascii="Cambria" w:hAnsi="Cambria" w:cs="Times New Roman"/>
          <w:sz w:val="24"/>
          <w:szCs w:val="24"/>
        </w:rPr>
        <w:t>6</w:t>
      </w:r>
      <w:r w:rsidR="006202DD" w:rsidRPr="007F42BD">
        <w:rPr>
          <w:rFonts w:ascii="Cambria" w:hAnsi="Cambria" w:cs="Times New Roman"/>
          <w:sz w:val="24"/>
          <w:szCs w:val="24"/>
        </w:rPr>
        <w:t>/201</w:t>
      </w:r>
      <w:r w:rsidR="002317C6" w:rsidRPr="007F42BD">
        <w:rPr>
          <w:rFonts w:ascii="Cambria" w:hAnsi="Cambria" w:cs="Times New Roman"/>
          <w:sz w:val="24"/>
          <w:szCs w:val="24"/>
        </w:rPr>
        <w:t>7</w:t>
      </w:r>
      <w:r w:rsidR="00F536DA" w:rsidRPr="007F42BD">
        <w:rPr>
          <w:rFonts w:ascii="Cambria" w:hAnsi="Cambria" w:cs="Times New Roman"/>
          <w:sz w:val="24"/>
          <w:szCs w:val="24"/>
        </w:rPr>
        <w:t xml:space="preserve">  - </w:t>
      </w:r>
      <w:r w:rsidRPr="007F42BD">
        <w:rPr>
          <w:rFonts w:ascii="Cambria" w:hAnsi="Cambria" w:cs="Times New Roman"/>
          <w:sz w:val="24"/>
          <w:szCs w:val="24"/>
        </w:rPr>
        <w:t>2021/2022 – kierunek: Bezpieczeństwo Wewnętrzne, II st., studia stacjonarne</w:t>
      </w:r>
      <w:r w:rsidR="00AC284F" w:rsidRPr="007F42BD">
        <w:rPr>
          <w:rFonts w:ascii="Cambria" w:hAnsi="Cambria" w:cs="Times New Roman"/>
          <w:sz w:val="24"/>
          <w:szCs w:val="24"/>
        </w:rPr>
        <w:t xml:space="preserve"> [przedmiot podstawowy];</w:t>
      </w:r>
    </w:p>
    <w:p w14:paraId="2DD5C2D2" w14:textId="77777777" w:rsidR="0016148D" w:rsidRPr="007F42BD" w:rsidRDefault="00612374" w:rsidP="00364EE7">
      <w:pPr>
        <w:pStyle w:val="Akapitzlist"/>
        <w:numPr>
          <w:ilvl w:val="0"/>
          <w:numId w:val="9"/>
        </w:numPr>
        <w:spacing w:after="120" w:line="276" w:lineRule="auto"/>
        <w:jc w:val="both"/>
        <w:rPr>
          <w:rFonts w:ascii="Cambria" w:hAnsi="Cambria" w:cs="Times New Roman"/>
          <w:sz w:val="24"/>
          <w:szCs w:val="24"/>
        </w:rPr>
      </w:pPr>
      <w:r w:rsidRPr="007F42BD">
        <w:rPr>
          <w:rFonts w:ascii="Cambria" w:hAnsi="Cambria" w:cs="Times New Roman"/>
          <w:sz w:val="24"/>
          <w:szCs w:val="24"/>
        </w:rPr>
        <w:t>Zarządzanie jakością w instytucjach odpowiedzialnych za bezpieczeństwo wewnętrzne (</w:t>
      </w:r>
      <w:r w:rsidR="0016148D" w:rsidRPr="007F42BD">
        <w:rPr>
          <w:rFonts w:ascii="Cambria" w:hAnsi="Cambria" w:cs="Times New Roman"/>
          <w:sz w:val="24"/>
          <w:szCs w:val="24"/>
        </w:rPr>
        <w:t>ćwiczenia</w:t>
      </w:r>
      <w:r w:rsidRPr="007F42BD">
        <w:rPr>
          <w:rFonts w:ascii="Cambria" w:hAnsi="Cambria" w:cs="Times New Roman"/>
          <w:sz w:val="24"/>
          <w:szCs w:val="24"/>
        </w:rPr>
        <w:t>– 15 godz.) – cykle:  rok akademicki 201</w:t>
      </w:r>
      <w:r w:rsidR="0016148D" w:rsidRPr="007F42BD">
        <w:rPr>
          <w:rFonts w:ascii="Cambria" w:hAnsi="Cambria" w:cs="Times New Roman"/>
          <w:sz w:val="24"/>
          <w:szCs w:val="24"/>
        </w:rPr>
        <w:t>5</w:t>
      </w:r>
      <w:r w:rsidRPr="007F42BD">
        <w:rPr>
          <w:rFonts w:ascii="Cambria" w:hAnsi="Cambria" w:cs="Times New Roman"/>
          <w:sz w:val="24"/>
          <w:szCs w:val="24"/>
        </w:rPr>
        <w:t>/201</w:t>
      </w:r>
      <w:r w:rsidR="0016148D" w:rsidRPr="007F42BD">
        <w:rPr>
          <w:rFonts w:ascii="Cambria" w:hAnsi="Cambria" w:cs="Times New Roman"/>
          <w:sz w:val="24"/>
          <w:szCs w:val="24"/>
        </w:rPr>
        <w:t>6</w:t>
      </w:r>
      <w:r w:rsidRPr="007F42BD">
        <w:rPr>
          <w:rFonts w:ascii="Cambria" w:hAnsi="Cambria" w:cs="Times New Roman"/>
          <w:sz w:val="24"/>
          <w:szCs w:val="24"/>
        </w:rPr>
        <w:t xml:space="preserve"> – kierunek: Bezpieczeństwo Wewnętrzne, II st., studia stacjonarne [przedmiot podstawowy];</w:t>
      </w:r>
    </w:p>
    <w:p w14:paraId="41C9BA0B" w14:textId="77777777" w:rsidR="0016148D" w:rsidRPr="007F42BD" w:rsidRDefault="002317C6" w:rsidP="00364EE7">
      <w:pPr>
        <w:pStyle w:val="Akapitzlist"/>
        <w:numPr>
          <w:ilvl w:val="0"/>
          <w:numId w:val="9"/>
        </w:numPr>
        <w:spacing w:after="120" w:line="276" w:lineRule="auto"/>
        <w:jc w:val="both"/>
        <w:rPr>
          <w:rFonts w:ascii="Cambria" w:hAnsi="Cambria" w:cs="Times New Roman"/>
          <w:sz w:val="24"/>
          <w:szCs w:val="24"/>
        </w:rPr>
      </w:pPr>
      <w:r w:rsidRPr="007F42BD">
        <w:rPr>
          <w:rFonts w:ascii="Cambria" w:hAnsi="Cambria" w:cs="Times New Roman"/>
          <w:sz w:val="24"/>
          <w:szCs w:val="24"/>
        </w:rPr>
        <w:t>Zarządzanie w sytuacjach kryzysowych (ćwiczenia – 15 godz.) – cykle: rok akademicki 201</w:t>
      </w:r>
      <w:r w:rsidR="00612374" w:rsidRPr="007F42BD">
        <w:rPr>
          <w:rFonts w:ascii="Cambria" w:hAnsi="Cambria" w:cs="Times New Roman"/>
          <w:sz w:val="24"/>
          <w:szCs w:val="24"/>
        </w:rPr>
        <w:t>5</w:t>
      </w:r>
      <w:r w:rsidRPr="007F42BD">
        <w:rPr>
          <w:rFonts w:ascii="Cambria" w:hAnsi="Cambria" w:cs="Times New Roman"/>
          <w:sz w:val="24"/>
          <w:szCs w:val="24"/>
        </w:rPr>
        <w:t>/201</w:t>
      </w:r>
      <w:r w:rsidR="00612374" w:rsidRPr="007F42BD">
        <w:rPr>
          <w:rFonts w:ascii="Cambria" w:hAnsi="Cambria" w:cs="Times New Roman"/>
          <w:sz w:val="24"/>
          <w:szCs w:val="24"/>
        </w:rPr>
        <w:t>6 – 2017/2018  - kierunek: Bezpieczeństwo Wewnętrzne, I st., studia stacjonarne [przedmiot podstawowy];</w:t>
      </w:r>
    </w:p>
    <w:p w14:paraId="0696CEEE" w14:textId="77777777" w:rsidR="0016148D" w:rsidRPr="007F42BD" w:rsidRDefault="00E85B43" w:rsidP="00364EE7">
      <w:pPr>
        <w:pStyle w:val="Akapitzlist"/>
        <w:numPr>
          <w:ilvl w:val="0"/>
          <w:numId w:val="9"/>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Kształtowanie kompetencji kierowniczych w biznesie (wykład – 30 godz.) – cykle: rok akademicki </w:t>
      </w:r>
      <w:r w:rsidR="006202DD" w:rsidRPr="007F42BD">
        <w:rPr>
          <w:rFonts w:ascii="Cambria" w:hAnsi="Cambria" w:cs="Times New Roman"/>
          <w:sz w:val="24"/>
          <w:szCs w:val="24"/>
        </w:rPr>
        <w:t>2017/2018-</w:t>
      </w:r>
      <w:r w:rsidRPr="007F42BD">
        <w:rPr>
          <w:rFonts w:ascii="Cambria" w:hAnsi="Cambria" w:cs="Times New Roman"/>
          <w:sz w:val="24"/>
          <w:szCs w:val="24"/>
        </w:rPr>
        <w:t xml:space="preserve"> 2021/2022 – kierunek: Prawno – Menadżerski, II st., studia stacjonarne</w:t>
      </w:r>
      <w:r w:rsidR="00AC284F" w:rsidRPr="007F42BD">
        <w:rPr>
          <w:rFonts w:ascii="Cambria" w:hAnsi="Cambria" w:cs="Times New Roman"/>
          <w:sz w:val="24"/>
          <w:szCs w:val="24"/>
        </w:rPr>
        <w:t xml:space="preserve"> [przedmiot podstawowy];</w:t>
      </w:r>
    </w:p>
    <w:p w14:paraId="2AD92959" w14:textId="77777777" w:rsidR="0016148D" w:rsidRPr="007F42BD" w:rsidRDefault="00E85B43" w:rsidP="00364EE7">
      <w:pPr>
        <w:pStyle w:val="Akapitzlist"/>
        <w:numPr>
          <w:ilvl w:val="0"/>
          <w:numId w:val="9"/>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Podstawy zarządzania (wykład – 30 godz.) – cykle: rok akademicki </w:t>
      </w:r>
      <w:r w:rsidR="00F536DA" w:rsidRPr="007F42BD">
        <w:rPr>
          <w:rFonts w:ascii="Cambria" w:hAnsi="Cambria" w:cs="Times New Roman"/>
          <w:sz w:val="24"/>
          <w:szCs w:val="24"/>
        </w:rPr>
        <w:t xml:space="preserve">2019/2020 - </w:t>
      </w:r>
      <w:r w:rsidRPr="007F42BD">
        <w:rPr>
          <w:rFonts w:ascii="Cambria" w:hAnsi="Cambria" w:cs="Times New Roman"/>
          <w:sz w:val="24"/>
          <w:szCs w:val="24"/>
        </w:rPr>
        <w:t>2021/2022 – kierunek: Prawno – Biznesowy, I st., studia stacjonarne</w:t>
      </w:r>
      <w:r w:rsidR="00AC284F" w:rsidRPr="007F42BD">
        <w:rPr>
          <w:rFonts w:ascii="Cambria" w:hAnsi="Cambria" w:cs="Times New Roman"/>
          <w:sz w:val="24"/>
          <w:szCs w:val="24"/>
        </w:rPr>
        <w:t xml:space="preserve"> [przedmiot podstawowy];</w:t>
      </w:r>
    </w:p>
    <w:p w14:paraId="1DB23AB8" w14:textId="77777777" w:rsidR="0016148D" w:rsidRPr="007F42BD" w:rsidRDefault="00AC284F" w:rsidP="00364EE7">
      <w:pPr>
        <w:pStyle w:val="Akapitzlist"/>
        <w:numPr>
          <w:ilvl w:val="0"/>
          <w:numId w:val="9"/>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Podstawy zarządzania (wykład – 18 godz. i ćwiczenia 18 godz.) – cykle: rok akademicki </w:t>
      </w:r>
      <w:r w:rsidR="006202DD" w:rsidRPr="007F42BD">
        <w:rPr>
          <w:rFonts w:ascii="Cambria" w:hAnsi="Cambria" w:cs="Times New Roman"/>
          <w:sz w:val="24"/>
          <w:szCs w:val="24"/>
        </w:rPr>
        <w:t xml:space="preserve">2017/2018 </w:t>
      </w:r>
      <w:r w:rsidR="00F536DA" w:rsidRPr="007F42BD">
        <w:rPr>
          <w:rFonts w:ascii="Cambria" w:hAnsi="Cambria" w:cs="Times New Roman"/>
          <w:sz w:val="24"/>
          <w:szCs w:val="24"/>
        </w:rPr>
        <w:t xml:space="preserve">- </w:t>
      </w:r>
      <w:r w:rsidRPr="007F42BD">
        <w:rPr>
          <w:rFonts w:ascii="Cambria" w:hAnsi="Cambria" w:cs="Times New Roman"/>
          <w:sz w:val="24"/>
          <w:szCs w:val="24"/>
        </w:rPr>
        <w:t>2021/2022 – kierunek: Prawno – Biznesowy, I st., studia niestacjonarne [przedmiot podstawowy];</w:t>
      </w:r>
    </w:p>
    <w:p w14:paraId="6AE8A50F" w14:textId="0A4863DF" w:rsidR="0016148D" w:rsidRPr="007F42BD" w:rsidRDefault="00612374" w:rsidP="00364EE7">
      <w:pPr>
        <w:pStyle w:val="Akapitzlist"/>
        <w:numPr>
          <w:ilvl w:val="0"/>
          <w:numId w:val="9"/>
        </w:numPr>
        <w:spacing w:after="120" w:line="276" w:lineRule="auto"/>
        <w:jc w:val="both"/>
        <w:rPr>
          <w:rFonts w:ascii="Cambria" w:hAnsi="Cambria" w:cs="Times New Roman"/>
          <w:sz w:val="24"/>
          <w:szCs w:val="24"/>
        </w:rPr>
      </w:pPr>
      <w:r w:rsidRPr="007F42BD">
        <w:rPr>
          <w:rFonts w:ascii="Cambria" w:hAnsi="Cambria" w:cs="Times New Roman"/>
          <w:sz w:val="24"/>
          <w:szCs w:val="24"/>
        </w:rPr>
        <w:t>Organizacja i zarządzanie (ćwiczenia: 30 godz.) – cykl: rok akademicki 2015/2016 – kierunek: Bezpieczeństwo Wewnętrzne, studia stacjonarne [przedmiot podstawowy];</w:t>
      </w:r>
    </w:p>
    <w:p w14:paraId="32ABE051" w14:textId="7A655472" w:rsidR="00AA2070" w:rsidRPr="007F42BD" w:rsidRDefault="00AA2070" w:rsidP="00364EE7">
      <w:pPr>
        <w:pStyle w:val="Akapitzlist"/>
        <w:numPr>
          <w:ilvl w:val="0"/>
          <w:numId w:val="9"/>
        </w:numPr>
        <w:spacing w:after="120" w:line="276" w:lineRule="auto"/>
        <w:jc w:val="both"/>
        <w:rPr>
          <w:rFonts w:ascii="Cambria" w:hAnsi="Cambria" w:cs="Times New Roman"/>
          <w:sz w:val="24"/>
          <w:szCs w:val="24"/>
        </w:rPr>
      </w:pPr>
      <w:r w:rsidRPr="007F42BD">
        <w:rPr>
          <w:rFonts w:ascii="Cambria" w:hAnsi="Cambria" w:cs="Times New Roman"/>
          <w:sz w:val="24"/>
          <w:szCs w:val="24"/>
        </w:rPr>
        <w:lastRenderedPageBreak/>
        <w:t>Prawo w organizacji i zarządzaniu przedsiębiorstwami (ćwiczenia – 15 godz.) – cykl</w:t>
      </w:r>
      <w:r w:rsidR="00E30FD8">
        <w:rPr>
          <w:rFonts w:ascii="Cambria" w:hAnsi="Cambria" w:cs="Times New Roman"/>
          <w:sz w:val="24"/>
          <w:szCs w:val="24"/>
        </w:rPr>
        <w:t>e</w:t>
      </w:r>
      <w:r w:rsidRPr="007F42BD">
        <w:rPr>
          <w:rFonts w:ascii="Cambria" w:hAnsi="Cambria" w:cs="Times New Roman"/>
          <w:sz w:val="24"/>
          <w:szCs w:val="24"/>
        </w:rPr>
        <w:t>: rok akademicki 201/2016 - 2019/2020 – kierunek: Prawno – Biznesowy, studia stacjonarne [przedmiot podstawowy];</w:t>
      </w:r>
    </w:p>
    <w:p w14:paraId="06C96270" w14:textId="1C65932D" w:rsidR="00AA2070" w:rsidRPr="007F42BD" w:rsidRDefault="00AA2070" w:rsidP="00364EE7">
      <w:pPr>
        <w:pStyle w:val="Akapitzlist"/>
        <w:numPr>
          <w:ilvl w:val="0"/>
          <w:numId w:val="9"/>
        </w:numPr>
        <w:spacing w:after="120" w:line="276" w:lineRule="auto"/>
        <w:jc w:val="both"/>
        <w:rPr>
          <w:rFonts w:ascii="Cambria" w:hAnsi="Cambria" w:cs="Times New Roman"/>
          <w:sz w:val="24"/>
          <w:szCs w:val="24"/>
        </w:rPr>
      </w:pPr>
      <w:r w:rsidRPr="007F42BD">
        <w:rPr>
          <w:rFonts w:ascii="Cambria" w:hAnsi="Cambria" w:cs="Times New Roman"/>
          <w:sz w:val="24"/>
          <w:szCs w:val="24"/>
        </w:rPr>
        <w:t>Prawo w organizacji i zarządzaniu przedsiębiorstwami (ćwiczenia – 9 godz.) – cykl</w:t>
      </w:r>
      <w:r w:rsidR="00E30FD8">
        <w:rPr>
          <w:rFonts w:ascii="Cambria" w:hAnsi="Cambria" w:cs="Times New Roman"/>
          <w:sz w:val="24"/>
          <w:szCs w:val="24"/>
        </w:rPr>
        <w:t>e</w:t>
      </w:r>
      <w:r w:rsidRPr="007F42BD">
        <w:rPr>
          <w:rFonts w:ascii="Cambria" w:hAnsi="Cambria" w:cs="Times New Roman"/>
          <w:sz w:val="24"/>
          <w:szCs w:val="24"/>
        </w:rPr>
        <w:t>: rok akademicki 2017/2018 - 2018/2019 – kierunek: Prawno – Biznesowy, studia niestacjonarne [przedmiot podstawowy];</w:t>
      </w:r>
    </w:p>
    <w:p w14:paraId="162C0AED" w14:textId="7FCBDF43" w:rsidR="00AA2070" w:rsidRPr="007F42BD" w:rsidRDefault="00AA2070" w:rsidP="00364EE7">
      <w:pPr>
        <w:pStyle w:val="Akapitzlist"/>
        <w:numPr>
          <w:ilvl w:val="0"/>
          <w:numId w:val="9"/>
        </w:numPr>
        <w:spacing w:after="120" w:line="276" w:lineRule="auto"/>
        <w:jc w:val="both"/>
        <w:rPr>
          <w:rFonts w:ascii="Cambria" w:hAnsi="Cambria" w:cs="Times New Roman"/>
          <w:sz w:val="24"/>
          <w:szCs w:val="24"/>
        </w:rPr>
      </w:pPr>
      <w:r w:rsidRPr="007F42BD">
        <w:rPr>
          <w:rFonts w:ascii="Cambria" w:hAnsi="Cambria" w:cs="Times New Roman"/>
          <w:sz w:val="24"/>
          <w:szCs w:val="24"/>
        </w:rPr>
        <w:t>Kultura organizacji (wykład – 30 godz.) – cykl</w:t>
      </w:r>
      <w:r w:rsidR="00E30FD8">
        <w:rPr>
          <w:rFonts w:ascii="Cambria" w:hAnsi="Cambria" w:cs="Times New Roman"/>
          <w:sz w:val="24"/>
          <w:szCs w:val="24"/>
        </w:rPr>
        <w:t>e</w:t>
      </w:r>
      <w:r w:rsidRPr="007F42BD">
        <w:rPr>
          <w:rFonts w:ascii="Cambria" w:hAnsi="Cambria" w:cs="Times New Roman"/>
          <w:sz w:val="24"/>
          <w:szCs w:val="24"/>
        </w:rPr>
        <w:t>: rok akademicki 2017/2018 – kierunek: Prawno – Menadżerski, studia stacjonarne [przedmiot podstawowy];</w:t>
      </w:r>
    </w:p>
    <w:p w14:paraId="18CED628" w14:textId="77777777" w:rsidR="00AA2070" w:rsidRPr="007F42BD" w:rsidRDefault="00AA2070" w:rsidP="00AA2070">
      <w:pPr>
        <w:pStyle w:val="Akapitzlist"/>
        <w:spacing w:after="120" w:line="276" w:lineRule="auto"/>
        <w:ind w:left="1440"/>
        <w:jc w:val="both"/>
        <w:rPr>
          <w:rFonts w:ascii="Cambria" w:hAnsi="Cambria" w:cs="Times New Roman"/>
          <w:sz w:val="24"/>
          <w:szCs w:val="24"/>
        </w:rPr>
      </w:pPr>
    </w:p>
    <w:p w14:paraId="22A35F5D" w14:textId="00E28A51" w:rsidR="00AA2070" w:rsidRPr="007F42BD" w:rsidRDefault="00AA2070" w:rsidP="00364EE7">
      <w:pPr>
        <w:pStyle w:val="Akapitzlist"/>
        <w:numPr>
          <w:ilvl w:val="0"/>
          <w:numId w:val="10"/>
        </w:numPr>
        <w:spacing w:after="120" w:line="276" w:lineRule="auto"/>
        <w:jc w:val="both"/>
        <w:rPr>
          <w:rFonts w:ascii="Cambria" w:hAnsi="Cambria" w:cs="Times New Roman"/>
          <w:sz w:val="24"/>
          <w:szCs w:val="24"/>
        </w:rPr>
      </w:pPr>
      <w:r w:rsidRPr="007F42BD">
        <w:rPr>
          <w:rFonts w:ascii="Cambria" w:hAnsi="Cambria" w:cs="Times New Roman"/>
          <w:sz w:val="24"/>
          <w:szCs w:val="24"/>
          <w:u w:val="single"/>
        </w:rPr>
        <w:t>Przedmioty kierunkowe</w:t>
      </w:r>
      <w:r w:rsidRPr="007F42BD">
        <w:rPr>
          <w:rFonts w:ascii="Cambria" w:hAnsi="Cambria" w:cs="Times New Roman"/>
          <w:sz w:val="24"/>
          <w:szCs w:val="24"/>
        </w:rPr>
        <w:t>:</w:t>
      </w:r>
    </w:p>
    <w:p w14:paraId="0F280F95" w14:textId="4B411D34" w:rsidR="00AA2070" w:rsidRPr="007F42BD" w:rsidRDefault="00AA2070" w:rsidP="00364EE7">
      <w:pPr>
        <w:pStyle w:val="Akapitzlist"/>
        <w:numPr>
          <w:ilvl w:val="0"/>
          <w:numId w:val="11"/>
        </w:numPr>
        <w:spacing w:after="120" w:line="276" w:lineRule="auto"/>
        <w:jc w:val="both"/>
        <w:rPr>
          <w:rFonts w:ascii="Cambria" w:hAnsi="Cambria" w:cs="Times New Roman"/>
          <w:sz w:val="24"/>
          <w:szCs w:val="24"/>
        </w:rPr>
      </w:pPr>
      <w:r w:rsidRPr="007F42BD">
        <w:rPr>
          <w:rFonts w:ascii="Cambria" w:hAnsi="Cambria" w:cs="Times New Roman"/>
          <w:sz w:val="24"/>
          <w:szCs w:val="24"/>
        </w:rPr>
        <w:t>Współczesne kultury prawne (ćwiczenia – 15 godz.) – cykl</w:t>
      </w:r>
      <w:r w:rsidR="00E30FD8">
        <w:rPr>
          <w:rFonts w:ascii="Cambria" w:hAnsi="Cambria" w:cs="Times New Roman"/>
          <w:sz w:val="24"/>
          <w:szCs w:val="24"/>
        </w:rPr>
        <w:t>e</w:t>
      </w:r>
      <w:r w:rsidRPr="007F42BD">
        <w:rPr>
          <w:rFonts w:ascii="Cambria" w:hAnsi="Cambria" w:cs="Times New Roman"/>
          <w:sz w:val="24"/>
          <w:szCs w:val="24"/>
        </w:rPr>
        <w:t>: rok akademicki 2015/2016 - 2018/2019 – kierunek: Prawo, studia stacjonarne [przedmiot kierunkowy];</w:t>
      </w:r>
    </w:p>
    <w:p w14:paraId="0DE0F981" w14:textId="26E36CBB" w:rsidR="00AA2070" w:rsidRPr="007F42BD" w:rsidRDefault="00AA2070" w:rsidP="00AA2070">
      <w:pPr>
        <w:pStyle w:val="Akapitzlist"/>
        <w:spacing w:after="120" w:line="276" w:lineRule="auto"/>
        <w:ind w:left="1440"/>
        <w:jc w:val="both"/>
        <w:rPr>
          <w:rFonts w:ascii="Cambria" w:hAnsi="Cambria" w:cs="Times New Roman"/>
          <w:sz w:val="24"/>
          <w:szCs w:val="24"/>
        </w:rPr>
      </w:pPr>
    </w:p>
    <w:p w14:paraId="7DCEFBDA" w14:textId="37A0D825" w:rsidR="00AA2070" w:rsidRPr="007F42BD" w:rsidRDefault="00AA2070" w:rsidP="00364EE7">
      <w:pPr>
        <w:pStyle w:val="Akapitzlist"/>
        <w:numPr>
          <w:ilvl w:val="0"/>
          <w:numId w:val="10"/>
        </w:numPr>
        <w:spacing w:after="120" w:line="276" w:lineRule="auto"/>
        <w:jc w:val="both"/>
        <w:rPr>
          <w:rFonts w:ascii="Cambria" w:hAnsi="Cambria" w:cs="Times New Roman"/>
          <w:sz w:val="24"/>
          <w:szCs w:val="24"/>
        </w:rPr>
      </w:pPr>
      <w:r w:rsidRPr="007F42BD">
        <w:rPr>
          <w:rFonts w:ascii="Cambria" w:hAnsi="Cambria" w:cs="Times New Roman"/>
          <w:sz w:val="24"/>
          <w:szCs w:val="24"/>
          <w:u w:val="single"/>
        </w:rPr>
        <w:t>Przedmioty monograficzne</w:t>
      </w:r>
      <w:r w:rsidRPr="007F42BD">
        <w:rPr>
          <w:rFonts w:ascii="Cambria" w:hAnsi="Cambria" w:cs="Times New Roman"/>
          <w:sz w:val="24"/>
          <w:szCs w:val="24"/>
        </w:rPr>
        <w:t>:</w:t>
      </w:r>
    </w:p>
    <w:p w14:paraId="3F64CF3D" w14:textId="7FE591B1" w:rsidR="00AA2070" w:rsidRPr="007F42BD" w:rsidRDefault="00AA2070" w:rsidP="00364EE7">
      <w:pPr>
        <w:pStyle w:val="Akapitzlist"/>
        <w:numPr>
          <w:ilvl w:val="0"/>
          <w:numId w:val="11"/>
        </w:numPr>
        <w:spacing w:after="120" w:line="276" w:lineRule="auto"/>
        <w:jc w:val="both"/>
        <w:rPr>
          <w:rFonts w:ascii="Cambria" w:hAnsi="Cambria" w:cs="Times New Roman"/>
          <w:sz w:val="24"/>
          <w:szCs w:val="24"/>
        </w:rPr>
      </w:pPr>
      <w:r w:rsidRPr="007F42BD">
        <w:rPr>
          <w:rFonts w:ascii="Cambria" w:hAnsi="Cambria" w:cs="Times New Roman"/>
          <w:sz w:val="24"/>
          <w:szCs w:val="24"/>
        </w:rPr>
        <w:t>Strategie decyzyjne (wykład – 15 godz.) – cykl</w:t>
      </w:r>
      <w:r w:rsidR="00E30FD8">
        <w:rPr>
          <w:rFonts w:ascii="Cambria" w:hAnsi="Cambria" w:cs="Times New Roman"/>
          <w:sz w:val="24"/>
          <w:szCs w:val="24"/>
        </w:rPr>
        <w:t>e</w:t>
      </w:r>
      <w:r w:rsidRPr="007F42BD">
        <w:rPr>
          <w:rFonts w:ascii="Cambria" w:hAnsi="Cambria" w:cs="Times New Roman"/>
          <w:sz w:val="24"/>
          <w:szCs w:val="24"/>
        </w:rPr>
        <w:t>: rok akademicki 2021/2022 – kierunek: Prawno – Menadżerski, studia stacjonarne [przedmiot monograficzny];</w:t>
      </w:r>
    </w:p>
    <w:p w14:paraId="108DACEE" w14:textId="7BEC9D8B" w:rsidR="00AA2070" w:rsidRPr="007F42BD" w:rsidRDefault="00AA2070" w:rsidP="00364EE7">
      <w:pPr>
        <w:pStyle w:val="Akapitzlist"/>
        <w:numPr>
          <w:ilvl w:val="0"/>
          <w:numId w:val="11"/>
        </w:numPr>
        <w:spacing w:after="120" w:line="276" w:lineRule="auto"/>
        <w:jc w:val="both"/>
        <w:rPr>
          <w:rFonts w:ascii="Cambria" w:hAnsi="Cambria" w:cs="Times New Roman"/>
          <w:sz w:val="24"/>
          <w:szCs w:val="24"/>
        </w:rPr>
      </w:pPr>
      <w:r w:rsidRPr="007F42BD">
        <w:rPr>
          <w:rFonts w:ascii="Cambria" w:hAnsi="Cambria" w:cs="Times New Roman"/>
          <w:sz w:val="24"/>
          <w:szCs w:val="24"/>
        </w:rPr>
        <w:t>Prawo antymonopolowe (wykład – 15 godz.) – cykl: rok akademicki 2019/2020 – kierunek: Prawno – Administracyjny, studia stacjonarne [przedmiot monograficzny];</w:t>
      </w:r>
    </w:p>
    <w:p w14:paraId="58464E59" w14:textId="25131E4D" w:rsidR="00AA2070" w:rsidRPr="007F42BD" w:rsidRDefault="00AA2070" w:rsidP="00364EE7">
      <w:pPr>
        <w:pStyle w:val="Akapitzlist"/>
        <w:numPr>
          <w:ilvl w:val="0"/>
          <w:numId w:val="11"/>
        </w:numPr>
        <w:spacing w:after="120" w:line="276" w:lineRule="auto"/>
        <w:jc w:val="both"/>
        <w:rPr>
          <w:rFonts w:ascii="Cambria" w:hAnsi="Cambria" w:cs="Times New Roman"/>
          <w:sz w:val="24"/>
          <w:szCs w:val="24"/>
        </w:rPr>
      </w:pPr>
      <w:r w:rsidRPr="007F42BD">
        <w:rPr>
          <w:rFonts w:ascii="Cambria" w:hAnsi="Cambria" w:cs="Times New Roman"/>
          <w:sz w:val="24"/>
          <w:szCs w:val="24"/>
        </w:rPr>
        <w:t>Profesje prawnicze (ćwiczenia – 15 godz.) – cykl</w:t>
      </w:r>
      <w:r w:rsidR="00E30FD8">
        <w:rPr>
          <w:rFonts w:ascii="Cambria" w:hAnsi="Cambria" w:cs="Times New Roman"/>
          <w:sz w:val="24"/>
          <w:szCs w:val="24"/>
        </w:rPr>
        <w:t>e</w:t>
      </w:r>
      <w:r w:rsidRPr="007F42BD">
        <w:rPr>
          <w:rFonts w:ascii="Cambria" w:hAnsi="Cambria" w:cs="Times New Roman"/>
          <w:sz w:val="24"/>
          <w:szCs w:val="24"/>
        </w:rPr>
        <w:t>: rok akademicki 2015/2016 - 2017/2018 – kierunek: Prawo, studia stacjonarne [przedmiot monograficzny];</w:t>
      </w:r>
    </w:p>
    <w:p w14:paraId="3090D304" w14:textId="56169506" w:rsidR="00AA2070" w:rsidRPr="007F42BD" w:rsidRDefault="00AA2070" w:rsidP="00AA2070">
      <w:pPr>
        <w:pStyle w:val="Akapitzlist"/>
        <w:spacing w:after="120" w:line="276" w:lineRule="auto"/>
        <w:ind w:left="1440"/>
        <w:jc w:val="both"/>
        <w:rPr>
          <w:rFonts w:ascii="Cambria" w:hAnsi="Cambria" w:cs="Times New Roman"/>
          <w:sz w:val="24"/>
          <w:szCs w:val="24"/>
        </w:rPr>
      </w:pPr>
    </w:p>
    <w:p w14:paraId="3B5FE584" w14:textId="1301F136" w:rsidR="00AA2070" w:rsidRPr="007F42BD" w:rsidRDefault="00AA2070" w:rsidP="00364EE7">
      <w:pPr>
        <w:pStyle w:val="Akapitzlist"/>
        <w:numPr>
          <w:ilvl w:val="0"/>
          <w:numId w:val="10"/>
        </w:numPr>
        <w:spacing w:after="120" w:line="276" w:lineRule="auto"/>
        <w:jc w:val="both"/>
        <w:rPr>
          <w:rFonts w:ascii="Cambria" w:hAnsi="Cambria" w:cs="Times New Roman"/>
          <w:sz w:val="24"/>
          <w:szCs w:val="24"/>
        </w:rPr>
      </w:pPr>
      <w:r w:rsidRPr="007F42BD">
        <w:rPr>
          <w:rFonts w:ascii="Cambria" w:hAnsi="Cambria" w:cs="Times New Roman"/>
          <w:sz w:val="24"/>
          <w:szCs w:val="24"/>
          <w:u w:val="single"/>
        </w:rPr>
        <w:t>Wykłady na studiach podyplomowych</w:t>
      </w:r>
      <w:r w:rsidRPr="007F42BD">
        <w:rPr>
          <w:rFonts w:ascii="Cambria" w:hAnsi="Cambria" w:cs="Times New Roman"/>
          <w:sz w:val="24"/>
          <w:szCs w:val="24"/>
        </w:rPr>
        <w:t>:</w:t>
      </w:r>
    </w:p>
    <w:p w14:paraId="7C2FAB92" w14:textId="697E3222" w:rsidR="0016148D" w:rsidRPr="007F42BD" w:rsidRDefault="00726B57" w:rsidP="00364EE7">
      <w:pPr>
        <w:pStyle w:val="Akapitzlist"/>
        <w:numPr>
          <w:ilvl w:val="0"/>
          <w:numId w:val="9"/>
        </w:numPr>
        <w:spacing w:after="120" w:line="276" w:lineRule="auto"/>
        <w:jc w:val="both"/>
        <w:rPr>
          <w:rFonts w:ascii="Cambria" w:hAnsi="Cambria" w:cs="Times New Roman"/>
          <w:sz w:val="24"/>
          <w:szCs w:val="24"/>
        </w:rPr>
      </w:pPr>
      <w:r w:rsidRPr="007F42BD">
        <w:rPr>
          <w:rFonts w:ascii="Cambria" w:hAnsi="Cambria" w:cs="Times New Roman"/>
          <w:sz w:val="24"/>
          <w:szCs w:val="24"/>
        </w:rPr>
        <w:t>Prawo cywilne i gospodarcze (wykład – 8 godz.) – cykl</w:t>
      </w:r>
      <w:r w:rsidR="00E30FD8">
        <w:rPr>
          <w:rFonts w:ascii="Cambria" w:hAnsi="Cambria" w:cs="Times New Roman"/>
          <w:sz w:val="24"/>
          <w:szCs w:val="24"/>
        </w:rPr>
        <w:t>e</w:t>
      </w:r>
      <w:r w:rsidRPr="007F42BD">
        <w:rPr>
          <w:rFonts w:ascii="Cambria" w:hAnsi="Cambria" w:cs="Times New Roman"/>
          <w:sz w:val="24"/>
          <w:szCs w:val="24"/>
        </w:rPr>
        <w:t xml:space="preserve">: rok akademicki </w:t>
      </w:r>
      <w:r w:rsidR="002317C6" w:rsidRPr="007F42BD">
        <w:rPr>
          <w:rFonts w:ascii="Cambria" w:hAnsi="Cambria" w:cs="Times New Roman"/>
          <w:sz w:val="24"/>
          <w:szCs w:val="24"/>
        </w:rPr>
        <w:t>201</w:t>
      </w:r>
      <w:r w:rsidR="0016148D" w:rsidRPr="007F42BD">
        <w:rPr>
          <w:rFonts w:ascii="Cambria" w:hAnsi="Cambria" w:cs="Times New Roman"/>
          <w:sz w:val="24"/>
          <w:szCs w:val="24"/>
        </w:rPr>
        <w:t>5</w:t>
      </w:r>
      <w:r w:rsidR="002317C6" w:rsidRPr="007F42BD">
        <w:rPr>
          <w:rFonts w:ascii="Cambria" w:hAnsi="Cambria" w:cs="Times New Roman"/>
          <w:sz w:val="24"/>
          <w:szCs w:val="24"/>
        </w:rPr>
        <w:t>/201</w:t>
      </w:r>
      <w:r w:rsidR="0016148D" w:rsidRPr="007F42BD">
        <w:rPr>
          <w:rFonts w:ascii="Cambria" w:hAnsi="Cambria" w:cs="Times New Roman"/>
          <w:sz w:val="24"/>
          <w:szCs w:val="24"/>
        </w:rPr>
        <w:t>6</w:t>
      </w:r>
      <w:r w:rsidR="00F536DA" w:rsidRPr="007F42BD">
        <w:rPr>
          <w:rFonts w:ascii="Cambria" w:hAnsi="Cambria" w:cs="Times New Roman"/>
          <w:sz w:val="24"/>
          <w:szCs w:val="24"/>
        </w:rPr>
        <w:t xml:space="preserve"> </w:t>
      </w:r>
      <w:r w:rsidRPr="007F42BD">
        <w:rPr>
          <w:rFonts w:ascii="Cambria" w:hAnsi="Cambria" w:cs="Times New Roman"/>
          <w:sz w:val="24"/>
          <w:szCs w:val="24"/>
        </w:rPr>
        <w:t>– 2021/2022 – Studia podyplomowe z zakresu zamówień publicznych;</w:t>
      </w:r>
    </w:p>
    <w:p w14:paraId="6F77FA20" w14:textId="29562B1A" w:rsidR="0016148D" w:rsidRPr="007F42BD" w:rsidRDefault="00726B57" w:rsidP="00364EE7">
      <w:pPr>
        <w:pStyle w:val="Akapitzlist"/>
        <w:numPr>
          <w:ilvl w:val="0"/>
          <w:numId w:val="9"/>
        </w:numPr>
        <w:spacing w:after="120" w:line="276" w:lineRule="auto"/>
        <w:jc w:val="both"/>
        <w:rPr>
          <w:rFonts w:ascii="Cambria" w:hAnsi="Cambria" w:cs="Times New Roman"/>
          <w:sz w:val="24"/>
          <w:szCs w:val="24"/>
        </w:rPr>
      </w:pPr>
      <w:r w:rsidRPr="007F42BD">
        <w:rPr>
          <w:rFonts w:ascii="Cambria" w:hAnsi="Cambria" w:cs="Times New Roman"/>
          <w:sz w:val="24"/>
          <w:szCs w:val="24"/>
        </w:rPr>
        <w:t>Umowy w zamówieniach publicznych (wykład – 8 godz.) - cykl</w:t>
      </w:r>
      <w:r w:rsidR="00E30FD8">
        <w:rPr>
          <w:rFonts w:ascii="Cambria" w:hAnsi="Cambria" w:cs="Times New Roman"/>
          <w:sz w:val="24"/>
          <w:szCs w:val="24"/>
        </w:rPr>
        <w:t>e</w:t>
      </w:r>
      <w:r w:rsidRPr="007F42BD">
        <w:rPr>
          <w:rFonts w:ascii="Cambria" w:hAnsi="Cambria" w:cs="Times New Roman"/>
          <w:sz w:val="24"/>
          <w:szCs w:val="24"/>
        </w:rPr>
        <w:t xml:space="preserve">: rok akademicki </w:t>
      </w:r>
      <w:r w:rsidR="002317C6" w:rsidRPr="007F42BD">
        <w:rPr>
          <w:rFonts w:ascii="Cambria" w:hAnsi="Cambria" w:cs="Times New Roman"/>
          <w:sz w:val="24"/>
          <w:szCs w:val="24"/>
        </w:rPr>
        <w:t>2016/2017</w:t>
      </w:r>
      <w:r w:rsidR="006202DD" w:rsidRPr="007F42BD">
        <w:rPr>
          <w:rFonts w:ascii="Cambria" w:hAnsi="Cambria" w:cs="Times New Roman"/>
          <w:sz w:val="24"/>
          <w:szCs w:val="24"/>
        </w:rPr>
        <w:t xml:space="preserve"> </w:t>
      </w:r>
      <w:r w:rsidRPr="007F42BD">
        <w:rPr>
          <w:rFonts w:ascii="Cambria" w:hAnsi="Cambria" w:cs="Times New Roman"/>
          <w:sz w:val="24"/>
          <w:szCs w:val="24"/>
        </w:rPr>
        <w:t>– 2021/2022 – Studia podyplomowe z zakresu zamówień publicznych;</w:t>
      </w:r>
    </w:p>
    <w:p w14:paraId="10312F66" w14:textId="77777777" w:rsidR="0016148D" w:rsidRPr="007F42BD" w:rsidRDefault="0016148D" w:rsidP="00364EE7">
      <w:pPr>
        <w:pStyle w:val="Akapitzlist"/>
        <w:numPr>
          <w:ilvl w:val="0"/>
          <w:numId w:val="9"/>
        </w:numPr>
        <w:spacing w:after="120" w:line="276" w:lineRule="auto"/>
        <w:jc w:val="both"/>
        <w:rPr>
          <w:rFonts w:ascii="Cambria" w:hAnsi="Cambria" w:cs="Times New Roman"/>
          <w:sz w:val="24"/>
          <w:szCs w:val="24"/>
        </w:rPr>
      </w:pPr>
      <w:r w:rsidRPr="007F42BD">
        <w:rPr>
          <w:rFonts w:ascii="Cambria" w:hAnsi="Cambria" w:cs="Times New Roman"/>
          <w:sz w:val="24"/>
          <w:szCs w:val="24"/>
        </w:rPr>
        <w:t>System zamówień publicznych w UE (wykład – 12 godz.) – cykl: rok akademicki 2015/2016 – Studia podyplomowe z zakresu zamówień publicznych;</w:t>
      </w:r>
    </w:p>
    <w:p w14:paraId="5B25A88A" w14:textId="77777777" w:rsidR="006202DD" w:rsidRPr="007F42BD" w:rsidRDefault="006202DD" w:rsidP="00726B57">
      <w:pPr>
        <w:pStyle w:val="Akapitzlist"/>
        <w:spacing w:after="120" w:line="276" w:lineRule="auto"/>
        <w:jc w:val="both"/>
        <w:rPr>
          <w:rFonts w:ascii="Cambria" w:hAnsi="Cambria" w:cs="Times New Roman"/>
          <w:sz w:val="24"/>
          <w:szCs w:val="24"/>
        </w:rPr>
      </w:pPr>
    </w:p>
    <w:p w14:paraId="129E2022" w14:textId="077B8FD1" w:rsidR="00F536DA" w:rsidRDefault="00350F8B" w:rsidP="00726B57">
      <w:pPr>
        <w:pStyle w:val="Akapitzlist"/>
        <w:spacing w:after="120" w:line="276" w:lineRule="auto"/>
        <w:jc w:val="both"/>
        <w:rPr>
          <w:rFonts w:ascii="Cambria" w:hAnsi="Cambria" w:cs="Times New Roman"/>
          <w:sz w:val="24"/>
          <w:szCs w:val="24"/>
        </w:rPr>
      </w:pPr>
      <w:r w:rsidRPr="007F42BD">
        <w:rPr>
          <w:rFonts w:ascii="Cambria" w:hAnsi="Cambria" w:cs="Times New Roman"/>
          <w:sz w:val="24"/>
          <w:szCs w:val="24"/>
        </w:rPr>
        <w:t>Pośród zajęć dydaktycznych prowadzono także następujące seminaria licencjackie i magisterskie:</w:t>
      </w:r>
    </w:p>
    <w:p w14:paraId="2A48FE9F" w14:textId="77777777" w:rsidR="00D10CFD" w:rsidRPr="007F42BD" w:rsidRDefault="00D10CFD" w:rsidP="00726B57">
      <w:pPr>
        <w:pStyle w:val="Akapitzlist"/>
        <w:spacing w:after="120" w:line="276" w:lineRule="auto"/>
        <w:jc w:val="both"/>
        <w:rPr>
          <w:rFonts w:ascii="Cambria" w:hAnsi="Cambria" w:cs="Times New Roman"/>
          <w:sz w:val="24"/>
          <w:szCs w:val="24"/>
        </w:rPr>
      </w:pPr>
    </w:p>
    <w:p w14:paraId="7D905F3B" w14:textId="3AB7E95E" w:rsidR="00350F8B" w:rsidRPr="007F42BD" w:rsidRDefault="00350F8B" w:rsidP="00364EE7">
      <w:pPr>
        <w:pStyle w:val="Akapitzlist"/>
        <w:numPr>
          <w:ilvl w:val="0"/>
          <w:numId w:val="12"/>
        </w:numPr>
        <w:spacing w:after="120" w:line="276" w:lineRule="auto"/>
        <w:jc w:val="both"/>
        <w:rPr>
          <w:rFonts w:ascii="Cambria" w:hAnsi="Cambria" w:cs="Times New Roman"/>
          <w:sz w:val="24"/>
          <w:szCs w:val="24"/>
        </w:rPr>
      </w:pPr>
      <w:r w:rsidRPr="007F42BD">
        <w:rPr>
          <w:rFonts w:ascii="Cambria" w:hAnsi="Cambria" w:cs="Times New Roman"/>
          <w:sz w:val="24"/>
          <w:szCs w:val="24"/>
        </w:rPr>
        <w:lastRenderedPageBreak/>
        <w:t>Seminari</w:t>
      </w:r>
      <w:r w:rsidR="00696F5A" w:rsidRPr="007F42BD">
        <w:rPr>
          <w:rFonts w:ascii="Cambria" w:hAnsi="Cambria" w:cs="Times New Roman"/>
          <w:sz w:val="24"/>
          <w:szCs w:val="24"/>
        </w:rPr>
        <w:t>a</w:t>
      </w:r>
      <w:r w:rsidRPr="007F42BD">
        <w:rPr>
          <w:rFonts w:ascii="Cambria" w:hAnsi="Cambria" w:cs="Times New Roman"/>
          <w:sz w:val="24"/>
          <w:szCs w:val="24"/>
        </w:rPr>
        <w:t xml:space="preserve"> dyplomowe</w:t>
      </w:r>
      <w:r w:rsidR="00696F5A" w:rsidRPr="007F42BD">
        <w:rPr>
          <w:rFonts w:ascii="Cambria" w:hAnsi="Cambria" w:cs="Times New Roman"/>
          <w:sz w:val="24"/>
          <w:szCs w:val="24"/>
        </w:rPr>
        <w:t xml:space="preserve"> (90 godz.) – cykle: rok akademicki 2017/2018 – 2021/2022 – kierunek: Bezpieczeństwo Wewnętrzne, I st., studia stacjonarne;</w:t>
      </w:r>
    </w:p>
    <w:p w14:paraId="3C809F7A" w14:textId="3F4A0549" w:rsidR="00696F5A" w:rsidRPr="007F42BD" w:rsidRDefault="00696F5A" w:rsidP="00364EE7">
      <w:pPr>
        <w:pStyle w:val="Akapitzlist"/>
        <w:numPr>
          <w:ilvl w:val="0"/>
          <w:numId w:val="12"/>
        </w:numPr>
        <w:spacing w:after="120" w:line="276" w:lineRule="auto"/>
        <w:jc w:val="both"/>
        <w:rPr>
          <w:rFonts w:ascii="Cambria" w:hAnsi="Cambria" w:cs="Times New Roman"/>
          <w:sz w:val="24"/>
          <w:szCs w:val="24"/>
        </w:rPr>
      </w:pPr>
      <w:r w:rsidRPr="007F42BD">
        <w:rPr>
          <w:rFonts w:ascii="Cambria" w:hAnsi="Cambria" w:cs="Times New Roman"/>
          <w:sz w:val="24"/>
          <w:szCs w:val="24"/>
        </w:rPr>
        <w:t>Seminaria dyplomowe (90 godz.) – cykle: rok akademicki 2017/2018 – 2021/2022 – kierunek: Prawno – Biznesowy, I st., studia stacjonarne;</w:t>
      </w:r>
    </w:p>
    <w:p w14:paraId="15B98A6D" w14:textId="1A909614" w:rsidR="00696F5A" w:rsidRPr="007F42BD" w:rsidRDefault="00696F5A" w:rsidP="00364EE7">
      <w:pPr>
        <w:pStyle w:val="Akapitzlist"/>
        <w:numPr>
          <w:ilvl w:val="0"/>
          <w:numId w:val="12"/>
        </w:numPr>
        <w:spacing w:after="120" w:line="276" w:lineRule="auto"/>
        <w:jc w:val="both"/>
        <w:rPr>
          <w:rFonts w:ascii="Cambria" w:hAnsi="Cambria" w:cs="Times New Roman"/>
          <w:sz w:val="24"/>
          <w:szCs w:val="24"/>
        </w:rPr>
      </w:pPr>
      <w:r w:rsidRPr="007F42BD">
        <w:rPr>
          <w:rFonts w:ascii="Cambria" w:hAnsi="Cambria" w:cs="Times New Roman"/>
          <w:sz w:val="24"/>
          <w:szCs w:val="24"/>
        </w:rPr>
        <w:t>Seminarium dyplomowe (90 godz.) cykle: rok akademicki 2019/2020 – 2020/2021 – kierunek: Bezpieczeństwo Wewnętrzne, I st., studia niestacjonarne;</w:t>
      </w:r>
    </w:p>
    <w:p w14:paraId="37DA396F" w14:textId="4E236EAC" w:rsidR="00696F5A" w:rsidRPr="007F42BD" w:rsidRDefault="00696F5A" w:rsidP="00364EE7">
      <w:pPr>
        <w:pStyle w:val="Akapitzlist"/>
        <w:numPr>
          <w:ilvl w:val="0"/>
          <w:numId w:val="12"/>
        </w:numPr>
        <w:spacing w:after="120" w:line="276" w:lineRule="auto"/>
        <w:jc w:val="both"/>
        <w:rPr>
          <w:rFonts w:ascii="Cambria" w:hAnsi="Cambria" w:cs="Times New Roman"/>
          <w:sz w:val="24"/>
          <w:szCs w:val="24"/>
        </w:rPr>
      </w:pPr>
      <w:r w:rsidRPr="007F42BD">
        <w:rPr>
          <w:rFonts w:ascii="Cambria" w:hAnsi="Cambria" w:cs="Times New Roman"/>
          <w:sz w:val="24"/>
          <w:szCs w:val="24"/>
        </w:rPr>
        <w:t>Seminarium dyplomowe (90 godz.) cykle: rok akademicki 2019/2020 - 2020/2021 – kierunek: Prawno – Administracyjny, I st., studia stacjonarne;</w:t>
      </w:r>
    </w:p>
    <w:p w14:paraId="40599520" w14:textId="152A7F32" w:rsidR="00696F5A" w:rsidRPr="007F42BD" w:rsidRDefault="00696F5A" w:rsidP="00364EE7">
      <w:pPr>
        <w:pStyle w:val="Akapitzlist"/>
        <w:numPr>
          <w:ilvl w:val="0"/>
          <w:numId w:val="12"/>
        </w:numPr>
        <w:spacing w:after="120" w:line="276" w:lineRule="auto"/>
        <w:jc w:val="both"/>
        <w:rPr>
          <w:rFonts w:ascii="Cambria" w:hAnsi="Cambria" w:cs="Times New Roman"/>
          <w:sz w:val="24"/>
          <w:szCs w:val="24"/>
        </w:rPr>
      </w:pPr>
      <w:r w:rsidRPr="007F42BD">
        <w:rPr>
          <w:rFonts w:ascii="Cambria" w:hAnsi="Cambria" w:cs="Times New Roman"/>
          <w:sz w:val="24"/>
          <w:szCs w:val="24"/>
        </w:rPr>
        <w:t>Seminarium magisterskie (90 godz.) cykle: rok akademicki 2020/2021 – 2021/2022 – kierunek: Bezpieczeństwo Wewnętrzne, II st., studia niestacjonarne;</w:t>
      </w:r>
    </w:p>
    <w:p w14:paraId="1A5E5DDC" w14:textId="2FA90C89" w:rsidR="00696F5A" w:rsidRPr="007F42BD" w:rsidRDefault="00696F5A" w:rsidP="00696F5A">
      <w:pPr>
        <w:spacing w:after="120" w:line="276" w:lineRule="auto"/>
        <w:jc w:val="both"/>
        <w:rPr>
          <w:rFonts w:ascii="Cambria" w:hAnsi="Cambria" w:cs="Times New Roman"/>
          <w:sz w:val="24"/>
          <w:szCs w:val="24"/>
        </w:rPr>
      </w:pPr>
      <w:r w:rsidRPr="00D10CFD">
        <w:rPr>
          <w:rFonts w:ascii="Cambria" w:hAnsi="Cambria" w:cs="Times New Roman"/>
          <w:b/>
          <w:bCs/>
          <w:sz w:val="24"/>
          <w:szCs w:val="24"/>
        </w:rPr>
        <w:t xml:space="preserve">W ramach prowadzonych zajęć seminaryjnych wypromowano </w:t>
      </w:r>
      <w:r w:rsidR="00D51560" w:rsidRPr="00D10CFD">
        <w:rPr>
          <w:rFonts w:ascii="Cambria" w:hAnsi="Cambria" w:cs="Times New Roman"/>
          <w:b/>
          <w:bCs/>
          <w:sz w:val="24"/>
          <w:szCs w:val="24"/>
        </w:rPr>
        <w:t>41 osób (34 licencjatów i 7 magistrów)</w:t>
      </w:r>
      <w:r w:rsidR="00B23444" w:rsidRPr="00D10CFD">
        <w:rPr>
          <w:rFonts w:ascii="Cambria" w:hAnsi="Cambria" w:cs="Times New Roman"/>
          <w:b/>
          <w:bCs/>
          <w:sz w:val="24"/>
          <w:szCs w:val="24"/>
        </w:rPr>
        <w:t>. Sporządzono 1 recenzję pracy licencjackiej. Aktualnie (w toku) prowadzone jest promotorstwo pomocnicze w 2 otwartych przewodach doktorskich</w:t>
      </w:r>
      <w:r w:rsidR="00B23444" w:rsidRPr="007F42BD">
        <w:rPr>
          <w:rFonts w:ascii="Cambria" w:hAnsi="Cambria" w:cs="Times New Roman"/>
          <w:sz w:val="24"/>
          <w:szCs w:val="24"/>
        </w:rPr>
        <w:t>.</w:t>
      </w:r>
    </w:p>
    <w:p w14:paraId="2B26CC3D" w14:textId="4D5CEE5B" w:rsidR="00D51560" w:rsidRDefault="00D51560" w:rsidP="00364EE7">
      <w:pPr>
        <w:pStyle w:val="Akapitzlist"/>
        <w:numPr>
          <w:ilvl w:val="0"/>
          <w:numId w:val="10"/>
        </w:numPr>
        <w:spacing w:after="120" w:line="276" w:lineRule="auto"/>
        <w:jc w:val="both"/>
        <w:rPr>
          <w:rFonts w:ascii="Cambria" w:hAnsi="Cambria" w:cs="Times New Roman"/>
          <w:sz w:val="24"/>
          <w:szCs w:val="24"/>
        </w:rPr>
      </w:pPr>
      <w:r w:rsidRPr="007F42BD">
        <w:rPr>
          <w:rFonts w:ascii="Cambria" w:hAnsi="Cambria" w:cs="Times New Roman"/>
          <w:sz w:val="24"/>
          <w:szCs w:val="24"/>
          <w:u w:val="single"/>
        </w:rPr>
        <w:t>Promotorstwo prac magisterskich</w:t>
      </w:r>
      <w:r w:rsidRPr="007F42BD">
        <w:rPr>
          <w:rFonts w:ascii="Cambria" w:hAnsi="Cambria" w:cs="Times New Roman"/>
          <w:sz w:val="24"/>
          <w:szCs w:val="24"/>
        </w:rPr>
        <w:t>:</w:t>
      </w:r>
    </w:p>
    <w:p w14:paraId="0130F5AD" w14:textId="77777777" w:rsidR="00D10CFD" w:rsidRPr="007F42BD" w:rsidRDefault="00D10CFD" w:rsidP="00D10CFD">
      <w:pPr>
        <w:pStyle w:val="Akapitzlist"/>
        <w:spacing w:after="120" w:line="276" w:lineRule="auto"/>
        <w:ind w:left="1440"/>
        <w:jc w:val="both"/>
        <w:rPr>
          <w:rFonts w:ascii="Cambria" w:hAnsi="Cambria" w:cs="Times New Roman"/>
          <w:sz w:val="24"/>
          <w:szCs w:val="24"/>
        </w:rPr>
      </w:pPr>
    </w:p>
    <w:p w14:paraId="219A5C5B" w14:textId="1CF388B2" w:rsidR="00D51560" w:rsidRPr="007F42BD" w:rsidRDefault="00D51560" w:rsidP="00364EE7">
      <w:pPr>
        <w:pStyle w:val="Akapitzlist"/>
        <w:numPr>
          <w:ilvl w:val="0"/>
          <w:numId w:val="13"/>
        </w:numPr>
        <w:spacing w:after="120" w:line="276" w:lineRule="auto"/>
        <w:jc w:val="both"/>
        <w:rPr>
          <w:rFonts w:ascii="Cambria" w:hAnsi="Cambria" w:cs="Times New Roman"/>
          <w:i/>
          <w:iCs/>
          <w:sz w:val="24"/>
          <w:szCs w:val="24"/>
        </w:rPr>
      </w:pPr>
      <w:r w:rsidRPr="007F42BD">
        <w:rPr>
          <w:rFonts w:ascii="Cambria" w:hAnsi="Cambria" w:cs="Times New Roman"/>
          <w:sz w:val="24"/>
          <w:szCs w:val="24"/>
        </w:rPr>
        <w:t xml:space="preserve">Aneta Stręciwilk, </w:t>
      </w:r>
      <w:r w:rsidRPr="007F42BD">
        <w:rPr>
          <w:rFonts w:ascii="Cambria" w:hAnsi="Cambria" w:cs="Times New Roman"/>
          <w:i/>
          <w:iCs/>
          <w:sz w:val="24"/>
          <w:szCs w:val="24"/>
        </w:rPr>
        <w:t>Zwalczanie przestępstwa fałszowania dokumentów na przykładzie Komendy Powiatowej Policji w Kraśniku w latach 2016 – 2020;</w:t>
      </w:r>
    </w:p>
    <w:p w14:paraId="45CFE463" w14:textId="7241D65B" w:rsidR="00D51560" w:rsidRPr="007F42BD" w:rsidRDefault="00D51560" w:rsidP="00364EE7">
      <w:pPr>
        <w:pStyle w:val="Akapitzlist"/>
        <w:numPr>
          <w:ilvl w:val="0"/>
          <w:numId w:val="13"/>
        </w:numPr>
        <w:spacing w:after="120" w:line="276" w:lineRule="auto"/>
        <w:jc w:val="both"/>
        <w:rPr>
          <w:rFonts w:ascii="Cambria" w:hAnsi="Cambria" w:cs="Times New Roman"/>
          <w:i/>
          <w:iCs/>
          <w:sz w:val="24"/>
          <w:szCs w:val="24"/>
        </w:rPr>
      </w:pPr>
      <w:r w:rsidRPr="007F42BD">
        <w:rPr>
          <w:rFonts w:ascii="Cambria" w:hAnsi="Cambria" w:cs="Times New Roman"/>
          <w:sz w:val="24"/>
          <w:szCs w:val="24"/>
        </w:rPr>
        <w:t xml:space="preserve">Klaudia Ćwik, </w:t>
      </w:r>
      <w:r w:rsidRPr="007F42BD">
        <w:rPr>
          <w:rFonts w:ascii="Cambria" w:hAnsi="Cambria" w:cs="Times New Roman"/>
          <w:i/>
          <w:iCs/>
          <w:sz w:val="24"/>
          <w:szCs w:val="24"/>
        </w:rPr>
        <w:t>Formy przestępczości zorganizowanej w Polsce po wstąpieniu do UE. Współczesne zagrożenia;</w:t>
      </w:r>
    </w:p>
    <w:p w14:paraId="62C94456" w14:textId="0F7499FC" w:rsidR="00D51560" w:rsidRPr="007F42BD" w:rsidRDefault="00D51560" w:rsidP="00364EE7">
      <w:pPr>
        <w:pStyle w:val="Akapitzlist"/>
        <w:numPr>
          <w:ilvl w:val="0"/>
          <w:numId w:val="13"/>
        </w:numPr>
        <w:spacing w:after="120" w:line="276" w:lineRule="auto"/>
        <w:jc w:val="both"/>
        <w:rPr>
          <w:rFonts w:ascii="Cambria" w:hAnsi="Cambria" w:cs="Times New Roman"/>
          <w:i/>
          <w:iCs/>
          <w:sz w:val="24"/>
          <w:szCs w:val="24"/>
        </w:rPr>
      </w:pPr>
      <w:r w:rsidRPr="007F42BD">
        <w:rPr>
          <w:rFonts w:ascii="Cambria" w:hAnsi="Cambria" w:cs="Times New Roman"/>
          <w:sz w:val="24"/>
          <w:szCs w:val="24"/>
        </w:rPr>
        <w:t xml:space="preserve">Paweł Surmański, </w:t>
      </w:r>
      <w:r w:rsidRPr="007F42BD">
        <w:rPr>
          <w:rFonts w:ascii="Cambria" w:hAnsi="Cambria" w:cs="Times New Roman"/>
          <w:i/>
          <w:iCs/>
          <w:sz w:val="24"/>
          <w:szCs w:val="24"/>
        </w:rPr>
        <w:t>Działalność służb celno – skarbowych w obszarze gier hazardowych;</w:t>
      </w:r>
    </w:p>
    <w:p w14:paraId="456AF561" w14:textId="65C826BB" w:rsidR="00D51560" w:rsidRPr="007F42BD" w:rsidRDefault="00D51560" w:rsidP="00364EE7">
      <w:pPr>
        <w:pStyle w:val="Akapitzlist"/>
        <w:numPr>
          <w:ilvl w:val="0"/>
          <w:numId w:val="13"/>
        </w:numPr>
        <w:spacing w:after="120" w:line="276" w:lineRule="auto"/>
        <w:jc w:val="both"/>
        <w:rPr>
          <w:rFonts w:ascii="Cambria" w:hAnsi="Cambria" w:cs="Times New Roman"/>
          <w:i/>
          <w:iCs/>
          <w:sz w:val="24"/>
          <w:szCs w:val="24"/>
        </w:rPr>
      </w:pPr>
      <w:r w:rsidRPr="007F42BD">
        <w:rPr>
          <w:rFonts w:ascii="Cambria" w:hAnsi="Cambria" w:cs="Times New Roman"/>
          <w:sz w:val="24"/>
          <w:szCs w:val="24"/>
        </w:rPr>
        <w:t xml:space="preserve">Mateusz Prokopiuk, </w:t>
      </w:r>
      <w:r w:rsidRPr="007F42BD">
        <w:rPr>
          <w:rFonts w:ascii="Cambria" w:hAnsi="Cambria" w:cs="Times New Roman"/>
          <w:i/>
          <w:iCs/>
          <w:sz w:val="24"/>
          <w:szCs w:val="24"/>
        </w:rPr>
        <w:t>Zabezpieczenie sportowych imprez masowych w kontekście istniejących zagrożeń terrorystycznych na przykładzie wydarzeń sportowych organizowanych na terytorium Polski;</w:t>
      </w:r>
    </w:p>
    <w:p w14:paraId="4A82BEC8" w14:textId="04A4508B" w:rsidR="00D51560" w:rsidRPr="007F42BD" w:rsidRDefault="00D51560" w:rsidP="00364EE7">
      <w:pPr>
        <w:pStyle w:val="Akapitzlist"/>
        <w:numPr>
          <w:ilvl w:val="0"/>
          <w:numId w:val="13"/>
        </w:numPr>
        <w:spacing w:after="120" w:line="276" w:lineRule="auto"/>
        <w:jc w:val="both"/>
        <w:rPr>
          <w:rFonts w:ascii="Cambria" w:hAnsi="Cambria" w:cs="Times New Roman"/>
          <w:i/>
          <w:iCs/>
          <w:sz w:val="24"/>
          <w:szCs w:val="24"/>
        </w:rPr>
      </w:pPr>
      <w:r w:rsidRPr="007F42BD">
        <w:rPr>
          <w:rFonts w:ascii="Cambria" w:hAnsi="Cambria" w:cs="Times New Roman"/>
          <w:sz w:val="24"/>
          <w:szCs w:val="24"/>
        </w:rPr>
        <w:t xml:space="preserve">Andżelika Machul, </w:t>
      </w:r>
      <w:r w:rsidRPr="007F42BD">
        <w:rPr>
          <w:rFonts w:ascii="Cambria" w:hAnsi="Cambria" w:cs="Times New Roman"/>
          <w:i/>
          <w:iCs/>
          <w:sz w:val="24"/>
          <w:szCs w:val="24"/>
        </w:rPr>
        <w:t>Zjawisko korupcji w Polsce. Podstawowe definicje, wymiary i przejawy.</w:t>
      </w:r>
    </w:p>
    <w:p w14:paraId="2EB286E4" w14:textId="3421F017" w:rsidR="00D51560" w:rsidRPr="007F42BD" w:rsidRDefault="00D51560" w:rsidP="00364EE7">
      <w:pPr>
        <w:pStyle w:val="Akapitzlist"/>
        <w:numPr>
          <w:ilvl w:val="0"/>
          <w:numId w:val="13"/>
        </w:numPr>
        <w:spacing w:after="120" w:line="276" w:lineRule="auto"/>
        <w:jc w:val="both"/>
        <w:rPr>
          <w:rFonts w:ascii="Cambria" w:hAnsi="Cambria" w:cs="Times New Roman"/>
          <w:i/>
          <w:iCs/>
          <w:sz w:val="24"/>
          <w:szCs w:val="24"/>
        </w:rPr>
      </w:pPr>
      <w:r w:rsidRPr="007F42BD">
        <w:rPr>
          <w:rFonts w:ascii="Cambria" w:hAnsi="Cambria" w:cs="Times New Roman"/>
          <w:sz w:val="24"/>
          <w:szCs w:val="24"/>
        </w:rPr>
        <w:t xml:space="preserve">Agnieszka Krasuska, </w:t>
      </w:r>
      <w:r w:rsidRPr="007F42BD">
        <w:rPr>
          <w:rFonts w:ascii="Cambria" w:hAnsi="Cambria" w:cs="Times New Roman"/>
          <w:i/>
          <w:iCs/>
          <w:sz w:val="24"/>
          <w:szCs w:val="24"/>
        </w:rPr>
        <w:t>Zapewnienie bezpieczeństwa komunikacyjnego na przykładzie gminy Ostrowiec Świętokrzyski;</w:t>
      </w:r>
    </w:p>
    <w:p w14:paraId="15047108" w14:textId="02361C85" w:rsidR="00D51560" w:rsidRPr="007F42BD" w:rsidRDefault="00A035FB" w:rsidP="00364EE7">
      <w:pPr>
        <w:pStyle w:val="Akapitzlist"/>
        <w:numPr>
          <w:ilvl w:val="0"/>
          <w:numId w:val="13"/>
        </w:numPr>
        <w:spacing w:after="120" w:line="276" w:lineRule="auto"/>
        <w:jc w:val="both"/>
        <w:rPr>
          <w:rFonts w:ascii="Cambria" w:hAnsi="Cambria" w:cs="Times New Roman"/>
          <w:i/>
          <w:iCs/>
          <w:sz w:val="24"/>
          <w:szCs w:val="24"/>
        </w:rPr>
      </w:pPr>
      <w:r w:rsidRPr="007F42BD">
        <w:rPr>
          <w:rFonts w:ascii="Cambria" w:hAnsi="Cambria" w:cs="Times New Roman"/>
          <w:sz w:val="24"/>
          <w:szCs w:val="24"/>
        </w:rPr>
        <w:t xml:space="preserve">Kornelia Gregorczuk, </w:t>
      </w:r>
      <w:r w:rsidRPr="007F42BD">
        <w:rPr>
          <w:rFonts w:ascii="Cambria" w:hAnsi="Cambria" w:cs="Times New Roman"/>
          <w:i/>
          <w:iCs/>
          <w:sz w:val="24"/>
          <w:szCs w:val="24"/>
        </w:rPr>
        <w:t>Ochrona granic terytorium RP w świetle zasad funkcjonowania Straży Granicznej.</w:t>
      </w:r>
    </w:p>
    <w:p w14:paraId="70F0BD01" w14:textId="77777777" w:rsidR="007B42DD" w:rsidRPr="007F42BD" w:rsidRDefault="007B42DD" w:rsidP="007B42DD">
      <w:pPr>
        <w:pStyle w:val="Akapitzlist"/>
        <w:spacing w:after="120" w:line="276" w:lineRule="auto"/>
        <w:jc w:val="both"/>
        <w:rPr>
          <w:rFonts w:ascii="Cambria" w:hAnsi="Cambria" w:cs="Times New Roman"/>
          <w:i/>
          <w:iCs/>
          <w:sz w:val="24"/>
          <w:szCs w:val="24"/>
        </w:rPr>
      </w:pPr>
    </w:p>
    <w:p w14:paraId="55BF77EE" w14:textId="4E4D8E71" w:rsidR="00A035FB" w:rsidRPr="00D10CFD" w:rsidRDefault="00A035FB" w:rsidP="00364EE7">
      <w:pPr>
        <w:pStyle w:val="Akapitzlist"/>
        <w:numPr>
          <w:ilvl w:val="0"/>
          <w:numId w:val="10"/>
        </w:numPr>
        <w:spacing w:after="120" w:line="276" w:lineRule="auto"/>
        <w:jc w:val="both"/>
        <w:rPr>
          <w:rFonts w:ascii="Cambria" w:hAnsi="Cambria" w:cs="Times New Roman"/>
          <w:i/>
          <w:iCs/>
          <w:sz w:val="24"/>
          <w:szCs w:val="24"/>
        </w:rPr>
      </w:pPr>
      <w:r w:rsidRPr="007F42BD">
        <w:rPr>
          <w:rFonts w:ascii="Cambria" w:hAnsi="Cambria" w:cs="Times New Roman"/>
          <w:sz w:val="24"/>
          <w:szCs w:val="24"/>
          <w:u w:val="single"/>
        </w:rPr>
        <w:t>Promotorstwo prac licencjackich</w:t>
      </w:r>
      <w:r w:rsidRPr="007F42BD">
        <w:rPr>
          <w:rFonts w:ascii="Cambria" w:hAnsi="Cambria" w:cs="Times New Roman"/>
          <w:sz w:val="24"/>
          <w:szCs w:val="24"/>
        </w:rPr>
        <w:t>:</w:t>
      </w:r>
    </w:p>
    <w:p w14:paraId="105E5F6B" w14:textId="77777777" w:rsidR="00D10CFD" w:rsidRPr="007F42BD" w:rsidRDefault="00D10CFD" w:rsidP="00D10CFD">
      <w:pPr>
        <w:pStyle w:val="Akapitzlist"/>
        <w:spacing w:after="120" w:line="276" w:lineRule="auto"/>
        <w:ind w:left="1440"/>
        <w:jc w:val="both"/>
        <w:rPr>
          <w:rFonts w:ascii="Cambria" w:hAnsi="Cambria" w:cs="Times New Roman"/>
          <w:i/>
          <w:iCs/>
          <w:sz w:val="24"/>
          <w:szCs w:val="24"/>
        </w:rPr>
      </w:pPr>
    </w:p>
    <w:p w14:paraId="7CDF0CAB" w14:textId="5C559ED7" w:rsidR="00A035FB" w:rsidRPr="007F42BD" w:rsidRDefault="00A035FB" w:rsidP="00364EE7">
      <w:pPr>
        <w:pStyle w:val="Akapitzlist"/>
        <w:numPr>
          <w:ilvl w:val="0"/>
          <w:numId w:val="14"/>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Kacper Wroński, </w:t>
      </w:r>
      <w:r w:rsidRPr="007F42BD">
        <w:rPr>
          <w:rFonts w:ascii="Cambria" w:hAnsi="Cambria" w:cs="Times New Roman"/>
          <w:i/>
          <w:iCs/>
          <w:sz w:val="24"/>
          <w:szCs w:val="24"/>
        </w:rPr>
        <w:t>Zarządzanie działaniami marketingowymi przez małych przedsiębiorców na rynku w Polsce;</w:t>
      </w:r>
    </w:p>
    <w:p w14:paraId="5BBB958A" w14:textId="0F7F4D10" w:rsidR="00A035FB" w:rsidRPr="007F42BD" w:rsidRDefault="00A035FB" w:rsidP="00364EE7">
      <w:pPr>
        <w:pStyle w:val="Akapitzlist"/>
        <w:numPr>
          <w:ilvl w:val="0"/>
          <w:numId w:val="14"/>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Agata Wójcik, </w:t>
      </w:r>
      <w:r w:rsidRPr="007F42BD">
        <w:rPr>
          <w:rFonts w:ascii="Cambria" w:hAnsi="Cambria" w:cs="Times New Roman"/>
          <w:i/>
          <w:iCs/>
          <w:sz w:val="24"/>
          <w:szCs w:val="24"/>
        </w:rPr>
        <w:t xml:space="preserve">Formy wsparcia prawnego i finansowego dla </w:t>
      </w:r>
      <w:r w:rsidR="007B42DD" w:rsidRPr="007F42BD">
        <w:rPr>
          <w:rFonts w:ascii="Cambria" w:hAnsi="Cambria" w:cs="Times New Roman"/>
          <w:i/>
          <w:iCs/>
          <w:sz w:val="24"/>
          <w:szCs w:val="24"/>
        </w:rPr>
        <w:t>mikroprzedsiębiorców</w:t>
      </w:r>
      <w:r w:rsidRPr="007F42BD">
        <w:rPr>
          <w:rFonts w:ascii="Cambria" w:hAnsi="Cambria" w:cs="Times New Roman"/>
          <w:i/>
          <w:iCs/>
          <w:sz w:val="24"/>
          <w:szCs w:val="24"/>
        </w:rPr>
        <w:t xml:space="preserve"> na terenie województwa lubelskiego;</w:t>
      </w:r>
    </w:p>
    <w:p w14:paraId="0EA51347" w14:textId="2B339637" w:rsidR="00A035FB" w:rsidRPr="007F42BD" w:rsidRDefault="00A035FB" w:rsidP="00364EE7">
      <w:pPr>
        <w:pStyle w:val="Akapitzlist"/>
        <w:numPr>
          <w:ilvl w:val="0"/>
          <w:numId w:val="14"/>
        </w:numPr>
        <w:spacing w:after="120" w:line="276" w:lineRule="auto"/>
        <w:jc w:val="both"/>
        <w:rPr>
          <w:rFonts w:ascii="Cambria" w:hAnsi="Cambria" w:cs="Times New Roman"/>
          <w:sz w:val="24"/>
          <w:szCs w:val="24"/>
        </w:rPr>
      </w:pPr>
      <w:r w:rsidRPr="007F42BD">
        <w:rPr>
          <w:rFonts w:ascii="Cambria" w:hAnsi="Cambria" w:cs="Times New Roman"/>
          <w:sz w:val="24"/>
          <w:szCs w:val="24"/>
        </w:rPr>
        <w:lastRenderedPageBreak/>
        <w:t xml:space="preserve">Weronika Taracha, </w:t>
      </w:r>
      <w:r w:rsidRPr="007F42BD">
        <w:rPr>
          <w:rFonts w:ascii="Cambria" w:hAnsi="Cambria" w:cs="Times New Roman"/>
          <w:i/>
          <w:iCs/>
          <w:sz w:val="24"/>
          <w:szCs w:val="24"/>
        </w:rPr>
        <w:t>Organizacja i funkcjonowanie Urzędu Miasta w Lublinie – ogólne założenia;</w:t>
      </w:r>
    </w:p>
    <w:p w14:paraId="75167632" w14:textId="03C93247" w:rsidR="00A035FB" w:rsidRPr="007F42BD" w:rsidRDefault="00A035FB" w:rsidP="00364EE7">
      <w:pPr>
        <w:pStyle w:val="Akapitzlist"/>
        <w:numPr>
          <w:ilvl w:val="0"/>
          <w:numId w:val="14"/>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Natalia Wieczorek, </w:t>
      </w:r>
      <w:r w:rsidRPr="007F42BD">
        <w:rPr>
          <w:rFonts w:ascii="Cambria" w:hAnsi="Cambria" w:cs="Times New Roman"/>
          <w:i/>
          <w:iCs/>
          <w:sz w:val="24"/>
          <w:szCs w:val="24"/>
        </w:rPr>
        <w:t>Prowadzenie działalności gospodarczej w branży turystycznej;</w:t>
      </w:r>
    </w:p>
    <w:p w14:paraId="589A7DAC" w14:textId="1CF3035A" w:rsidR="00A035FB" w:rsidRPr="007F42BD" w:rsidRDefault="00A035FB" w:rsidP="00364EE7">
      <w:pPr>
        <w:pStyle w:val="Akapitzlist"/>
        <w:numPr>
          <w:ilvl w:val="0"/>
          <w:numId w:val="14"/>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Maria Stańczyk, </w:t>
      </w:r>
      <w:r w:rsidRPr="007F42BD">
        <w:rPr>
          <w:rFonts w:ascii="Cambria" w:hAnsi="Cambria" w:cs="Times New Roman"/>
          <w:i/>
          <w:iCs/>
          <w:sz w:val="24"/>
          <w:szCs w:val="24"/>
        </w:rPr>
        <w:t>Działalność inkubatorów przedsiębiorczości na terenie województwa mazowieckiego po wstąpieniu Polski do UE;</w:t>
      </w:r>
    </w:p>
    <w:p w14:paraId="31D4442D" w14:textId="37541731" w:rsidR="00A035FB" w:rsidRPr="007F42BD" w:rsidRDefault="00A035FB" w:rsidP="00364EE7">
      <w:pPr>
        <w:pStyle w:val="Akapitzlist"/>
        <w:numPr>
          <w:ilvl w:val="0"/>
          <w:numId w:val="14"/>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Paulina Działo, </w:t>
      </w:r>
      <w:r w:rsidRPr="007F42BD">
        <w:rPr>
          <w:rFonts w:ascii="Cambria" w:hAnsi="Cambria" w:cs="Times New Roman"/>
          <w:i/>
          <w:iCs/>
          <w:sz w:val="24"/>
          <w:szCs w:val="24"/>
        </w:rPr>
        <w:t>Organizacja i funkcjonowanie banków spółdzielczych w Polsce na przykładzie Banku Spółdzielczego w Mielcu;</w:t>
      </w:r>
    </w:p>
    <w:p w14:paraId="300A87B2" w14:textId="4005539E" w:rsidR="00A035FB" w:rsidRPr="007F42BD" w:rsidRDefault="00A035FB" w:rsidP="00364EE7">
      <w:pPr>
        <w:pStyle w:val="Akapitzlist"/>
        <w:numPr>
          <w:ilvl w:val="0"/>
          <w:numId w:val="14"/>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Mateusz Bućko, </w:t>
      </w:r>
      <w:r w:rsidRPr="007F42BD">
        <w:rPr>
          <w:rFonts w:ascii="Cambria" w:hAnsi="Cambria" w:cs="Times New Roman"/>
          <w:i/>
          <w:iCs/>
          <w:sz w:val="24"/>
          <w:szCs w:val="24"/>
        </w:rPr>
        <w:t xml:space="preserve">Organizacja i funkcjonowanie jednostek wojsk specjalnych RP na przykładzie Jednostki </w:t>
      </w:r>
      <w:r w:rsidR="0088115E" w:rsidRPr="007F42BD">
        <w:rPr>
          <w:rFonts w:ascii="Cambria" w:hAnsi="Cambria" w:cs="Times New Roman"/>
          <w:i/>
          <w:iCs/>
          <w:sz w:val="24"/>
          <w:szCs w:val="24"/>
        </w:rPr>
        <w:t>Wojskowej GROM po wstąpieniu do UE;</w:t>
      </w:r>
    </w:p>
    <w:p w14:paraId="2765B309" w14:textId="1B2A1350" w:rsidR="0088115E" w:rsidRPr="007F42BD" w:rsidRDefault="0088115E" w:rsidP="00364EE7">
      <w:pPr>
        <w:pStyle w:val="Akapitzlist"/>
        <w:numPr>
          <w:ilvl w:val="0"/>
          <w:numId w:val="14"/>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Olga Maruchniak, </w:t>
      </w:r>
      <w:r w:rsidRPr="007F42BD">
        <w:rPr>
          <w:rFonts w:ascii="Cambria" w:hAnsi="Cambria" w:cs="Times New Roman"/>
          <w:i/>
          <w:iCs/>
          <w:sz w:val="24"/>
          <w:szCs w:val="24"/>
        </w:rPr>
        <w:t>Organizacja Kościoła Katolickiego w Polsce;</w:t>
      </w:r>
    </w:p>
    <w:p w14:paraId="3833924B" w14:textId="407D7345" w:rsidR="0088115E" w:rsidRPr="007F42BD" w:rsidRDefault="0088115E" w:rsidP="00364EE7">
      <w:pPr>
        <w:pStyle w:val="Akapitzlist"/>
        <w:numPr>
          <w:ilvl w:val="0"/>
          <w:numId w:val="14"/>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Krystsina Bicheuskaya, </w:t>
      </w:r>
      <w:r w:rsidRPr="007F42BD">
        <w:rPr>
          <w:rFonts w:ascii="Cambria" w:hAnsi="Cambria" w:cs="Times New Roman"/>
          <w:i/>
          <w:iCs/>
          <w:sz w:val="24"/>
          <w:szCs w:val="24"/>
        </w:rPr>
        <w:t>Etyka biznesu – istota, pojęcie i funkcje;</w:t>
      </w:r>
    </w:p>
    <w:p w14:paraId="27BC05D8" w14:textId="7C020757" w:rsidR="0088115E" w:rsidRPr="007F42BD" w:rsidRDefault="0088115E" w:rsidP="00364EE7">
      <w:pPr>
        <w:pStyle w:val="Akapitzlist"/>
        <w:numPr>
          <w:ilvl w:val="0"/>
          <w:numId w:val="14"/>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Robert Kozak, </w:t>
      </w:r>
      <w:r w:rsidRPr="007F42BD">
        <w:rPr>
          <w:rFonts w:ascii="Cambria" w:hAnsi="Cambria" w:cs="Times New Roman"/>
          <w:i/>
          <w:iCs/>
          <w:sz w:val="24"/>
          <w:szCs w:val="24"/>
        </w:rPr>
        <w:t>Działalność marketingowa przedsiębiorstwa na przykładzie ZL Nałęczów Zdrój Sp. z o. o.</w:t>
      </w:r>
    </w:p>
    <w:p w14:paraId="74E080CD" w14:textId="712CC887" w:rsidR="0088115E" w:rsidRPr="007F42BD" w:rsidRDefault="0088115E" w:rsidP="00364EE7">
      <w:pPr>
        <w:pStyle w:val="Akapitzlist"/>
        <w:numPr>
          <w:ilvl w:val="0"/>
          <w:numId w:val="14"/>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Diana Tymińska, </w:t>
      </w:r>
      <w:r w:rsidRPr="007F42BD">
        <w:rPr>
          <w:rFonts w:ascii="Cambria" w:hAnsi="Cambria" w:cs="Times New Roman"/>
          <w:i/>
          <w:iCs/>
          <w:sz w:val="24"/>
          <w:szCs w:val="24"/>
        </w:rPr>
        <w:t>Organizacja administracji publicznej w Polsce;</w:t>
      </w:r>
    </w:p>
    <w:p w14:paraId="5E15D36F" w14:textId="379C9EA0" w:rsidR="0088115E" w:rsidRPr="007F42BD" w:rsidRDefault="0088115E" w:rsidP="00364EE7">
      <w:pPr>
        <w:pStyle w:val="Akapitzlist"/>
        <w:numPr>
          <w:ilvl w:val="0"/>
          <w:numId w:val="14"/>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Karolina Tatara, </w:t>
      </w:r>
      <w:r w:rsidRPr="007F42BD">
        <w:rPr>
          <w:rFonts w:ascii="Cambria" w:hAnsi="Cambria" w:cs="Times New Roman"/>
          <w:i/>
          <w:iCs/>
          <w:sz w:val="24"/>
          <w:szCs w:val="24"/>
        </w:rPr>
        <w:t>Biurokracja – istota, pojęcie i funkcje;</w:t>
      </w:r>
    </w:p>
    <w:p w14:paraId="0E7E2F2D" w14:textId="186ABC99" w:rsidR="0088115E" w:rsidRPr="007F42BD" w:rsidRDefault="0088115E" w:rsidP="00364EE7">
      <w:pPr>
        <w:pStyle w:val="Akapitzlist"/>
        <w:numPr>
          <w:ilvl w:val="0"/>
          <w:numId w:val="14"/>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Magdalena Kogut, </w:t>
      </w:r>
      <w:r w:rsidRPr="007F42BD">
        <w:rPr>
          <w:rFonts w:ascii="Cambria" w:hAnsi="Cambria" w:cs="Times New Roman"/>
          <w:i/>
          <w:iCs/>
          <w:sz w:val="24"/>
          <w:szCs w:val="24"/>
        </w:rPr>
        <w:t>Koncepcja ustroju gospodarczego w nauczaniu Jana Pawła II;</w:t>
      </w:r>
    </w:p>
    <w:p w14:paraId="51D206D5" w14:textId="739D2315" w:rsidR="0088115E" w:rsidRPr="007F42BD" w:rsidRDefault="0088115E" w:rsidP="00364EE7">
      <w:pPr>
        <w:pStyle w:val="Akapitzlist"/>
        <w:numPr>
          <w:ilvl w:val="0"/>
          <w:numId w:val="14"/>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Paulina Knap, </w:t>
      </w:r>
      <w:r w:rsidRPr="007F42BD">
        <w:rPr>
          <w:rFonts w:ascii="Cambria" w:hAnsi="Cambria" w:cs="Times New Roman"/>
          <w:i/>
          <w:iCs/>
          <w:sz w:val="24"/>
          <w:szCs w:val="24"/>
        </w:rPr>
        <w:t>System pomocy społecznej w Polsce;</w:t>
      </w:r>
    </w:p>
    <w:p w14:paraId="6E57CC45" w14:textId="2F009BAF" w:rsidR="0088115E" w:rsidRPr="007F42BD" w:rsidRDefault="0088115E" w:rsidP="00364EE7">
      <w:pPr>
        <w:pStyle w:val="Akapitzlist"/>
        <w:numPr>
          <w:ilvl w:val="0"/>
          <w:numId w:val="14"/>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Gornelia Gregorczuk, </w:t>
      </w:r>
      <w:r w:rsidRPr="007F42BD">
        <w:rPr>
          <w:rFonts w:ascii="Cambria" w:hAnsi="Cambria" w:cs="Times New Roman"/>
          <w:i/>
          <w:iCs/>
          <w:sz w:val="24"/>
          <w:szCs w:val="24"/>
        </w:rPr>
        <w:t>Rola i funkcjonowanie Służby Celnej przed wejściem w życie reformy w 2017 r.;</w:t>
      </w:r>
    </w:p>
    <w:p w14:paraId="456147BD" w14:textId="52A66F2A" w:rsidR="0088115E" w:rsidRPr="007F42BD" w:rsidRDefault="0088115E" w:rsidP="00364EE7">
      <w:pPr>
        <w:pStyle w:val="Akapitzlist"/>
        <w:numPr>
          <w:ilvl w:val="0"/>
          <w:numId w:val="14"/>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Paweł Surmański, </w:t>
      </w:r>
      <w:r w:rsidRPr="007F42BD">
        <w:rPr>
          <w:rFonts w:ascii="Cambria" w:hAnsi="Cambria" w:cs="Times New Roman"/>
          <w:i/>
          <w:iCs/>
          <w:sz w:val="24"/>
          <w:szCs w:val="24"/>
        </w:rPr>
        <w:t xml:space="preserve">Zarządzanie zasobami ludzkimi w administracji publicznej na </w:t>
      </w:r>
      <w:r w:rsidR="007B42DD" w:rsidRPr="007F42BD">
        <w:rPr>
          <w:rFonts w:ascii="Cambria" w:hAnsi="Cambria" w:cs="Times New Roman"/>
          <w:i/>
          <w:iCs/>
          <w:sz w:val="24"/>
          <w:szCs w:val="24"/>
        </w:rPr>
        <w:t>przykładzie</w:t>
      </w:r>
      <w:r w:rsidRPr="007F42BD">
        <w:rPr>
          <w:rFonts w:ascii="Cambria" w:hAnsi="Cambria" w:cs="Times New Roman"/>
          <w:i/>
          <w:iCs/>
          <w:sz w:val="24"/>
          <w:szCs w:val="24"/>
        </w:rPr>
        <w:t xml:space="preserve"> jednostki Straży Pożarnej w Ostrowcu </w:t>
      </w:r>
      <w:r w:rsidR="007B42DD" w:rsidRPr="007F42BD">
        <w:rPr>
          <w:rFonts w:ascii="Cambria" w:hAnsi="Cambria" w:cs="Times New Roman"/>
          <w:i/>
          <w:iCs/>
          <w:sz w:val="24"/>
          <w:szCs w:val="24"/>
        </w:rPr>
        <w:t>Świętokrzyskim</w:t>
      </w:r>
      <w:r w:rsidRPr="007F42BD">
        <w:rPr>
          <w:rFonts w:ascii="Cambria" w:hAnsi="Cambria" w:cs="Times New Roman"/>
          <w:i/>
          <w:iCs/>
          <w:sz w:val="24"/>
          <w:szCs w:val="24"/>
        </w:rPr>
        <w:t>;</w:t>
      </w:r>
    </w:p>
    <w:p w14:paraId="74AC1A81" w14:textId="24A158C6" w:rsidR="0088115E" w:rsidRPr="007F42BD" w:rsidRDefault="008F69E3" w:rsidP="00364EE7">
      <w:pPr>
        <w:pStyle w:val="Akapitzlist"/>
        <w:numPr>
          <w:ilvl w:val="0"/>
          <w:numId w:val="14"/>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Dominika Gutowska, </w:t>
      </w:r>
      <w:r w:rsidRPr="007F42BD">
        <w:rPr>
          <w:rFonts w:ascii="Cambria" w:hAnsi="Cambria" w:cs="Times New Roman"/>
          <w:i/>
          <w:iCs/>
          <w:sz w:val="24"/>
          <w:szCs w:val="24"/>
        </w:rPr>
        <w:t>Młody przedsiębiorca na rynku pracy w Polsce;</w:t>
      </w:r>
    </w:p>
    <w:p w14:paraId="5CD77779" w14:textId="3F747107" w:rsidR="008F69E3" w:rsidRPr="007F42BD" w:rsidRDefault="008F69E3" w:rsidP="00364EE7">
      <w:pPr>
        <w:pStyle w:val="Akapitzlist"/>
        <w:numPr>
          <w:ilvl w:val="0"/>
          <w:numId w:val="14"/>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Klaudia Ćwik, </w:t>
      </w:r>
      <w:r w:rsidRPr="007F42BD">
        <w:rPr>
          <w:rFonts w:ascii="Cambria" w:hAnsi="Cambria" w:cs="Times New Roman"/>
          <w:i/>
          <w:iCs/>
          <w:sz w:val="24"/>
          <w:szCs w:val="24"/>
        </w:rPr>
        <w:t xml:space="preserve">Straż Miejska jako organ bezpieczeństwa i porządku publicznego miasta – analiza na przykładzie Straży Miejskiej w Ostrowcu </w:t>
      </w:r>
      <w:r w:rsidR="007B42DD" w:rsidRPr="007F42BD">
        <w:rPr>
          <w:rFonts w:ascii="Cambria" w:hAnsi="Cambria" w:cs="Times New Roman"/>
          <w:i/>
          <w:iCs/>
          <w:sz w:val="24"/>
          <w:szCs w:val="24"/>
        </w:rPr>
        <w:t>Świętokrzyskim</w:t>
      </w:r>
      <w:r w:rsidRPr="007F42BD">
        <w:rPr>
          <w:rFonts w:ascii="Cambria" w:hAnsi="Cambria" w:cs="Times New Roman"/>
          <w:i/>
          <w:iCs/>
          <w:sz w:val="24"/>
          <w:szCs w:val="24"/>
        </w:rPr>
        <w:t>;</w:t>
      </w:r>
    </w:p>
    <w:p w14:paraId="4F0192AA" w14:textId="7EA2F57F" w:rsidR="008F69E3" w:rsidRPr="007F42BD" w:rsidRDefault="008F69E3" w:rsidP="00364EE7">
      <w:pPr>
        <w:pStyle w:val="Akapitzlist"/>
        <w:numPr>
          <w:ilvl w:val="0"/>
          <w:numId w:val="14"/>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Izabela Niedźwiadek, </w:t>
      </w:r>
      <w:r w:rsidRPr="007F42BD">
        <w:rPr>
          <w:rFonts w:ascii="Cambria" w:hAnsi="Cambria" w:cs="Times New Roman"/>
          <w:i/>
          <w:iCs/>
          <w:sz w:val="24"/>
          <w:szCs w:val="24"/>
        </w:rPr>
        <w:t>Organizacja i funkcjonowanie mikro, małych i średnich przedsiębiorstw w Polsce;</w:t>
      </w:r>
    </w:p>
    <w:p w14:paraId="4CB1001F" w14:textId="759DFBFE" w:rsidR="008F69E3" w:rsidRPr="007F42BD" w:rsidRDefault="008F69E3" w:rsidP="00364EE7">
      <w:pPr>
        <w:pStyle w:val="Akapitzlist"/>
        <w:numPr>
          <w:ilvl w:val="0"/>
          <w:numId w:val="14"/>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Bartosz Wdowiak, </w:t>
      </w:r>
      <w:r w:rsidRPr="007F42BD">
        <w:rPr>
          <w:rFonts w:ascii="Cambria" w:hAnsi="Cambria" w:cs="Times New Roman"/>
          <w:i/>
          <w:iCs/>
          <w:sz w:val="24"/>
          <w:szCs w:val="24"/>
        </w:rPr>
        <w:t>Zarządzanie przedsiębiorstwem na przykładzie Banku Spółdzielczego w Garbowie;</w:t>
      </w:r>
    </w:p>
    <w:p w14:paraId="48D923E7" w14:textId="3D9E4CA2" w:rsidR="008F69E3" w:rsidRPr="007F42BD" w:rsidRDefault="008F69E3" w:rsidP="00364EE7">
      <w:pPr>
        <w:pStyle w:val="Akapitzlist"/>
        <w:numPr>
          <w:ilvl w:val="0"/>
          <w:numId w:val="14"/>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Agnieszka Krasuska, </w:t>
      </w:r>
      <w:r w:rsidRPr="007F42BD">
        <w:rPr>
          <w:rFonts w:ascii="Cambria" w:hAnsi="Cambria" w:cs="Times New Roman"/>
          <w:i/>
          <w:iCs/>
          <w:sz w:val="24"/>
          <w:szCs w:val="24"/>
        </w:rPr>
        <w:t>Etyka jako narzędzie sprawnego zarządzania w administracji;</w:t>
      </w:r>
    </w:p>
    <w:p w14:paraId="7CEEAD07" w14:textId="28E4677D" w:rsidR="008F69E3" w:rsidRPr="007F42BD" w:rsidRDefault="008F69E3" w:rsidP="00364EE7">
      <w:pPr>
        <w:pStyle w:val="Akapitzlist"/>
        <w:numPr>
          <w:ilvl w:val="0"/>
          <w:numId w:val="14"/>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Aleksandra Wysokińska, </w:t>
      </w:r>
      <w:r w:rsidRPr="007F42BD">
        <w:rPr>
          <w:rFonts w:ascii="Cambria" w:hAnsi="Cambria" w:cs="Times New Roman"/>
          <w:i/>
          <w:iCs/>
          <w:sz w:val="24"/>
          <w:szCs w:val="24"/>
        </w:rPr>
        <w:t>Organizacja i zarządzanie w Gminie Wiśniew;</w:t>
      </w:r>
    </w:p>
    <w:p w14:paraId="5D62F768" w14:textId="4263D006" w:rsidR="008F69E3" w:rsidRPr="007F42BD" w:rsidRDefault="008F69E3" w:rsidP="00364EE7">
      <w:pPr>
        <w:pStyle w:val="Akapitzlist"/>
        <w:numPr>
          <w:ilvl w:val="0"/>
          <w:numId w:val="14"/>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Diana Stanicka, </w:t>
      </w:r>
      <w:r w:rsidRPr="007F42BD">
        <w:rPr>
          <w:rFonts w:ascii="Cambria" w:hAnsi="Cambria" w:cs="Times New Roman"/>
          <w:i/>
          <w:iCs/>
          <w:sz w:val="24"/>
          <w:szCs w:val="24"/>
        </w:rPr>
        <w:t>Motywowanie i jego wpływ na rozwój pracownika w organizacji;</w:t>
      </w:r>
    </w:p>
    <w:p w14:paraId="0A304F0C" w14:textId="2CAB7010" w:rsidR="008F69E3" w:rsidRPr="007F42BD" w:rsidRDefault="008F69E3" w:rsidP="00364EE7">
      <w:pPr>
        <w:pStyle w:val="Akapitzlist"/>
        <w:numPr>
          <w:ilvl w:val="0"/>
          <w:numId w:val="14"/>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Gabriel Wałach, </w:t>
      </w:r>
      <w:r w:rsidRPr="007F42BD">
        <w:rPr>
          <w:rFonts w:ascii="Cambria" w:hAnsi="Cambria" w:cs="Times New Roman"/>
          <w:i/>
          <w:iCs/>
          <w:sz w:val="24"/>
          <w:szCs w:val="24"/>
        </w:rPr>
        <w:t>Ewolucja Służby Ochrony Państwa w latach 2015 – 2018;</w:t>
      </w:r>
    </w:p>
    <w:p w14:paraId="47F6D6DA" w14:textId="20D79760" w:rsidR="008F69E3" w:rsidRPr="007F42BD" w:rsidRDefault="008F69E3" w:rsidP="00364EE7">
      <w:pPr>
        <w:pStyle w:val="Akapitzlist"/>
        <w:numPr>
          <w:ilvl w:val="0"/>
          <w:numId w:val="14"/>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Marcelina Stępień, </w:t>
      </w:r>
      <w:r w:rsidRPr="007F42BD">
        <w:rPr>
          <w:rFonts w:ascii="Cambria" w:hAnsi="Cambria" w:cs="Times New Roman"/>
          <w:i/>
          <w:iCs/>
          <w:sz w:val="24"/>
          <w:szCs w:val="24"/>
        </w:rPr>
        <w:t>Rola menadżera w efektywnym zarządzaniu przedsiębiorstwem;</w:t>
      </w:r>
    </w:p>
    <w:p w14:paraId="09D6FBFF" w14:textId="6AD15429" w:rsidR="008F69E3" w:rsidRPr="007F42BD" w:rsidRDefault="008F69E3" w:rsidP="00364EE7">
      <w:pPr>
        <w:pStyle w:val="Akapitzlist"/>
        <w:numPr>
          <w:ilvl w:val="0"/>
          <w:numId w:val="14"/>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Wiktoria Tarka, </w:t>
      </w:r>
      <w:r w:rsidRPr="007F42BD">
        <w:rPr>
          <w:rFonts w:ascii="Cambria" w:hAnsi="Cambria" w:cs="Times New Roman"/>
          <w:i/>
          <w:iCs/>
          <w:sz w:val="24"/>
          <w:szCs w:val="24"/>
        </w:rPr>
        <w:t xml:space="preserve">Grupa przestępcza jako typ kultury </w:t>
      </w:r>
      <w:r w:rsidR="007B42DD" w:rsidRPr="007F42BD">
        <w:rPr>
          <w:rFonts w:ascii="Cambria" w:hAnsi="Cambria" w:cs="Times New Roman"/>
          <w:i/>
          <w:iCs/>
          <w:sz w:val="24"/>
          <w:szCs w:val="24"/>
        </w:rPr>
        <w:t>organizacyjnej</w:t>
      </w:r>
      <w:r w:rsidRPr="007F42BD">
        <w:rPr>
          <w:rFonts w:ascii="Cambria" w:hAnsi="Cambria" w:cs="Times New Roman"/>
          <w:i/>
          <w:iCs/>
          <w:sz w:val="24"/>
          <w:szCs w:val="24"/>
        </w:rPr>
        <w:t>;</w:t>
      </w:r>
    </w:p>
    <w:p w14:paraId="0BEBCEEA" w14:textId="5DBB2E3B" w:rsidR="008F69E3" w:rsidRPr="007F42BD" w:rsidRDefault="008F69E3" w:rsidP="00364EE7">
      <w:pPr>
        <w:pStyle w:val="Akapitzlist"/>
        <w:numPr>
          <w:ilvl w:val="0"/>
          <w:numId w:val="14"/>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Patrycja Żelazna, </w:t>
      </w:r>
      <w:r w:rsidRPr="007F42BD">
        <w:rPr>
          <w:rFonts w:ascii="Cambria" w:hAnsi="Cambria" w:cs="Times New Roman"/>
          <w:i/>
          <w:iCs/>
          <w:sz w:val="24"/>
          <w:szCs w:val="24"/>
        </w:rPr>
        <w:t>Organizacja i funkcjonowanie Tatrzańskiego Ochotniczego Pogotowia Ratunkowego;</w:t>
      </w:r>
    </w:p>
    <w:p w14:paraId="70E97F9F" w14:textId="04BB6989" w:rsidR="008F69E3" w:rsidRPr="007F42BD" w:rsidRDefault="008F69E3" w:rsidP="00364EE7">
      <w:pPr>
        <w:pStyle w:val="Akapitzlist"/>
        <w:numPr>
          <w:ilvl w:val="0"/>
          <w:numId w:val="14"/>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Izabela Szymczyk, </w:t>
      </w:r>
      <w:r w:rsidR="007B42DD" w:rsidRPr="007F42BD">
        <w:rPr>
          <w:rFonts w:ascii="Cambria" w:hAnsi="Cambria" w:cs="Times New Roman"/>
          <w:i/>
          <w:iCs/>
          <w:sz w:val="24"/>
          <w:szCs w:val="24"/>
        </w:rPr>
        <w:t>Grom jako jednostka zwalczania terroryzmu w Polsce;</w:t>
      </w:r>
    </w:p>
    <w:p w14:paraId="24CC669E" w14:textId="0F04A23F" w:rsidR="007B42DD" w:rsidRPr="007F42BD" w:rsidRDefault="007B42DD" w:rsidP="00364EE7">
      <w:pPr>
        <w:pStyle w:val="Akapitzlist"/>
        <w:numPr>
          <w:ilvl w:val="0"/>
          <w:numId w:val="14"/>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Kamil Książka, </w:t>
      </w:r>
      <w:r w:rsidRPr="007F42BD">
        <w:rPr>
          <w:rFonts w:ascii="Cambria" w:hAnsi="Cambria" w:cs="Times New Roman"/>
          <w:i/>
          <w:iCs/>
          <w:sz w:val="24"/>
          <w:szCs w:val="24"/>
        </w:rPr>
        <w:t>Organizacja i funkcjonowanie Państwowej Straży Pożarnej w Ostrowcu Świętokrzyskim;</w:t>
      </w:r>
    </w:p>
    <w:p w14:paraId="3FD0FE83" w14:textId="2A33537F" w:rsidR="007B42DD" w:rsidRPr="007F42BD" w:rsidRDefault="007B42DD" w:rsidP="00364EE7">
      <w:pPr>
        <w:pStyle w:val="Akapitzlist"/>
        <w:numPr>
          <w:ilvl w:val="0"/>
          <w:numId w:val="14"/>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Konrad Kuchciak, </w:t>
      </w:r>
      <w:r w:rsidRPr="007F42BD">
        <w:rPr>
          <w:rFonts w:ascii="Cambria" w:hAnsi="Cambria" w:cs="Times New Roman"/>
          <w:i/>
          <w:iCs/>
          <w:sz w:val="24"/>
          <w:szCs w:val="24"/>
        </w:rPr>
        <w:t>Krajowa Administracja Skarbowa – organizacja i funkcjonowanie;</w:t>
      </w:r>
    </w:p>
    <w:p w14:paraId="0E16E77C" w14:textId="65CA09D4" w:rsidR="007B42DD" w:rsidRPr="007F42BD" w:rsidRDefault="007B42DD" w:rsidP="00364EE7">
      <w:pPr>
        <w:pStyle w:val="Akapitzlist"/>
        <w:numPr>
          <w:ilvl w:val="0"/>
          <w:numId w:val="14"/>
        </w:numPr>
        <w:spacing w:after="120" w:line="276" w:lineRule="auto"/>
        <w:jc w:val="both"/>
        <w:rPr>
          <w:rFonts w:ascii="Cambria" w:hAnsi="Cambria" w:cs="Times New Roman"/>
          <w:sz w:val="24"/>
          <w:szCs w:val="24"/>
        </w:rPr>
      </w:pPr>
      <w:r w:rsidRPr="007F42BD">
        <w:rPr>
          <w:rFonts w:ascii="Cambria" w:hAnsi="Cambria" w:cs="Times New Roman"/>
          <w:sz w:val="24"/>
          <w:szCs w:val="24"/>
        </w:rPr>
        <w:lastRenderedPageBreak/>
        <w:t xml:space="preserve">Jowita Jóźwiak, </w:t>
      </w:r>
      <w:r w:rsidRPr="007F42BD">
        <w:rPr>
          <w:rFonts w:ascii="Cambria" w:hAnsi="Cambria" w:cs="Times New Roman"/>
          <w:i/>
          <w:iCs/>
          <w:sz w:val="24"/>
          <w:szCs w:val="24"/>
        </w:rPr>
        <w:t>Ewolucja prowadzenia działalności gospodarczej przed osoby fizyczne na podstawie przepisów ustawy o swobodzie działalności gospodarczej i ustawy – Prawo przedsiębiorców. Wybrana problematyka;</w:t>
      </w:r>
    </w:p>
    <w:p w14:paraId="12E7E7FB" w14:textId="633B42FF" w:rsidR="007B42DD" w:rsidRPr="007F42BD" w:rsidRDefault="007B42DD" w:rsidP="00364EE7">
      <w:pPr>
        <w:pStyle w:val="Akapitzlist"/>
        <w:numPr>
          <w:ilvl w:val="0"/>
          <w:numId w:val="14"/>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Weronika Wlaszczyk, </w:t>
      </w:r>
      <w:r w:rsidRPr="007F42BD">
        <w:rPr>
          <w:rFonts w:ascii="Cambria" w:hAnsi="Cambria" w:cs="Times New Roman"/>
          <w:i/>
          <w:iCs/>
          <w:sz w:val="24"/>
          <w:szCs w:val="24"/>
        </w:rPr>
        <w:t>Wybrana problematyka z zakresu działalności hotelarskiej w Polsce;</w:t>
      </w:r>
    </w:p>
    <w:p w14:paraId="738623A6" w14:textId="44F97D93" w:rsidR="007B42DD" w:rsidRPr="007F42BD" w:rsidRDefault="007B42DD" w:rsidP="00364EE7">
      <w:pPr>
        <w:pStyle w:val="Akapitzlist"/>
        <w:numPr>
          <w:ilvl w:val="0"/>
          <w:numId w:val="14"/>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Weronika Grzelak, </w:t>
      </w:r>
      <w:r w:rsidRPr="007F42BD">
        <w:rPr>
          <w:rFonts w:ascii="Cambria" w:hAnsi="Cambria" w:cs="Times New Roman"/>
          <w:i/>
          <w:iCs/>
          <w:sz w:val="24"/>
          <w:szCs w:val="24"/>
        </w:rPr>
        <w:t>Organizacja Służby Więziennej w województwie lubelskim;</w:t>
      </w:r>
    </w:p>
    <w:p w14:paraId="32533975" w14:textId="6061817A" w:rsidR="007B42DD" w:rsidRPr="007F42BD" w:rsidRDefault="007B42DD" w:rsidP="00364EE7">
      <w:pPr>
        <w:pStyle w:val="Akapitzlist"/>
        <w:numPr>
          <w:ilvl w:val="0"/>
          <w:numId w:val="14"/>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Adrian Kulczycki, </w:t>
      </w:r>
      <w:r w:rsidRPr="007F42BD">
        <w:rPr>
          <w:rFonts w:ascii="Cambria" w:hAnsi="Cambria" w:cs="Times New Roman"/>
          <w:i/>
          <w:iCs/>
          <w:sz w:val="24"/>
          <w:szCs w:val="24"/>
        </w:rPr>
        <w:t>Struktura i funkcjonowanie Straży Granicznej.</w:t>
      </w:r>
    </w:p>
    <w:p w14:paraId="17B113EB" w14:textId="77777777" w:rsidR="00B23444" w:rsidRPr="007F42BD" w:rsidRDefault="00B23444" w:rsidP="00B23444">
      <w:pPr>
        <w:pStyle w:val="Akapitzlist"/>
        <w:spacing w:after="120" w:line="276" w:lineRule="auto"/>
        <w:jc w:val="both"/>
        <w:rPr>
          <w:rFonts w:ascii="Cambria" w:hAnsi="Cambria" w:cs="Times New Roman"/>
          <w:sz w:val="24"/>
          <w:szCs w:val="24"/>
        </w:rPr>
      </w:pPr>
    </w:p>
    <w:p w14:paraId="364F095A" w14:textId="23C04C50" w:rsidR="00B23444" w:rsidRPr="007F42BD" w:rsidRDefault="00B23444" w:rsidP="00364EE7">
      <w:pPr>
        <w:pStyle w:val="Akapitzlist"/>
        <w:numPr>
          <w:ilvl w:val="0"/>
          <w:numId w:val="10"/>
        </w:numPr>
        <w:spacing w:after="120" w:line="276" w:lineRule="auto"/>
        <w:jc w:val="both"/>
        <w:rPr>
          <w:rFonts w:ascii="Cambria" w:hAnsi="Cambria" w:cs="Times New Roman"/>
          <w:sz w:val="24"/>
          <w:szCs w:val="24"/>
        </w:rPr>
      </w:pPr>
      <w:r w:rsidRPr="007F42BD">
        <w:rPr>
          <w:rFonts w:ascii="Cambria" w:hAnsi="Cambria" w:cs="Times New Roman"/>
          <w:sz w:val="24"/>
          <w:szCs w:val="24"/>
          <w:u w:val="single"/>
        </w:rPr>
        <w:t>Recenzje prac licencjackich</w:t>
      </w:r>
      <w:r w:rsidRPr="007F42BD">
        <w:rPr>
          <w:rFonts w:ascii="Cambria" w:hAnsi="Cambria" w:cs="Times New Roman"/>
          <w:sz w:val="24"/>
          <w:szCs w:val="24"/>
        </w:rPr>
        <w:t>:</w:t>
      </w:r>
    </w:p>
    <w:p w14:paraId="233C6E55" w14:textId="6E39291D" w:rsidR="00B23444" w:rsidRPr="007F42BD" w:rsidRDefault="00B23444" w:rsidP="00364EE7">
      <w:pPr>
        <w:pStyle w:val="Akapitzlist"/>
        <w:numPr>
          <w:ilvl w:val="0"/>
          <w:numId w:val="16"/>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Ewa Kupa, </w:t>
      </w:r>
      <w:r w:rsidRPr="007F42BD">
        <w:rPr>
          <w:rFonts w:ascii="Cambria" w:hAnsi="Cambria" w:cs="Times New Roman"/>
          <w:i/>
          <w:iCs/>
          <w:sz w:val="24"/>
          <w:szCs w:val="24"/>
        </w:rPr>
        <w:t xml:space="preserve">Planowanie zasobów ludzkich organizacji </w:t>
      </w:r>
      <w:r w:rsidRPr="007F42BD">
        <w:rPr>
          <w:rFonts w:ascii="Cambria" w:hAnsi="Cambria" w:cs="Times New Roman"/>
          <w:sz w:val="24"/>
          <w:szCs w:val="24"/>
        </w:rPr>
        <w:t>(Promotor – dr W. Gogłoza);</w:t>
      </w:r>
    </w:p>
    <w:p w14:paraId="21EB2FF4" w14:textId="77777777" w:rsidR="00B23444" w:rsidRPr="007F42BD" w:rsidRDefault="00B23444" w:rsidP="00B23444">
      <w:pPr>
        <w:pStyle w:val="Akapitzlist"/>
        <w:spacing w:after="120" w:line="276" w:lineRule="auto"/>
        <w:ind w:left="644"/>
        <w:jc w:val="both"/>
        <w:rPr>
          <w:rFonts w:ascii="Cambria" w:hAnsi="Cambria" w:cs="Times New Roman"/>
          <w:sz w:val="24"/>
          <w:szCs w:val="24"/>
        </w:rPr>
      </w:pPr>
    </w:p>
    <w:p w14:paraId="73DFA18F" w14:textId="219E2336" w:rsidR="00B23444" w:rsidRPr="007F42BD" w:rsidRDefault="00B23444" w:rsidP="00364EE7">
      <w:pPr>
        <w:pStyle w:val="Akapitzlist"/>
        <w:numPr>
          <w:ilvl w:val="0"/>
          <w:numId w:val="10"/>
        </w:numPr>
        <w:spacing w:after="120" w:line="276" w:lineRule="auto"/>
        <w:jc w:val="both"/>
        <w:rPr>
          <w:rFonts w:ascii="Cambria" w:hAnsi="Cambria" w:cs="Times New Roman"/>
          <w:sz w:val="24"/>
          <w:szCs w:val="24"/>
        </w:rPr>
      </w:pPr>
      <w:r w:rsidRPr="007F42BD">
        <w:rPr>
          <w:rFonts w:ascii="Cambria" w:hAnsi="Cambria" w:cs="Times New Roman"/>
          <w:sz w:val="24"/>
          <w:szCs w:val="24"/>
          <w:u w:val="single"/>
        </w:rPr>
        <w:t>Promotorstwo pomocnicze w przewodach doktorskich</w:t>
      </w:r>
      <w:r w:rsidR="00E30FD8">
        <w:rPr>
          <w:rFonts w:ascii="Cambria" w:hAnsi="Cambria" w:cs="Times New Roman"/>
          <w:sz w:val="24"/>
          <w:szCs w:val="24"/>
          <w:u w:val="single"/>
        </w:rPr>
        <w:t xml:space="preserve"> (w toku)</w:t>
      </w:r>
      <w:r w:rsidRPr="007F42BD">
        <w:rPr>
          <w:rFonts w:ascii="Cambria" w:hAnsi="Cambria" w:cs="Times New Roman"/>
          <w:sz w:val="24"/>
          <w:szCs w:val="24"/>
        </w:rPr>
        <w:t>:</w:t>
      </w:r>
    </w:p>
    <w:p w14:paraId="41724ADB" w14:textId="388A5E96" w:rsidR="00B23444" w:rsidRPr="007F42BD" w:rsidRDefault="001175DF" w:rsidP="00364EE7">
      <w:pPr>
        <w:pStyle w:val="Akapitzlist"/>
        <w:numPr>
          <w:ilvl w:val="0"/>
          <w:numId w:val="15"/>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Mgr Ireneusz Misiejuk, </w:t>
      </w:r>
      <w:r w:rsidR="00B23444" w:rsidRPr="007F42BD">
        <w:rPr>
          <w:rFonts w:ascii="Cambria" w:hAnsi="Cambria" w:cs="Times New Roman"/>
          <w:i/>
          <w:iCs/>
          <w:sz w:val="24"/>
          <w:szCs w:val="24"/>
        </w:rPr>
        <w:t>Organy jednostek organizacyjnych samorządu radców prawnych – uwagi de lege lata i de lege ferenda</w:t>
      </w:r>
      <w:r w:rsidRPr="007F42BD">
        <w:rPr>
          <w:rFonts w:ascii="Cambria" w:hAnsi="Cambria" w:cs="Times New Roman"/>
          <w:sz w:val="24"/>
          <w:szCs w:val="24"/>
        </w:rPr>
        <w:t xml:space="preserve"> (Promotor: dr hab. A. Bereza, prof. UMCS);</w:t>
      </w:r>
    </w:p>
    <w:p w14:paraId="0169E2B9" w14:textId="77777777" w:rsidR="008D0038" w:rsidRDefault="001175DF" w:rsidP="008D0038">
      <w:pPr>
        <w:pStyle w:val="Akapitzlist"/>
        <w:numPr>
          <w:ilvl w:val="0"/>
          <w:numId w:val="15"/>
        </w:numPr>
        <w:spacing w:after="120" w:line="276" w:lineRule="auto"/>
        <w:jc w:val="both"/>
        <w:rPr>
          <w:rFonts w:ascii="Cambria" w:hAnsi="Cambria" w:cs="Times New Roman"/>
          <w:sz w:val="24"/>
          <w:szCs w:val="24"/>
        </w:rPr>
      </w:pPr>
      <w:r w:rsidRPr="007F42BD">
        <w:rPr>
          <w:rFonts w:ascii="Cambria" w:hAnsi="Cambria" w:cs="Times New Roman"/>
          <w:sz w:val="24"/>
          <w:szCs w:val="24"/>
        </w:rPr>
        <w:t xml:space="preserve">Mgr Małgorzata Stręciwilk, </w:t>
      </w:r>
      <w:r w:rsidR="00DC25A2">
        <w:rPr>
          <w:rFonts w:ascii="Cambria" w:hAnsi="Cambria" w:cs="Times New Roman"/>
          <w:i/>
          <w:iCs/>
          <w:sz w:val="24"/>
          <w:szCs w:val="24"/>
        </w:rPr>
        <w:t xml:space="preserve">Komunikacja elektroniczna w postępowaniu o udzielenie zamówienia publicznego. Aspekty prawne i organizacyjne </w:t>
      </w:r>
      <w:r w:rsidRPr="007F42BD">
        <w:rPr>
          <w:rFonts w:ascii="Cambria" w:hAnsi="Cambria" w:cs="Times New Roman"/>
          <w:sz w:val="24"/>
          <w:szCs w:val="24"/>
        </w:rPr>
        <w:t>(Promotor: dr hab. A. Bereza, prof. UMCS);</w:t>
      </w:r>
    </w:p>
    <w:p w14:paraId="2F5B7803" w14:textId="562CFB1A" w:rsidR="001175DF" w:rsidRDefault="00CB011C" w:rsidP="008D0038">
      <w:pPr>
        <w:spacing w:after="120" w:line="276" w:lineRule="auto"/>
        <w:ind w:left="708" w:firstLine="708"/>
        <w:jc w:val="both"/>
        <w:rPr>
          <w:rFonts w:ascii="Cambria" w:hAnsi="Cambria"/>
          <w:sz w:val="24"/>
          <w:szCs w:val="24"/>
        </w:rPr>
      </w:pPr>
      <w:r w:rsidRPr="008D0038">
        <w:rPr>
          <w:rFonts w:ascii="Cambria" w:hAnsi="Cambria"/>
          <w:sz w:val="24"/>
          <w:szCs w:val="24"/>
        </w:rPr>
        <w:t xml:space="preserve">Do osiągnięć dydaktycznych można zaliczyć również udział w </w:t>
      </w:r>
      <w:r w:rsidR="008D0038" w:rsidRPr="008D0038">
        <w:rPr>
          <w:rFonts w:ascii="Cambria" w:hAnsi="Cambria"/>
          <w:sz w:val="24"/>
          <w:szCs w:val="24"/>
        </w:rPr>
        <w:t xml:space="preserve">projektach międzynarodowych. Wypada wspomnieć </w:t>
      </w:r>
      <w:r w:rsidR="00E30FD8">
        <w:rPr>
          <w:rFonts w:ascii="Cambria" w:hAnsi="Cambria"/>
          <w:sz w:val="24"/>
          <w:szCs w:val="24"/>
        </w:rPr>
        <w:t xml:space="preserve">udział w </w:t>
      </w:r>
      <w:r w:rsidR="008D0038" w:rsidRPr="008D0038">
        <w:rPr>
          <w:rFonts w:ascii="Cambria" w:hAnsi="Cambria"/>
          <w:sz w:val="24"/>
          <w:szCs w:val="24"/>
        </w:rPr>
        <w:t>program</w:t>
      </w:r>
      <w:r w:rsidR="00E30FD8">
        <w:rPr>
          <w:rFonts w:ascii="Cambria" w:hAnsi="Cambria"/>
          <w:sz w:val="24"/>
          <w:szCs w:val="24"/>
        </w:rPr>
        <w:t>ie</w:t>
      </w:r>
      <w:r w:rsidR="008D0038" w:rsidRPr="008D0038">
        <w:rPr>
          <w:rFonts w:ascii="Cambria" w:hAnsi="Cambria"/>
          <w:sz w:val="24"/>
          <w:szCs w:val="24"/>
        </w:rPr>
        <w:t xml:space="preserve"> pt.</w:t>
      </w:r>
      <w:r w:rsidRPr="008D0038">
        <w:rPr>
          <w:rFonts w:ascii="Cambria" w:hAnsi="Cambria"/>
          <w:sz w:val="24"/>
          <w:szCs w:val="24"/>
        </w:rPr>
        <w:t xml:space="preserve"> </w:t>
      </w:r>
      <w:r w:rsidRPr="008D0038">
        <w:rPr>
          <w:rFonts w:ascii="Cambria" w:hAnsi="Cambria"/>
          <w:b/>
          <w:sz w:val="24"/>
          <w:szCs w:val="24"/>
        </w:rPr>
        <w:t>„</w:t>
      </w:r>
      <w:r w:rsidRPr="008D0038">
        <w:rPr>
          <w:rFonts w:ascii="Cambria" w:hAnsi="Cambria"/>
          <w:b/>
          <w:i/>
          <w:sz w:val="24"/>
          <w:szCs w:val="24"/>
        </w:rPr>
        <w:t>Akademicka kadra przyszłości</w:t>
      </w:r>
      <w:r w:rsidRPr="008D0038">
        <w:rPr>
          <w:rFonts w:ascii="Cambria" w:hAnsi="Cambria"/>
          <w:b/>
          <w:sz w:val="24"/>
          <w:szCs w:val="24"/>
        </w:rPr>
        <w:t>”</w:t>
      </w:r>
      <w:r w:rsidRPr="008D0038">
        <w:rPr>
          <w:rFonts w:ascii="Cambria" w:hAnsi="Cambria"/>
          <w:sz w:val="24"/>
          <w:szCs w:val="24"/>
        </w:rPr>
        <w:t xml:space="preserve"> (Uczestnik) </w:t>
      </w:r>
      <w:r w:rsidR="00E30FD8">
        <w:rPr>
          <w:rFonts w:ascii="Cambria" w:hAnsi="Cambria"/>
          <w:sz w:val="24"/>
          <w:szCs w:val="24"/>
        </w:rPr>
        <w:t>- p</w:t>
      </w:r>
      <w:r w:rsidRPr="008D0038">
        <w:rPr>
          <w:rFonts w:ascii="Cambria" w:hAnsi="Cambria"/>
          <w:sz w:val="24"/>
          <w:szCs w:val="24"/>
        </w:rPr>
        <w:t>rojekt realizowany w ramach EFS przez UMCS w Lublinie w ramach Programu Operacyjnego Wiedza Edukacja Rozwój, 2017-2019 w zakresie nowoczesnych i innowacyjnych metod nauczania z użyciem nowych technologii (uzyskane kompetencje – moderator nauczania metodą Design thinking) – ewaluacja zakończona wynikiem pozytywnym 10.2017-06.2018</w:t>
      </w:r>
      <w:r w:rsidR="008D0038" w:rsidRPr="008D0038">
        <w:rPr>
          <w:rFonts w:ascii="Cambria" w:hAnsi="Cambria"/>
          <w:sz w:val="24"/>
          <w:szCs w:val="24"/>
        </w:rPr>
        <w:t xml:space="preserve"> oraz </w:t>
      </w:r>
      <w:r w:rsidR="00E30FD8">
        <w:rPr>
          <w:rFonts w:ascii="Cambria" w:hAnsi="Cambria" w:cs="Times New Roman"/>
          <w:sz w:val="24"/>
          <w:szCs w:val="24"/>
        </w:rPr>
        <w:t>u</w:t>
      </w:r>
      <w:r w:rsidR="008D0038" w:rsidRPr="008D0038">
        <w:rPr>
          <w:rFonts w:ascii="Cambria" w:hAnsi="Cambria" w:cs="Times New Roman"/>
          <w:sz w:val="24"/>
          <w:szCs w:val="24"/>
        </w:rPr>
        <w:t xml:space="preserve">dział w międzynarodowym projekcie szkoleniowym </w:t>
      </w:r>
      <w:r w:rsidR="008D0038" w:rsidRPr="008D0038">
        <w:rPr>
          <w:rFonts w:ascii="Cambria" w:hAnsi="Cambria" w:cs="Times New Roman"/>
          <w:b/>
          <w:bCs/>
          <w:i/>
          <w:iCs/>
          <w:sz w:val="24"/>
          <w:szCs w:val="24"/>
        </w:rPr>
        <w:t xml:space="preserve">„Joint staff training event C1 InoLearn4BEEsInoLearn” </w:t>
      </w:r>
      <w:r w:rsidR="008D0038" w:rsidRPr="008D0038">
        <w:rPr>
          <w:rFonts w:ascii="Cambria" w:hAnsi="Cambria" w:cs="Times New Roman"/>
          <w:sz w:val="24"/>
          <w:szCs w:val="24"/>
        </w:rPr>
        <w:t>(Uczestnik) organizowanym w ramach Erasmus+Programme – Strategic Partnership Project Nr 2017-1-R001-KA203-037145  przez Agence universitaire de la Francophonie, Regional Office for Central and Eastern Europe (ewaluacja zakończon</w:t>
      </w:r>
      <w:r w:rsidR="00E30FD8">
        <w:rPr>
          <w:rFonts w:ascii="Cambria" w:hAnsi="Cambria" w:cs="Times New Roman"/>
          <w:sz w:val="24"/>
          <w:szCs w:val="24"/>
        </w:rPr>
        <w:t>a</w:t>
      </w:r>
      <w:r w:rsidR="008D0038" w:rsidRPr="008D0038">
        <w:rPr>
          <w:rFonts w:ascii="Cambria" w:hAnsi="Cambria" w:cs="Times New Roman"/>
          <w:sz w:val="24"/>
          <w:szCs w:val="24"/>
        </w:rPr>
        <w:t xml:space="preserve"> wynikiem pozytywnym – 11.2018)</w:t>
      </w:r>
      <w:r w:rsidR="008D0038">
        <w:rPr>
          <w:rFonts w:ascii="Cambria" w:hAnsi="Cambria" w:cs="Times New Roman"/>
          <w:sz w:val="24"/>
          <w:szCs w:val="24"/>
        </w:rPr>
        <w:t xml:space="preserve">. </w:t>
      </w:r>
      <w:r w:rsidRPr="007F42BD">
        <w:rPr>
          <w:rFonts w:ascii="Cambria" w:hAnsi="Cambria"/>
          <w:sz w:val="24"/>
          <w:szCs w:val="24"/>
        </w:rPr>
        <w:t xml:space="preserve">W wyniku podnoszenia kompetencji dydaktycznych powstał </w:t>
      </w:r>
      <w:r w:rsidRPr="00D10CFD">
        <w:rPr>
          <w:rFonts w:ascii="Cambria" w:hAnsi="Cambria"/>
          <w:b/>
          <w:bCs/>
          <w:sz w:val="24"/>
          <w:szCs w:val="24"/>
        </w:rPr>
        <w:t>autorski program dydaktyczny</w:t>
      </w:r>
      <w:r w:rsidRPr="007F42BD">
        <w:rPr>
          <w:rFonts w:ascii="Cambria" w:hAnsi="Cambria"/>
          <w:sz w:val="24"/>
          <w:szCs w:val="24"/>
        </w:rPr>
        <w:t xml:space="preserve">, którego rezultatem było stworzenie i prowadzenie zajęć z przedmiotu monograficznego </w:t>
      </w:r>
      <w:r w:rsidRPr="007F42BD">
        <w:rPr>
          <w:rFonts w:ascii="Cambria" w:hAnsi="Cambria"/>
          <w:i/>
          <w:iCs/>
          <w:sz w:val="24"/>
          <w:szCs w:val="24"/>
        </w:rPr>
        <w:t>Strategie decyzyjne</w:t>
      </w:r>
      <w:r w:rsidR="008D0038">
        <w:rPr>
          <w:rFonts w:ascii="Cambria" w:hAnsi="Cambria"/>
          <w:i/>
          <w:iCs/>
          <w:sz w:val="24"/>
          <w:szCs w:val="24"/>
        </w:rPr>
        <w:t xml:space="preserve"> </w:t>
      </w:r>
      <w:r w:rsidR="008D0038">
        <w:rPr>
          <w:rFonts w:ascii="Cambria" w:hAnsi="Cambria"/>
          <w:sz w:val="24"/>
          <w:szCs w:val="24"/>
        </w:rPr>
        <w:t xml:space="preserve"> oraz wdrożenie innowacyjnych i ulepszonych metod dydaktycznych na prowadzonych zajęciach</w:t>
      </w:r>
      <w:r w:rsidRPr="007F42BD">
        <w:rPr>
          <w:rFonts w:ascii="Cambria" w:hAnsi="Cambria"/>
          <w:sz w:val="24"/>
          <w:szCs w:val="24"/>
        </w:rPr>
        <w:t xml:space="preserve">. </w:t>
      </w:r>
    </w:p>
    <w:p w14:paraId="4BE1B4AD" w14:textId="77777777" w:rsidR="0040255F" w:rsidRDefault="0040255F" w:rsidP="0040255F">
      <w:pPr>
        <w:spacing w:after="120" w:line="276" w:lineRule="auto"/>
        <w:jc w:val="both"/>
        <w:rPr>
          <w:rFonts w:ascii="Cambria" w:hAnsi="Cambria"/>
          <w:sz w:val="24"/>
          <w:szCs w:val="24"/>
        </w:rPr>
      </w:pPr>
    </w:p>
    <w:p w14:paraId="20CC12F0" w14:textId="35D8E02F" w:rsidR="0040255F" w:rsidRPr="0040255F" w:rsidRDefault="0040255F" w:rsidP="0040255F">
      <w:pPr>
        <w:pStyle w:val="Akapitzlist"/>
        <w:numPr>
          <w:ilvl w:val="0"/>
          <w:numId w:val="10"/>
        </w:numPr>
        <w:spacing w:after="120" w:line="276" w:lineRule="auto"/>
        <w:contextualSpacing w:val="0"/>
        <w:jc w:val="both"/>
        <w:rPr>
          <w:rFonts w:ascii="Cambria" w:hAnsi="Cambria"/>
          <w:b/>
          <w:bCs/>
          <w:sz w:val="24"/>
          <w:szCs w:val="24"/>
          <w:u w:val="single"/>
        </w:rPr>
      </w:pPr>
      <w:r w:rsidRPr="0040255F">
        <w:rPr>
          <w:rFonts w:ascii="Cambria" w:hAnsi="Cambria"/>
          <w:b/>
          <w:bCs/>
          <w:sz w:val="24"/>
          <w:szCs w:val="24"/>
          <w:u w:val="single"/>
        </w:rPr>
        <w:t>Osiągnięcia organizacyjne;</w:t>
      </w:r>
    </w:p>
    <w:p w14:paraId="0F0F72DA" w14:textId="77777777" w:rsidR="0040255F" w:rsidRDefault="0040255F" w:rsidP="00F6081F">
      <w:pPr>
        <w:pStyle w:val="Akapitzlist"/>
        <w:spacing w:after="120" w:line="276" w:lineRule="auto"/>
        <w:ind w:firstLine="696"/>
        <w:contextualSpacing w:val="0"/>
        <w:jc w:val="both"/>
        <w:rPr>
          <w:rFonts w:ascii="Cambria" w:hAnsi="Cambria"/>
          <w:sz w:val="24"/>
          <w:szCs w:val="24"/>
        </w:rPr>
      </w:pPr>
    </w:p>
    <w:p w14:paraId="40EBEE00" w14:textId="4FFF4539" w:rsidR="00F6081F" w:rsidRPr="007F42BD" w:rsidRDefault="008D0038" w:rsidP="00F6081F">
      <w:pPr>
        <w:pStyle w:val="Akapitzlist"/>
        <w:spacing w:after="120" w:line="276" w:lineRule="auto"/>
        <w:ind w:firstLine="696"/>
        <w:contextualSpacing w:val="0"/>
        <w:jc w:val="both"/>
        <w:rPr>
          <w:rFonts w:ascii="Cambria" w:hAnsi="Cambria" w:cs="Times New Roman"/>
          <w:sz w:val="24"/>
          <w:szCs w:val="24"/>
        </w:rPr>
      </w:pPr>
      <w:r>
        <w:rPr>
          <w:rFonts w:ascii="Cambria" w:hAnsi="Cambria"/>
          <w:sz w:val="24"/>
          <w:szCs w:val="24"/>
        </w:rPr>
        <w:t xml:space="preserve">W podejmowanej aktywności można również wskazać na formy, które świadczą </w:t>
      </w:r>
      <w:r w:rsidRPr="00C52AC5">
        <w:rPr>
          <w:rFonts w:ascii="Cambria" w:hAnsi="Cambria"/>
          <w:b/>
          <w:bCs/>
          <w:sz w:val="24"/>
          <w:szCs w:val="24"/>
        </w:rPr>
        <w:t>o zaangażowaniu organizacyjnym</w:t>
      </w:r>
      <w:r w:rsidR="004D6009">
        <w:rPr>
          <w:rFonts w:ascii="Cambria" w:hAnsi="Cambria"/>
          <w:sz w:val="24"/>
          <w:szCs w:val="24"/>
        </w:rPr>
        <w:t xml:space="preserve"> </w:t>
      </w:r>
      <w:r w:rsidR="004D6009" w:rsidRPr="00621583">
        <w:rPr>
          <w:rFonts w:ascii="Cambria" w:hAnsi="Cambria"/>
          <w:sz w:val="24"/>
          <w:szCs w:val="24"/>
        </w:rPr>
        <w:t>(s</w:t>
      </w:r>
      <w:r w:rsidR="00F6081F" w:rsidRPr="00621583">
        <w:rPr>
          <w:rFonts w:ascii="Cambria" w:hAnsi="Cambria" w:cs="Times New Roman"/>
          <w:sz w:val="24"/>
          <w:szCs w:val="24"/>
        </w:rPr>
        <w:t xml:space="preserve">zczegółowy wykaz </w:t>
      </w:r>
      <w:r w:rsidR="004D6009" w:rsidRPr="00621583">
        <w:rPr>
          <w:rFonts w:ascii="Cambria" w:hAnsi="Cambria" w:cs="Times New Roman"/>
          <w:sz w:val="24"/>
          <w:szCs w:val="24"/>
        </w:rPr>
        <w:t>osiągnięć</w:t>
      </w:r>
      <w:r w:rsidR="004D6009">
        <w:rPr>
          <w:rFonts w:ascii="Cambria" w:hAnsi="Cambria" w:cs="Times New Roman"/>
          <w:b/>
          <w:bCs/>
          <w:sz w:val="24"/>
          <w:szCs w:val="24"/>
        </w:rPr>
        <w:t xml:space="preserve"> </w:t>
      </w:r>
      <w:r w:rsidR="00F6081F" w:rsidRPr="007F42BD">
        <w:rPr>
          <w:rFonts w:ascii="Cambria" w:hAnsi="Cambria" w:cs="Times New Roman"/>
          <w:sz w:val="24"/>
          <w:szCs w:val="24"/>
        </w:rPr>
        <w:t xml:space="preserve">został przedstawiony w </w:t>
      </w:r>
      <w:r w:rsidR="00F6081F" w:rsidRPr="00621583">
        <w:rPr>
          <w:rFonts w:ascii="Cambria" w:hAnsi="Cambria" w:cs="Times New Roman"/>
          <w:sz w:val="24"/>
          <w:szCs w:val="24"/>
        </w:rPr>
        <w:t>Załączniku nr 4</w:t>
      </w:r>
      <w:r w:rsidR="00F6081F" w:rsidRPr="007F42BD">
        <w:rPr>
          <w:rFonts w:ascii="Cambria" w:hAnsi="Cambria" w:cs="Times New Roman"/>
          <w:sz w:val="24"/>
          <w:szCs w:val="24"/>
        </w:rPr>
        <w:t xml:space="preserve"> do wniosku o przeprowadzenie postępowania w sprawie nadania stopnia doktora habilitowanego (</w:t>
      </w:r>
      <w:r w:rsidR="00F6081F" w:rsidRPr="007F42BD">
        <w:rPr>
          <w:rFonts w:ascii="Cambria" w:hAnsi="Cambria" w:cs="Times New Roman"/>
          <w:i/>
          <w:iCs/>
          <w:sz w:val="24"/>
          <w:szCs w:val="24"/>
        </w:rPr>
        <w:t xml:space="preserve">Wykaz </w:t>
      </w:r>
      <w:r w:rsidR="00F6081F" w:rsidRPr="007F42BD">
        <w:rPr>
          <w:rFonts w:ascii="Cambria" w:hAnsi="Cambria" w:cs="Times New Roman"/>
          <w:i/>
          <w:iCs/>
          <w:sz w:val="24"/>
          <w:szCs w:val="24"/>
        </w:rPr>
        <w:lastRenderedPageBreak/>
        <w:t>osiągnięć naukowych albo artystycznych, stanowiących znaczny wkład w rozwój określonej dyscypliny</w:t>
      </w:r>
      <w:r w:rsidR="00F6081F" w:rsidRPr="007F42BD">
        <w:rPr>
          <w:rFonts w:ascii="Cambria" w:hAnsi="Cambria" w:cs="Times New Roman"/>
          <w:sz w:val="24"/>
          <w:szCs w:val="24"/>
        </w:rPr>
        <w:t>).</w:t>
      </w:r>
    </w:p>
    <w:p w14:paraId="645E191B" w14:textId="77777777" w:rsidR="00D10CFD" w:rsidRDefault="008D0038" w:rsidP="00621583">
      <w:pPr>
        <w:spacing w:after="120" w:line="276" w:lineRule="auto"/>
        <w:ind w:left="709" w:firstLine="709"/>
        <w:jc w:val="both"/>
        <w:rPr>
          <w:rFonts w:ascii="Cambria" w:hAnsi="Cambria" w:cs="Times New Roman"/>
          <w:sz w:val="24"/>
          <w:szCs w:val="24"/>
        </w:rPr>
      </w:pPr>
      <w:r>
        <w:rPr>
          <w:rFonts w:ascii="Cambria" w:hAnsi="Cambria"/>
          <w:sz w:val="24"/>
          <w:szCs w:val="24"/>
        </w:rPr>
        <w:t>Do takich</w:t>
      </w:r>
      <w:r w:rsidR="00621583">
        <w:rPr>
          <w:rFonts w:ascii="Cambria" w:hAnsi="Cambria"/>
          <w:sz w:val="24"/>
          <w:szCs w:val="24"/>
        </w:rPr>
        <w:t xml:space="preserve"> </w:t>
      </w:r>
      <w:r w:rsidR="00D10CFD">
        <w:rPr>
          <w:rFonts w:ascii="Cambria" w:hAnsi="Cambria"/>
          <w:sz w:val="24"/>
          <w:szCs w:val="24"/>
        </w:rPr>
        <w:t>form działalności</w:t>
      </w:r>
      <w:r>
        <w:rPr>
          <w:rFonts w:ascii="Cambria" w:hAnsi="Cambria"/>
          <w:sz w:val="24"/>
          <w:szCs w:val="24"/>
        </w:rPr>
        <w:t xml:space="preserve"> </w:t>
      </w:r>
      <w:r w:rsidR="00F6081F">
        <w:rPr>
          <w:rFonts w:ascii="Cambria" w:hAnsi="Cambria"/>
          <w:sz w:val="24"/>
          <w:szCs w:val="24"/>
        </w:rPr>
        <w:t xml:space="preserve">w szczególności </w:t>
      </w:r>
      <w:r>
        <w:rPr>
          <w:rFonts w:ascii="Cambria" w:hAnsi="Cambria"/>
          <w:sz w:val="24"/>
          <w:szCs w:val="24"/>
        </w:rPr>
        <w:t xml:space="preserve">zaliczyć można </w:t>
      </w:r>
      <w:r w:rsidRPr="00D10CFD">
        <w:rPr>
          <w:rFonts w:ascii="Cambria" w:hAnsi="Cambria"/>
          <w:b/>
          <w:bCs/>
          <w:sz w:val="24"/>
          <w:szCs w:val="24"/>
        </w:rPr>
        <w:t>pełnienie</w:t>
      </w:r>
      <w:r w:rsidR="00D10CFD">
        <w:rPr>
          <w:rFonts w:ascii="Cambria" w:hAnsi="Cambria"/>
          <w:sz w:val="24"/>
          <w:szCs w:val="24"/>
        </w:rPr>
        <w:t xml:space="preserve"> </w:t>
      </w:r>
      <w:r w:rsidR="00D10CFD" w:rsidRPr="00D10CFD">
        <w:rPr>
          <w:rFonts w:ascii="Cambria" w:hAnsi="Cambria"/>
          <w:b/>
          <w:bCs/>
          <w:sz w:val="24"/>
          <w:szCs w:val="24"/>
        </w:rPr>
        <w:t>funkcji</w:t>
      </w:r>
      <w:r>
        <w:rPr>
          <w:rFonts w:ascii="Cambria" w:hAnsi="Cambria"/>
          <w:sz w:val="24"/>
          <w:szCs w:val="24"/>
        </w:rPr>
        <w:t xml:space="preserve"> </w:t>
      </w:r>
      <w:r w:rsidR="00D10CFD">
        <w:rPr>
          <w:rFonts w:ascii="Cambria" w:hAnsi="Cambria"/>
          <w:sz w:val="24"/>
          <w:szCs w:val="24"/>
        </w:rPr>
        <w:t>(</w:t>
      </w:r>
      <w:r w:rsidR="00954F49">
        <w:rPr>
          <w:rFonts w:ascii="Cambria" w:hAnsi="Cambria"/>
          <w:sz w:val="24"/>
          <w:szCs w:val="24"/>
        </w:rPr>
        <w:t>w latach 2016 – 2020</w:t>
      </w:r>
      <w:r w:rsidR="00D10CFD">
        <w:rPr>
          <w:rFonts w:ascii="Cambria" w:hAnsi="Cambria"/>
          <w:sz w:val="24"/>
          <w:szCs w:val="24"/>
        </w:rPr>
        <w:t xml:space="preserve">) </w:t>
      </w:r>
      <w:r w:rsidR="00954F49" w:rsidRPr="007F42BD">
        <w:rPr>
          <w:rFonts w:ascii="Cambria" w:hAnsi="Cambria" w:cs="Times New Roman"/>
          <w:sz w:val="24"/>
          <w:szCs w:val="24"/>
        </w:rPr>
        <w:t>członka Wydziałowej Komisji ds. Nauki i Komercjalizacji Badań Naukowych  (akt powołania Dziekana WPiA UMCS w Lublinie z dnia 01 września 2016 r.</w:t>
      </w:r>
      <w:r w:rsidR="00954F49">
        <w:rPr>
          <w:rFonts w:ascii="Cambria" w:hAnsi="Cambria" w:cs="Times New Roman"/>
          <w:sz w:val="24"/>
          <w:szCs w:val="24"/>
        </w:rPr>
        <w:t xml:space="preserve">) oraz </w:t>
      </w:r>
      <w:r w:rsidR="00954F49" w:rsidRPr="007F42BD">
        <w:rPr>
          <w:rFonts w:ascii="Cambria" w:hAnsi="Cambria" w:cs="Times New Roman"/>
          <w:sz w:val="24"/>
          <w:szCs w:val="24"/>
        </w:rPr>
        <w:t>funkcji członka Wydziałowej Komisji ds. Promocji Wydziału Prawa i Administracji (2014 – aktualnie</w:t>
      </w:r>
      <w:r w:rsidR="00954F49">
        <w:rPr>
          <w:rFonts w:ascii="Cambria" w:hAnsi="Cambria" w:cs="Times New Roman"/>
          <w:sz w:val="24"/>
          <w:szCs w:val="24"/>
        </w:rPr>
        <w:t xml:space="preserve">). </w:t>
      </w:r>
    </w:p>
    <w:p w14:paraId="6AFC997F" w14:textId="2A1AE208" w:rsidR="00621583" w:rsidRDefault="00621583" w:rsidP="00621583">
      <w:pPr>
        <w:spacing w:after="120" w:line="276" w:lineRule="auto"/>
        <w:ind w:left="709" w:firstLine="709"/>
        <w:jc w:val="both"/>
        <w:rPr>
          <w:rFonts w:ascii="Cambria" w:hAnsi="Cambria" w:cs="Times New Roman"/>
          <w:sz w:val="24"/>
          <w:szCs w:val="24"/>
        </w:rPr>
      </w:pPr>
      <w:r>
        <w:rPr>
          <w:rFonts w:ascii="Cambria" w:hAnsi="Cambria" w:cs="Times New Roman"/>
          <w:sz w:val="24"/>
          <w:szCs w:val="24"/>
        </w:rPr>
        <w:t xml:space="preserve">Elementem uczestnictwa w aktywności organizacyjnej jest </w:t>
      </w:r>
      <w:r w:rsidRPr="00D10CFD">
        <w:rPr>
          <w:rFonts w:ascii="Cambria" w:hAnsi="Cambria" w:cs="Times New Roman"/>
          <w:b/>
          <w:bCs/>
          <w:sz w:val="24"/>
          <w:szCs w:val="24"/>
        </w:rPr>
        <w:t>członkostwo</w:t>
      </w:r>
      <w:r w:rsidR="001121AA" w:rsidRPr="00D10CFD">
        <w:rPr>
          <w:rFonts w:ascii="Cambria" w:hAnsi="Cambria" w:cs="Times New Roman"/>
          <w:b/>
          <w:bCs/>
          <w:sz w:val="24"/>
          <w:szCs w:val="24"/>
        </w:rPr>
        <w:t xml:space="preserve"> w </w:t>
      </w:r>
      <w:r w:rsidR="00301B93" w:rsidRPr="00D10CFD">
        <w:rPr>
          <w:rFonts w:ascii="Cambria" w:hAnsi="Cambria" w:cs="Times New Roman"/>
          <w:b/>
          <w:bCs/>
          <w:sz w:val="24"/>
          <w:szCs w:val="24"/>
        </w:rPr>
        <w:t xml:space="preserve">pracach </w:t>
      </w:r>
      <w:r w:rsidR="001121AA" w:rsidRPr="00D10CFD">
        <w:rPr>
          <w:rFonts w:ascii="Cambria" w:hAnsi="Cambria" w:cs="Times New Roman"/>
          <w:b/>
          <w:bCs/>
          <w:sz w:val="24"/>
          <w:szCs w:val="24"/>
        </w:rPr>
        <w:t xml:space="preserve">różnego rodzaju </w:t>
      </w:r>
      <w:r w:rsidR="00301B93" w:rsidRPr="00D10CFD">
        <w:rPr>
          <w:rFonts w:ascii="Cambria" w:hAnsi="Cambria" w:cs="Times New Roman"/>
          <w:b/>
          <w:bCs/>
          <w:sz w:val="24"/>
          <w:szCs w:val="24"/>
        </w:rPr>
        <w:t>zespołów</w:t>
      </w:r>
      <w:r w:rsidR="00301B93">
        <w:rPr>
          <w:rFonts w:ascii="Cambria" w:hAnsi="Cambria" w:cs="Times New Roman"/>
          <w:sz w:val="24"/>
          <w:szCs w:val="24"/>
        </w:rPr>
        <w:t xml:space="preserve"> – tak uczelnianych, jak i krajowych, a nawet międzynarodowych. </w:t>
      </w:r>
      <w:r w:rsidR="001121AA">
        <w:rPr>
          <w:rFonts w:ascii="Cambria" w:hAnsi="Cambria" w:cs="Times New Roman"/>
          <w:sz w:val="24"/>
          <w:szCs w:val="24"/>
        </w:rPr>
        <w:t xml:space="preserve"> </w:t>
      </w:r>
      <w:r w:rsidR="00301B93">
        <w:rPr>
          <w:rFonts w:ascii="Cambria" w:hAnsi="Cambria" w:cs="Times New Roman"/>
          <w:sz w:val="24"/>
          <w:szCs w:val="24"/>
        </w:rPr>
        <w:t xml:space="preserve">Od 2021 r. pełnię funkcję </w:t>
      </w:r>
      <w:r w:rsidR="00301B93" w:rsidRPr="007F42BD">
        <w:rPr>
          <w:rFonts w:ascii="Cambria" w:hAnsi="Cambria" w:cs="Times New Roman"/>
          <w:sz w:val="24"/>
          <w:szCs w:val="24"/>
        </w:rPr>
        <w:t xml:space="preserve">przedstawiciela Instytutu Nauk Prawnych </w:t>
      </w:r>
      <w:r w:rsidR="00301B93">
        <w:rPr>
          <w:rFonts w:ascii="Cambria" w:hAnsi="Cambria" w:cs="Times New Roman"/>
          <w:sz w:val="24"/>
          <w:szCs w:val="24"/>
        </w:rPr>
        <w:t xml:space="preserve">UMCS w Lublinie </w:t>
      </w:r>
      <w:r w:rsidR="00301B93" w:rsidRPr="007F42BD">
        <w:rPr>
          <w:rFonts w:ascii="Cambria" w:hAnsi="Cambria" w:cs="Times New Roman"/>
          <w:sz w:val="24"/>
          <w:szCs w:val="24"/>
        </w:rPr>
        <w:t>ds. kontaktów międzynarodowych</w:t>
      </w:r>
      <w:r w:rsidR="00F6081F">
        <w:rPr>
          <w:rFonts w:ascii="Cambria" w:hAnsi="Cambria" w:cs="Times New Roman"/>
          <w:sz w:val="24"/>
          <w:szCs w:val="24"/>
        </w:rPr>
        <w:t xml:space="preserve"> oraz członka Komisji ds. współpracy międzynarodowej </w:t>
      </w:r>
      <w:r>
        <w:rPr>
          <w:rFonts w:ascii="Cambria" w:hAnsi="Cambria" w:cs="Times New Roman"/>
          <w:sz w:val="24"/>
          <w:szCs w:val="24"/>
        </w:rPr>
        <w:t xml:space="preserve">Rady </w:t>
      </w:r>
      <w:r w:rsidR="00F6081F">
        <w:rPr>
          <w:rFonts w:ascii="Cambria" w:hAnsi="Cambria" w:cs="Times New Roman"/>
          <w:sz w:val="24"/>
          <w:szCs w:val="24"/>
        </w:rPr>
        <w:t>Okręgowej Izby Radców Prawnych w Lublinie</w:t>
      </w:r>
      <w:r w:rsidR="00301B93">
        <w:rPr>
          <w:rFonts w:ascii="Cambria" w:hAnsi="Cambria" w:cs="Times New Roman"/>
          <w:sz w:val="24"/>
          <w:szCs w:val="24"/>
        </w:rPr>
        <w:t xml:space="preserve">. Jestem członkiem Komitetu Naukowego </w:t>
      </w:r>
      <w:r w:rsidR="00F6081F">
        <w:rPr>
          <w:rFonts w:ascii="Cambria" w:hAnsi="Cambria" w:cs="Times New Roman"/>
          <w:sz w:val="24"/>
          <w:szCs w:val="24"/>
        </w:rPr>
        <w:t xml:space="preserve">Europejskiego Stowarzyszenia Prawników </w:t>
      </w:r>
      <w:r w:rsidR="00F6081F" w:rsidRPr="00F6081F">
        <w:rPr>
          <w:rFonts w:ascii="Cambria" w:hAnsi="Cambria" w:cs="Times New Roman"/>
          <w:i/>
          <w:iCs/>
          <w:sz w:val="24"/>
          <w:szCs w:val="24"/>
        </w:rPr>
        <w:t>(</w:t>
      </w:r>
      <w:r w:rsidR="00301B93" w:rsidRPr="00F6081F">
        <w:rPr>
          <w:rFonts w:ascii="Cambria" w:hAnsi="Cambria" w:cs="Times New Roman"/>
          <w:i/>
          <w:iCs/>
          <w:sz w:val="24"/>
          <w:szCs w:val="24"/>
        </w:rPr>
        <w:t>European Association of Lawyers</w:t>
      </w:r>
      <w:r w:rsidR="00F6081F" w:rsidRPr="00F6081F">
        <w:rPr>
          <w:rFonts w:ascii="Cambria" w:hAnsi="Cambria" w:cs="Times New Roman"/>
          <w:i/>
          <w:iCs/>
          <w:sz w:val="24"/>
          <w:szCs w:val="24"/>
        </w:rPr>
        <w:t>)</w:t>
      </w:r>
      <w:r w:rsidR="00F6081F">
        <w:rPr>
          <w:rFonts w:ascii="Cambria" w:hAnsi="Cambria" w:cs="Times New Roman"/>
          <w:sz w:val="24"/>
          <w:szCs w:val="24"/>
        </w:rPr>
        <w:t xml:space="preserve"> z siedzibą w Brukseli</w:t>
      </w:r>
      <w:r w:rsidR="00301B93" w:rsidRPr="00F6081F">
        <w:rPr>
          <w:rFonts w:ascii="Cambria" w:hAnsi="Cambria" w:cs="Times New Roman"/>
          <w:sz w:val="24"/>
          <w:szCs w:val="24"/>
        </w:rPr>
        <w:t xml:space="preserve">, </w:t>
      </w:r>
      <w:r w:rsidR="00F6081F" w:rsidRPr="00F6081F">
        <w:rPr>
          <w:rFonts w:ascii="Cambria" w:hAnsi="Cambria" w:cs="Times New Roman"/>
          <w:sz w:val="24"/>
          <w:szCs w:val="24"/>
        </w:rPr>
        <w:t>stałym członkiem Europejskiego Instytutu Prawa (</w:t>
      </w:r>
      <w:r w:rsidR="00F6081F" w:rsidRPr="00F6081F">
        <w:rPr>
          <w:rFonts w:ascii="Cambria" w:hAnsi="Cambria" w:cs="Times New Roman"/>
          <w:i/>
          <w:iCs/>
          <w:sz w:val="24"/>
          <w:szCs w:val="24"/>
        </w:rPr>
        <w:t>European Law Institute</w:t>
      </w:r>
      <w:r w:rsidR="00F6081F" w:rsidRPr="00F6081F">
        <w:rPr>
          <w:rFonts w:ascii="Cambria" w:hAnsi="Cambria" w:cs="Times New Roman"/>
          <w:sz w:val="24"/>
          <w:szCs w:val="24"/>
        </w:rPr>
        <w:t xml:space="preserve">) z siedzibą w Wiedniu </w:t>
      </w:r>
      <w:r w:rsidR="00301B93" w:rsidRPr="00F6081F">
        <w:rPr>
          <w:rFonts w:ascii="Cambria" w:hAnsi="Cambria" w:cs="Times New Roman"/>
          <w:sz w:val="24"/>
          <w:szCs w:val="24"/>
        </w:rPr>
        <w:t>Komisji Prawniczej PAN Oddział w Lublinie, oraz członkiem założycielem Stowarzyszenia Naukowego Pro Scientia Iuridica w Lublinie (do 2019 r. – członek Komisji Rewizyjnej) przy WPiA UMCS w Lublinie.</w:t>
      </w:r>
      <w:r w:rsidR="00301B93">
        <w:rPr>
          <w:rFonts w:ascii="Cambria" w:hAnsi="Cambria" w:cs="Times New Roman"/>
          <w:sz w:val="24"/>
          <w:szCs w:val="24"/>
        </w:rPr>
        <w:t xml:space="preserve"> W latach 2007 – 2008 pełniłam również funkcję </w:t>
      </w:r>
      <w:r w:rsidR="00301B93" w:rsidRPr="00F6081F">
        <w:rPr>
          <w:rFonts w:ascii="Cambria" w:hAnsi="Cambria" w:cs="Times New Roman"/>
          <w:sz w:val="24"/>
          <w:szCs w:val="24"/>
        </w:rPr>
        <w:t>Wiceprezesa ds. naukowych Studenckiego Koła Naukowego Prawników Wydziału Prawa i Administracji UMCS w Lublinie (SKNP) oraz Dyrektora ds. Programów Wymiany Studenckiej (STEP Director) The European Law Students’ Association), Katholieke Universiteit Leuven, Belgia, a następnie – po zakończeniu studiów magisterskich na UMCS w Lublinie - stałego współpracownika i recenzenta SKNP.</w:t>
      </w:r>
      <w:r w:rsidR="00301B93">
        <w:rPr>
          <w:rFonts w:ascii="Cambria" w:hAnsi="Cambria" w:cs="Times New Roman"/>
          <w:b/>
          <w:bCs/>
          <w:sz w:val="24"/>
          <w:szCs w:val="24"/>
        </w:rPr>
        <w:t xml:space="preserve"> </w:t>
      </w:r>
      <w:r w:rsidR="0040255F" w:rsidRPr="0040255F">
        <w:rPr>
          <w:rFonts w:ascii="Cambria" w:hAnsi="Cambria" w:cs="Times New Roman"/>
          <w:sz w:val="24"/>
          <w:szCs w:val="24"/>
        </w:rPr>
        <w:t xml:space="preserve">Ponadto, pełnię funkcję </w:t>
      </w:r>
      <w:r w:rsidR="00CC5D3E">
        <w:rPr>
          <w:rFonts w:ascii="Cambria" w:hAnsi="Cambria" w:cs="Times New Roman"/>
          <w:sz w:val="24"/>
          <w:szCs w:val="24"/>
        </w:rPr>
        <w:t xml:space="preserve">eksperta </w:t>
      </w:r>
      <w:r w:rsidR="00CC5D3E" w:rsidRPr="00156818">
        <w:rPr>
          <w:rFonts w:ascii="Cambria" w:hAnsi="Cambria" w:cs="Times New Roman"/>
          <w:sz w:val="24"/>
          <w:szCs w:val="24"/>
        </w:rPr>
        <w:t>Ośrodka Badań, Studiów i Legislacji</w:t>
      </w:r>
      <w:r w:rsidR="00CC5D3E">
        <w:rPr>
          <w:rFonts w:ascii="Cambria" w:hAnsi="Cambria" w:cs="Times New Roman"/>
          <w:sz w:val="24"/>
          <w:szCs w:val="24"/>
        </w:rPr>
        <w:t xml:space="preserve"> (OBSiL)</w:t>
      </w:r>
      <w:r w:rsidR="00CC5D3E" w:rsidRPr="00156818">
        <w:rPr>
          <w:rFonts w:ascii="Cambria" w:hAnsi="Cambria" w:cs="Times New Roman"/>
          <w:sz w:val="24"/>
          <w:szCs w:val="24"/>
        </w:rPr>
        <w:t xml:space="preserve"> Krajowej Rady Radców Prawnych w Warszawie</w:t>
      </w:r>
      <w:r w:rsidR="00CC5D3E">
        <w:rPr>
          <w:rFonts w:ascii="Cambria" w:hAnsi="Cambria" w:cs="Times New Roman"/>
          <w:sz w:val="24"/>
          <w:szCs w:val="24"/>
        </w:rPr>
        <w:t xml:space="preserve">, </w:t>
      </w:r>
      <w:r w:rsidR="0040255F" w:rsidRPr="0040255F">
        <w:rPr>
          <w:rFonts w:ascii="Cambria" w:hAnsi="Cambria" w:cs="Times New Roman"/>
          <w:sz w:val="24"/>
          <w:szCs w:val="24"/>
        </w:rPr>
        <w:t>członka zespołu doradczego - Rada Młodych Naukowców przy Ministrze Nauki i Edukacji (VII kadencja), eksperta – członka Zespołów doradczych do spraw Programu Wsparcia Edukacji przy Ministrze Edukacji i Nauki -  Zarządzenie Ministra Edukacji i Nauki z dnia 11 sierpnia 2022 r. oraz Zespołu doradczego do spraw oceny wniosków o przyznanie dotacji celowej na finansowanie lub dofinansowanie kosztów realizacji inwestycji lub remontu przy Ministrze Edukacji i Nauki.</w:t>
      </w:r>
      <w:r>
        <w:rPr>
          <w:rFonts w:ascii="Cambria" w:hAnsi="Cambria" w:cs="Times New Roman"/>
          <w:sz w:val="24"/>
          <w:szCs w:val="24"/>
        </w:rPr>
        <w:t xml:space="preserve"> </w:t>
      </w:r>
    </w:p>
    <w:p w14:paraId="57CC0BAB" w14:textId="77777777" w:rsidR="00621583" w:rsidRDefault="00954F49" w:rsidP="00621583">
      <w:pPr>
        <w:spacing w:after="120" w:line="276" w:lineRule="auto"/>
        <w:ind w:left="709" w:firstLine="709"/>
        <w:jc w:val="both"/>
        <w:rPr>
          <w:rFonts w:ascii="Times New Roman" w:eastAsia="Times New Roman" w:hAnsi="Times New Roman" w:cs="Times New Roman"/>
          <w:sz w:val="24"/>
          <w:szCs w:val="24"/>
          <w:lang w:eastAsia="pl-PL"/>
        </w:rPr>
      </w:pPr>
      <w:r w:rsidRPr="00621583">
        <w:rPr>
          <w:rFonts w:ascii="Cambria" w:hAnsi="Cambria"/>
          <w:sz w:val="24"/>
          <w:szCs w:val="24"/>
        </w:rPr>
        <w:t xml:space="preserve">W latach 2018 – 2022 pełniłam również funkcje </w:t>
      </w:r>
      <w:r w:rsidRPr="00D10CFD">
        <w:rPr>
          <w:rFonts w:ascii="Cambria" w:hAnsi="Cambria"/>
          <w:b/>
          <w:bCs/>
          <w:sz w:val="24"/>
          <w:szCs w:val="24"/>
        </w:rPr>
        <w:t>członka komitetów organizacyjnych</w:t>
      </w:r>
      <w:r w:rsidR="001121AA" w:rsidRPr="00D10CFD">
        <w:rPr>
          <w:rFonts w:ascii="Cambria" w:hAnsi="Cambria"/>
          <w:b/>
          <w:bCs/>
          <w:sz w:val="24"/>
          <w:szCs w:val="24"/>
        </w:rPr>
        <w:t xml:space="preserve"> </w:t>
      </w:r>
      <w:r w:rsidRPr="00D10CFD">
        <w:rPr>
          <w:rFonts w:ascii="Cambria" w:hAnsi="Cambria"/>
          <w:b/>
          <w:bCs/>
          <w:sz w:val="24"/>
          <w:szCs w:val="24"/>
        </w:rPr>
        <w:t>konferencji krajowych i międzynarodowych</w:t>
      </w:r>
      <w:r w:rsidRPr="00621583">
        <w:rPr>
          <w:rFonts w:ascii="Cambria" w:hAnsi="Cambria"/>
          <w:sz w:val="24"/>
          <w:szCs w:val="24"/>
        </w:rPr>
        <w:t xml:space="preserve"> (</w:t>
      </w:r>
      <w:r w:rsidR="001121AA" w:rsidRPr="00621583">
        <w:rPr>
          <w:rFonts w:ascii="Times New Roman" w:eastAsia="Times New Roman" w:hAnsi="Times New Roman" w:cs="Times New Roman"/>
          <w:sz w:val="24"/>
          <w:szCs w:val="24"/>
          <w:lang w:eastAsia="pl-PL"/>
        </w:rPr>
        <w:t xml:space="preserve">International Scientific Conference </w:t>
      </w:r>
      <w:r w:rsidR="001121AA" w:rsidRPr="00621583">
        <w:rPr>
          <w:rFonts w:ascii="Times New Roman" w:eastAsia="Times New Roman" w:hAnsi="Times New Roman" w:cs="Times New Roman"/>
          <w:i/>
          <w:iCs/>
          <w:sz w:val="24"/>
          <w:szCs w:val="24"/>
          <w:lang w:eastAsia="pl-PL"/>
        </w:rPr>
        <w:t>“Resilience and transformations of the legal systems - in the time of crises (a Polish and Hungarian approach) –  2nd Polish-Hungarian Legal Studies Conference”</w:t>
      </w:r>
      <w:r w:rsidR="001121AA" w:rsidRPr="00621583">
        <w:rPr>
          <w:rFonts w:ascii="Times New Roman" w:eastAsia="Times New Roman" w:hAnsi="Times New Roman" w:cs="Times New Roman"/>
          <w:sz w:val="24"/>
          <w:szCs w:val="24"/>
          <w:lang w:eastAsia="pl-PL"/>
        </w:rPr>
        <w:t xml:space="preserve">, Maria Curie-Skłodowska University (Lublin), Poland, Eötvös Loránd University (Budapest), Hungary, 21 czerwca 2022 r.; Uniwersytecki Panel Prawa Finansowego LUBFIN. I Międzynarodowa Konferencja Naukowa pt. Finansowoprawne regulacje okresu pandemii, 28 maja 2021 r., KUL; </w:t>
      </w:r>
      <w:r w:rsidR="001121AA" w:rsidRPr="00621583">
        <w:rPr>
          <w:rFonts w:ascii="Times New Roman" w:eastAsia="Times New Roman" w:hAnsi="Times New Roman" w:cs="Times New Roman"/>
          <w:bCs/>
          <w:iCs/>
          <w:sz w:val="24"/>
          <w:szCs w:val="24"/>
          <w:lang w:eastAsia="pl-PL"/>
        </w:rPr>
        <w:t xml:space="preserve">Międzynarodowe Seminarium Naukowe dot. wykonywania zawodu adwokata, Okręgowa Rada Adwokacka w Bolonii, Alma Mater Studiorum w Bolonii, 4 grudnia 2018 r.; </w:t>
      </w:r>
      <w:r w:rsidR="001121AA" w:rsidRPr="00621583">
        <w:rPr>
          <w:rFonts w:ascii="Times New Roman" w:eastAsia="Times New Roman" w:hAnsi="Times New Roman" w:cs="Times New Roman"/>
          <w:sz w:val="24"/>
          <w:szCs w:val="24"/>
          <w:lang w:eastAsia="pl-PL"/>
        </w:rPr>
        <w:t xml:space="preserve">Wizyta </w:t>
      </w:r>
      <w:r w:rsidR="001121AA" w:rsidRPr="00621583">
        <w:rPr>
          <w:rFonts w:ascii="Times New Roman" w:eastAsia="Times New Roman" w:hAnsi="Times New Roman" w:cs="Times New Roman"/>
          <w:sz w:val="24"/>
          <w:szCs w:val="24"/>
          <w:lang w:eastAsia="pl-PL"/>
        </w:rPr>
        <w:lastRenderedPageBreak/>
        <w:t xml:space="preserve">studyjna w ORA w Wilnie, </w:t>
      </w:r>
      <w:r w:rsidR="001121AA" w:rsidRPr="00621583">
        <w:rPr>
          <w:rFonts w:ascii="Times New Roman" w:eastAsia="Times New Roman" w:hAnsi="Times New Roman" w:cs="Times New Roman"/>
          <w:i/>
          <w:iCs/>
          <w:sz w:val="24"/>
          <w:szCs w:val="24"/>
          <w:lang w:eastAsia="pl-PL"/>
        </w:rPr>
        <w:t>Współpraca polsko – litewska w samorządzie zawodowym. Wyzwania i zagrożenia</w:t>
      </w:r>
      <w:r w:rsidR="001121AA" w:rsidRPr="00621583">
        <w:rPr>
          <w:rFonts w:ascii="Times New Roman" w:eastAsia="Times New Roman" w:hAnsi="Times New Roman" w:cs="Times New Roman"/>
          <w:sz w:val="24"/>
          <w:szCs w:val="24"/>
          <w:lang w:eastAsia="pl-PL"/>
        </w:rPr>
        <w:t>, 7-9 czerwca 2019 r.; krajowy X Zjazd Prawników – Administratywistów „Ochrona państwa i praw jednostek w sytuacjach kryzysowych i stanach nadzwyczajnych”, 7-8 kwietnia 2022 r.). Wielokrotnie także uczestniczyłam w charakterze moderatora na konferencjach krajowych i międzynarodowych organizowanych przez organizacje studenckie (zwłaszcza Studenckie Koło Naukowe Prawników WPiA UMCS w Lublinie).</w:t>
      </w:r>
      <w:r w:rsidR="004D6009" w:rsidRPr="00621583">
        <w:rPr>
          <w:rFonts w:ascii="Times New Roman" w:eastAsia="Times New Roman" w:hAnsi="Times New Roman" w:cs="Times New Roman"/>
          <w:sz w:val="24"/>
          <w:szCs w:val="24"/>
          <w:lang w:eastAsia="pl-PL"/>
        </w:rPr>
        <w:t xml:space="preserve"> </w:t>
      </w:r>
    </w:p>
    <w:p w14:paraId="769D2B8D" w14:textId="3ABC02DF" w:rsidR="004D6009" w:rsidRPr="00621583" w:rsidRDefault="004D6009" w:rsidP="00621583">
      <w:pPr>
        <w:spacing w:after="120" w:line="276" w:lineRule="auto"/>
        <w:ind w:left="709" w:firstLine="709"/>
        <w:jc w:val="both"/>
        <w:rPr>
          <w:rFonts w:ascii="Cambria" w:hAnsi="Cambria" w:cs="Times New Roman"/>
          <w:sz w:val="24"/>
          <w:szCs w:val="24"/>
        </w:rPr>
      </w:pPr>
      <w:r w:rsidRPr="00621583">
        <w:rPr>
          <w:rFonts w:ascii="Times New Roman" w:eastAsia="Times New Roman" w:hAnsi="Times New Roman" w:cs="Times New Roman"/>
          <w:sz w:val="24"/>
          <w:szCs w:val="24"/>
          <w:lang w:eastAsia="pl-PL"/>
        </w:rPr>
        <w:t xml:space="preserve">Oprócz tego uczestniczyłam w </w:t>
      </w:r>
      <w:r w:rsidRPr="00D10CFD">
        <w:rPr>
          <w:rFonts w:ascii="Times New Roman" w:eastAsia="Times New Roman" w:hAnsi="Times New Roman" w:cs="Times New Roman"/>
          <w:b/>
          <w:bCs/>
          <w:sz w:val="24"/>
          <w:szCs w:val="24"/>
          <w:lang w:eastAsia="pl-PL"/>
        </w:rPr>
        <w:t>pracach redaktorskich czasopism</w:t>
      </w:r>
      <w:r w:rsidRPr="00621583">
        <w:rPr>
          <w:rFonts w:ascii="Times New Roman" w:eastAsia="Times New Roman" w:hAnsi="Times New Roman" w:cs="Times New Roman"/>
          <w:sz w:val="24"/>
          <w:szCs w:val="24"/>
          <w:lang w:eastAsia="pl-PL"/>
        </w:rPr>
        <w:t>: „Prawnik. Czasopismo Okręgowej Izby Radców Prawnych w Lublinie” (członek Komitetu Naukowego i stały recenzent)</w:t>
      </w:r>
      <w:r w:rsidR="00621583">
        <w:rPr>
          <w:rFonts w:ascii="Times New Roman" w:eastAsia="Times New Roman" w:hAnsi="Times New Roman" w:cs="Times New Roman"/>
          <w:sz w:val="24"/>
          <w:szCs w:val="24"/>
          <w:lang w:eastAsia="pl-PL"/>
        </w:rPr>
        <w:t xml:space="preserve"> oraz</w:t>
      </w:r>
      <w:r w:rsidRPr="00621583">
        <w:rPr>
          <w:rFonts w:ascii="Times New Roman" w:eastAsia="Times New Roman" w:hAnsi="Times New Roman" w:cs="Times New Roman"/>
          <w:sz w:val="24"/>
          <w:szCs w:val="24"/>
          <w:lang w:eastAsia="pl-PL"/>
        </w:rPr>
        <w:t xml:space="preserve"> „Studenckie Zeszyty Naukowe” – Zastępca Redaktora Naczelnego (w latach 2007 – 2008). Ponadto, pełnię </w:t>
      </w:r>
      <w:r w:rsidRPr="00D10CFD">
        <w:rPr>
          <w:rFonts w:ascii="Times New Roman" w:eastAsia="Times New Roman" w:hAnsi="Times New Roman" w:cs="Times New Roman"/>
          <w:b/>
          <w:bCs/>
          <w:sz w:val="24"/>
          <w:szCs w:val="24"/>
          <w:lang w:eastAsia="pl-PL"/>
        </w:rPr>
        <w:t>funkcję recenzenta</w:t>
      </w:r>
      <w:r w:rsidRPr="00621583">
        <w:rPr>
          <w:rFonts w:ascii="Times New Roman" w:eastAsia="Times New Roman" w:hAnsi="Times New Roman" w:cs="Times New Roman"/>
          <w:sz w:val="24"/>
          <w:szCs w:val="24"/>
          <w:lang w:eastAsia="pl-PL"/>
        </w:rPr>
        <w:t xml:space="preserve"> w renomowanych czasopismach znajdujących się w światowych bazach Web of Science i Scopus, tj. </w:t>
      </w:r>
      <w:r w:rsidRPr="00621583">
        <w:rPr>
          <w:rFonts w:ascii="Times New Roman" w:eastAsia="Times New Roman" w:hAnsi="Times New Roman" w:cs="Times New Roman"/>
          <w:sz w:val="24"/>
          <w:szCs w:val="24"/>
          <w:lang w:val="en-GB" w:eastAsia="pl-PL"/>
        </w:rPr>
        <w:t xml:space="preserve">“Lex Localis - Journal of Local Self-Government”, “Review of European and Comparative Law”, „Krytyka Prawa. </w:t>
      </w:r>
      <w:r w:rsidRPr="00621583">
        <w:rPr>
          <w:rFonts w:ascii="Times New Roman" w:eastAsia="Times New Roman" w:hAnsi="Times New Roman" w:cs="Times New Roman"/>
          <w:sz w:val="24"/>
          <w:szCs w:val="24"/>
          <w:lang w:eastAsia="pl-PL"/>
        </w:rPr>
        <w:t xml:space="preserve">Niezależne Studia nad Prawem” (szczegółowy opis recenzowanych prac </w:t>
      </w:r>
      <w:r w:rsidRPr="00621583">
        <w:rPr>
          <w:rFonts w:ascii="Cambria" w:hAnsi="Cambria" w:cs="Times New Roman"/>
          <w:sz w:val="24"/>
          <w:szCs w:val="24"/>
        </w:rPr>
        <w:t xml:space="preserve">został przedstawiony w </w:t>
      </w:r>
      <w:r w:rsidRPr="00621583">
        <w:rPr>
          <w:rFonts w:ascii="Cambria" w:hAnsi="Cambria" w:cs="Times New Roman"/>
          <w:b/>
          <w:bCs/>
          <w:sz w:val="24"/>
          <w:szCs w:val="24"/>
        </w:rPr>
        <w:t>Załączniku nr 4</w:t>
      </w:r>
      <w:r w:rsidRPr="00621583">
        <w:rPr>
          <w:rFonts w:ascii="Cambria" w:hAnsi="Cambria" w:cs="Times New Roman"/>
          <w:sz w:val="24"/>
          <w:szCs w:val="24"/>
        </w:rPr>
        <w:t xml:space="preserve"> do wniosku o przeprowadzenie postępowania w sprawie nadania stopnia doktora habilitowanego (</w:t>
      </w:r>
      <w:r w:rsidRPr="00621583">
        <w:rPr>
          <w:rFonts w:ascii="Cambria" w:hAnsi="Cambria" w:cs="Times New Roman"/>
          <w:i/>
          <w:iCs/>
          <w:sz w:val="24"/>
          <w:szCs w:val="24"/>
        </w:rPr>
        <w:t>Wykaz osiągnięć naukowych albo artystycznych, stanowiących znaczny wkład w rozwój określonej dyscypliny</w:t>
      </w:r>
      <w:r w:rsidRPr="00621583">
        <w:rPr>
          <w:rFonts w:ascii="Cambria" w:hAnsi="Cambria" w:cs="Times New Roman"/>
          <w:sz w:val="24"/>
          <w:szCs w:val="24"/>
        </w:rPr>
        <w:t>).</w:t>
      </w:r>
    </w:p>
    <w:p w14:paraId="21BBD800" w14:textId="77777777" w:rsidR="004433DA" w:rsidRDefault="004433DA" w:rsidP="004D6009">
      <w:pPr>
        <w:pStyle w:val="Akapitzlist"/>
        <w:spacing w:after="120" w:line="276" w:lineRule="auto"/>
        <w:ind w:firstLine="696"/>
        <w:contextualSpacing w:val="0"/>
        <w:jc w:val="both"/>
        <w:rPr>
          <w:rFonts w:ascii="Cambria" w:hAnsi="Cambria" w:cs="Times New Roman"/>
          <w:sz w:val="24"/>
          <w:szCs w:val="24"/>
        </w:rPr>
      </w:pPr>
    </w:p>
    <w:p w14:paraId="76F1977D" w14:textId="77777777" w:rsidR="006567C2" w:rsidRDefault="004433DA" w:rsidP="006567C2">
      <w:pPr>
        <w:pStyle w:val="Akapitzlist"/>
        <w:numPr>
          <w:ilvl w:val="0"/>
          <w:numId w:val="10"/>
        </w:numPr>
        <w:spacing w:after="120" w:line="276" w:lineRule="auto"/>
        <w:contextualSpacing w:val="0"/>
        <w:jc w:val="both"/>
        <w:rPr>
          <w:rFonts w:ascii="Cambria" w:hAnsi="Cambria"/>
          <w:sz w:val="24"/>
          <w:szCs w:val="24"/>
        </w:rPr>
      </w:pPr>
      <w:r w:rsidRPr="004433DA">
        <w:rPr>
          <w:rFonts w:ascii="Cambria" w:hAnsi="Cambria"/>
          <w:b/>
          <w:bCs/>
          <w:sz w:val="24"/>
          <w:szCs w:val="24"/>
          <w:u w:val="single"/>
        </w:rPr>
        <w:t>Osiągnięcia popularyzujące naukę</w:t>
      </w:r>
      <w:r>
        <w:rPr>
          <w:rFonts w:ascii="Cambria" w:hAnsi="Cambria"/>
          <w:sz w:val="24"/>
          <w:szCs w:val="24"/>
        </w:rPr>
        <w:t>;</w:t>
      </w:r>
    </w:p>
    <w:p w14:paraId="0C0EDE21" w14:textId="77777777" w:rsidR="006567C2" w:rsidRDefault="006567C2" w:rsidP="006567C2">
      <w:pPr>
        <w:spacing w:after="120" w:line="276" w:lineRule="auto"/>
        <w:jc w:val="both"/>
        <w:rPr>
          <w:rFonts w:ascii="Cambria" w:hAnsi="Cambria"/>
          <w:sz w:val="24"/>
          <w:szCs w:val="24"/>
        </w:rPr>
      </w:pPr>
    </w:p>
    <w:p w14:paraId="3409702B" w14:textId="289AA25E" w:rsidR="00596A9C" w:rsidRDefault="0040255F" w:rsidP="00596A9C">
      <w:pPr>
        <w:pStyle w:val="Akapitzlist"/>
        <w:spacing w:after="120" w:line="276" w:lineRule="auto"/>
        <w:ind w:firstLine="696"/>
        <w:contextualSpacing w:val="0"/>
        <w:jc w:val="both"/>
        <w:rPr>
          <w:rFonts w:ascii="Cambria" w:hAnsi="Cambria" w:cs="Times New Roman"/>
          <w:sz w:val="24"/>
          <w:szCs w:val="24"/>
        </w:rPr>
      </w:pPr>
      <w:r w:rsidRPr="006567C2">
        <w:rPr>
          <w:rFonts w:ascii="Cambria" w:hAnsi="Cambria"/>
          <w:sz w:val="24"/>
          <w:szCs w:val="24"/>
        </w:rPr>
        <w:t xml:space="preserve">Jeśli chodzi o </w:t>
      </w:r>
      <w:r w:rsidRPr="006567C2">
        <w:rPr>
          <w:rFonts w:ascii="Cambria" w:hAnsi="Cambria"/>
          <w:b/>
          <w:bCs/>
          <w:sz w:val="24"/>
          <w:szCs w:val="24"/>
        </w:rPr>
        <w:t xml:space="preserve">działalność mającą charakter upowszechniający, </w:t>
      </w:r>
      <w:r w:rsidRPr="006567C2">
        <w:rPr>
          <w:rFonts w:ascii="Cambria" w:hAnsi="Cambria"/>
          <w:sz w:val="24"/>
          <w:szCs w:val="24"/>
        </w:rPr>
        <w:t xml:space="preserve">należy wskazać jej formy krajowe i zagraniczne. W wymiarze </w:t>
      </w:r>
      <w:r w:rsidR="004433DA" w:rsidRPr="006567C2">
        <w:rPr>
          <w:rFonts w:ascii="Cambria" w:hAnsi="Cambria"/>
          <w:sz w:val="24"/>
          <w:szCs w:val="24"/>
        </w:rPr>
        <w:t xml:space="preserve">krajowym, niewątpliwie do takich należy zaliczyć szeroko zakreśloną </w:t>
      </w:r>
      <w:r w:rsidR="004433DA" w:rsidRPr="00596A9C">
        <w:rPr>
          <w:rFonts w:ascii="Cambria" w:hAnsi="Cambria"/>
          <w:b/>
          <w:bCs/>
          <w:sz w:val="24"/>
          <w:szCs w:val="24"/>
        </w:rPr>
        <w:t>współpracę z otoczeniem społeczno – gospodarczym</w:t>
      </w:r>
      <w:r w:rsidR="004433DA" w:rsidRPr="006567C2">
        <w:rPr>
          <w:rFonts w:ascii="Cambria" w:hAnsi="Cambria"/>
          <w:sz w:val="24"/>
          <w:szCs w:val="24"/>
        </w:rPr>
        <w:t xml:space="preserve">, której przejawy odgrywają kluczową rolę w upowszechnianiu wiedzy. Wypada wskazać choćby </w:t>
      </w:r>
      <w:r w:rsidR="00CC5D3E" w:rsidRPr="006567C2">
        <w:rPr>
          <w:rFonts w:ascii="Cambria" w:hAnsi="Cambria"/>
          <w:sz w:val="24"/>
          <w:szCs w:val="24"/>
        </w:rPr>
        <w:t xml:space="preserve">na </w:t>
      </w:r>
      <w:r w:rsidR="004433DA" w:rsidRPr="006567C2">
        <w:rPr>
          <w:rFonts w:ascii="Cambria" w:hAnsi="Cambria"/>
          <w:sz w:val="24"/>
          <w:szCs w:val="24"/>
        </w:rPr>
        <w:t>współpracę z Mikrobit Sp. z o. o. z siedzibą w Lublinie, podmiotami z sektora publicznego (Ministerstwem Edukacji i Nauki, a zwłaszcza Ośrodkiem Rozwoju Polskiej Edukacji za Granicą</w:t>
      </w:r>
      <w:r w:rsidR="00CC5D3E" w:rsidRPr="006567C2">
        <w:rPr>
          <w:rFonts w:ascii="Cambria" w:hAnsi="Cambria"/>
          <w:sz w:val="24"/>
          <w:szCs w:val="24"/>
        </w:rPr>
        <w:t xml:space="preserve">), innymi uczelniami lub jednostkami sektora oświatowego (Katolicki Uniwersytet Lubelski Jana Pawła II w Lublinie, Szkoła Podstawowa im. Wincentego Pallottiego w Lublinie), a także samorządami zawodowymi (Okręgową Radą Adwokacką w Lublinie, </w:t>
      </w:r>
      <w:r w:rsidR="006567C2" w:rsidRPr="006567C2">
        <w:rPr>
          <w:rFonts w:ascii="Cambria" w:hAnsi="Cambria"/>
          <w:sz w:val="24"/>
          <w:szCs w:val="24"/>
        </w:rPr>
        <w:t xml:space="preserve">Okręgową Izbą Radców Prawnych w Lublinie). </w:t>
      </w:r>
      <w:r w:rsidR="006567C2">
        <w:rPr>
          <w:rFonts w:ascii="Cambria" w:hAnsi="Cambria"/>
          <w:sz w:val="24"/>
          <w:szCs w:val="24"/>
        </w:rPr>
        <w:t xml:space="preserve">Celem współpracy (co wynika również z treści zawartych umów o współpracy, lub dla realizacji poszczególnych przedsięwzięć) jest </w:t>
      </w:r>
      <w:r w:rsidR="006567C2" w:rsidRPr="006567C2">
        <w:rPr>
          <w:rFonts w:ascii="Cambria" w:hAnsi="Cambria" w:cs="Times New Roman"/>
          <w:sz w:val="24"/>
          <w:szCs w:val="24"/>
        </w:rPr>
        <w:t>wspieranie rozwoju wschodnich regionów Polski, a w szczególności Lubelszczyzny; prowadzenie wspólnych projektów naukowo-badawczych i badawczo-rozwojowych oraz edukacyjnych</w:t>
      </w:r>
      <w:r w:rsidR="006567C2">
        <w:rPr>
          <w:rFonts w:ascii="Cambria" w:hAnsi="Cambria" w:cs="Times New Roman"/>
          <w:sz w:val="24"/>
          <w:szCs w:val="24"/>
        </w:rPr>
        <w:t xml:space="preserve">; </w:t>
      </w:r>
      <w:r w:rsidR="006567C2" w:rsidRPr="006567C2">
        <w:rPr>
          <w:rFonts w:ascii="Cambria" w:hAnsi="Cambria" w:cs="Times New Roman"/>
          <w:sz w:val="24"/>
          <w:szCs w:val="24"/>
        </w:rPr>
        <w:t xml:space="preserve">uczestniczenie w programach naukowo-badawczych i badawczo-rozwojowych oraz edukacyjnych z poszanowaniem własności intelektualnej; poszukiwanie środków na finansowanie przedsięwzięć podejmowanych przez Strony; udzielanie wzajemnego wsparcia w podnoszeniu umiejętności oraz zdobywaniu doświadczenia wymaganego na rynku pracy poprzez organizację szkoleń, </w:t>
      </w:r>
      <w:r w:rsidR="006567C2" w:rsidRPr="006567C2">
        <w:rPr>
          <w:rFonts w:ascii="Cambria" w:hAnsi="Cambria" w:cs="Times New Roman"/>
          <w:sz w:val="24"/>
          <w:szCs w:val="24"/>
        </w:rPr>
        <w:lastRenderedPageBreak/>
        <w:t xml:space="preserve">warsztatów, praktyk i staży, realizację prac dyplomowych i innych prac naukowych; realizację innych przedsięwzięć uzgodnionych przez Strony. </w:t>
      </w:r>
      <w:r w:rsidR="00596A9C">
        <w:rPr>
          <w:rFonts w:ascii="Cambria" w:hAnsi="Cambria" w:cs="Times New Roman"/>
          <w:sz w:val="24"/>
          <w:szCs w:val="24"/>
        </w:rPr>
        <w:t xml:space="preserve">Szczegółowy opis podejmowanej aktywności przedstawiono </w:t>
      </w:r>
      <w:r w:rsidR="000F2FC2" w:rsidRPr="007F42BD">
        <w:rPr>
          <w:rFonts w:ascii="Cambria" w:hAnsi="Cambria" w:cs="Times New Roman"/>
          <w:sz w:val="24"/>
          <w:szCs w:val="24"/>
        </w:rPr>
        <w:t xml:space="preserve">w </w:t>
      </w:r>
      <w:r w:rsidR="000F2FC2" w:rsidRPr="007F42BD">
        <w:rPr>
          <w:rFonts w:ascii="Cambria" w:hAnsi="Cambria" w:cs="Times New Roman"/>
          <w:b/>
          <w:bCs/>
          <w:sz w:val="24"/>
          <w:szCs w:val="24"/>
        </w:rPr>
        <w:t>Załączniku nr 4</w:t>
      </w:r>
      <w:r w:rsidR="000F2FC2" w:rsidRPr="007F42BD">
        <w:rPr>
          <w:rFonts w:ascii="Cambria" w:hAnsi="Cambria" w:cs="Times New Roman"/>
          <w:sz w:val="24"/>
          <w:szCs w:val="24"/>
        </w:rPr>
        <w:t xml:space="preserve"> do wniosku o przeprowadzenie postępowania w sprawie nadania stopnia doktora habilitowanego (</w:t>
      </w:r>
      <w:r w:rsidR="000F2FC2" w:rsidRPr="007F42BD">
        <w:rPr>
          <w:rFonts w:ascii="Cambria" w:hAnsi="Cambria" w:cs="Times New Roman"/>
          <w:i/>
          <w:iCs/>
          <w:sz w:val="24"/>
          <w:szCs w:val="24"/>
        </w:rPr>
        <w:t>Wykaz osiągnięć naukowych albo artystycznych, stanowiących znaczny wkład w rozwój określonej dyscypliny</w:t>
      </w:r>
      <w:r w:rsidR="000F2FC2" w:rsidRPr="007F42BD">
        <w:rPr>
          <w:rFonts w:ascii="Cambria" w:hAnsi="Cambria" w:cs="Times New Roman"/>
          <w:sz w:val="24"/>
          <w:szCs w:val="24"/>
        </w:rPr>
        <w:t>).</w:t>
      </w:r>
    </w:p>
    <w:p w14:paraId="40B0D353" w14:textId="612DE76C" w:rsidR="00BB12AB" w:rsidRDefault="00F266AE" w:rsidP="00596A9C">
      <w:pPr>
        <w:pStyle w:val="Akapitzlist"/>
        <w:spacing w:after="120" w:line="276" w:lineRule="auto"/>
        <w:ind w:firstLine="696"/>
        <w:contextualSpacing w:val="0"/>
        <w:jc w:val="both"/>
        <w:rPr>
          <w:rFonts w:ascii="Cambria" w:hAnsi="Cambria" w:cs="Times New Roman"/>
          <w:sz w:val="24"/>
          <w:szCs w:val="24"/>
        </w:rPr>
      </w:pPr>
      <w:r>
        <w:rPr>
          <w:rFonts w:ascii="Cambria" w:hAnsi="Cambria" w:cs="Times New Roman"/>
          <w:sz w:val="24"/>
          <w:szCs w:val="24"/>
        </w:rPr>
        <w:t xml:space="preserve">Oprócz współpracy z otoczeniem społeczno – gospodarczym należy wskazać również zaangażowanie w zróżnicowane wymiary działalności koncentrującej się w otoczeniu uczelni. Wśród takich form wypada wyróżnić stałą działalność </w:t>
      </w:r>
      <w:r w:rsidR="001A2F03">
        <w:rPr>
          <w:rFonts w:ascii="Cambria" w:hAnsi="Cambria" w:cs="Times New Roman"/>
          <w:sz w:val="24"/>
          <w:szCs w:val="24"/>
        </w:rPr>
        <w:t>(</w:t>
      </w:r>
      <w:r>
        <w:rPr>
          <w:rFonts w:ascii="Cambria" w:hAnsi="Cambria" w:cs="Times New Roman"/>
          <w:sz w:val="24"/>
          <w:szCs w:val="24"/>
        </w:rPr>
        <w:t xml:space="preserve">najpierw w charakterze członka, potem Wiceprezesa, a następnie </w:t>
      </w:r>
      <w:r w:rsidRPr="001A2F03">
        <w:rPr>
          <w:rFonts w:ascii="Cambria" w:hAnsi="Cambria" w:cs="Times New Roman"/>
          <w:b/>
          <w:bCs/>
          <w:sz w:val="24"/>
          <w:szCs w:val="24"/>
        </w:rPr>
        <w:t>stałego współpracownika</w:t>
      </w:r>
      <w:r w:rsidRPr="001A2F03">
        <w:rPr>
          <w:rFonts w:ascii="Cambria" w:hAnsi="Cambria" w:cs="Times New Roman"/>
          <w:sz w:val="24"/>
          <w:szCs w:val="24"/>
        </w:rPr>
        <w:t xml:space="preserve"> naukowego</w:t>
      </w:r>
      <w:r w:rsidR="001A2F03" w:rsidRPr="001A2F03">
        <w:rPr>
          <w:rFonts w:ascii="Cambria" w:hAnsi="Cambria" w:cs="Times New Roman"/>
          <w:sz w:val="24"/>
          <w:szCs w:val="24"/>
        </w:rPr>
        <w:t>)</w:t>
      </w:r>
      <w:r w:rsidRPr="00596A9C">
        <w:rPr>
          <w:rFonts w:ascii="Cambria" w:hAnsi="Cambria" w:cs="Times New Roman"/>
          <w:b/>
          <w:bCs/>
          <w:sz w:val="24"/>
          <w:szCs w:val="24"/>
        </w:rPr>
        <w:t xml:space="preserve"> </w:t>
      </w:r>
      <w:r w:rsidR="000F2FC2" w:rsidRPr="00596A9C">
        <w:rPr>
          <w:rFonts w:ascii="Cambria" w:hAnsi="Cambria" w:cs="Times New Roman"/>
          <w:b/>
          <w:bCs/>
          <w:sz w:val="24"/>
          <w:szCs w:val="24"/>
        </w:rPr>
        <w:t xml:space="preserve">Studenckiego Koła Naukowego Prawników WPiA UMCS w Lublinie, oraz członka założyciela Stowarzyszenia Naukowego </w:t>
      </w:r>
      <w:r w:rsidR="000F2FC2" w:rsidRPr="00596A9C">
        <w:rPr>
          <w:rFonts w:ascii="Cambria" w:hAnsi="Cambria" w:cs="Times New Roman"/>
          <w:b/>
          <w:bCs/>
          <w:i/>
          <w:iCs/>
          <w:sz w:val="24"/>
          <w:szCs w:val="24"/>
        </w:rPr>
        <w:t>Pro Scientia Iuridica</w:t>
      </w:r>
      <w:r w:rsidR="000F2FC2">
        <w:rPr>
          <w:rFonts w:ascii="Cambria" w:hAnsi="Cambria" w:cs="Times New Roman"/>
          <w:sz w:val="24"/>
          <w:szCs w:val="24"/>
        </w:rPr>
        <w:t>, którego wśród celów statutowych jest</w:t>
      </w:r>
      <w:r w:rsidR="001A2F03">
        <w:rPr>
          <w:rFonts w:ascii="Cambria" w:hAnsi="Cambria" w:cs="Times New Roman"/>
          <w:sz w:val="24"/>
          <w:szCs w:val="24"/>
        </w:rPr>
        <w:t xml:space="preserve"> m. in.</w:t>
      </w:r>
      <w:r w:rsidR="000F2FC2">
        <w:rPr>
          <w:rFonts w:ascii="Cambria" w:hAnsi="Cambria" w:cs="Times New Roman"/>
          <w:sz w:val="24"/>
          <w:szCs w:val="24"/>
        </w:rPr>
        <w:t xml:space="preserve"> </w:t>
      </w:r>
      <w:r w:rsidR="000F2FC2" w:rsidRPr="000F2FC2">
        <w:rPr>
          <w:rFonts w:ascii="Cambria" w:hAnsi="Cambria" w:cs="Times New Roman"/>
          <w:sz w:val="24"/>
          <w:szCs w:val="24"/>
        </w:rPr>
        <w:t>a) rozwój i popularyzowanie nauk prawnych, b) doskonalenie wiedzy prawniczej i kwalifikacji zawodowych członków Stowarzyszenia oraz innych osób zainteresowanych prawem, c) wyrażanie poglądów w kwestiach stanowienia prawa i praworządności, d) rozwijanie świadomości i kultury prawnej społeczeństwa, e) wspieranie organizacji o podobnych celach działania, ze szczególnym uwzględnieniem Studenckiego Koła Naukowego Prawników UMCS</w:t>
      </w:r>
      <w:r w:rsidR="000F2FC2">
        <w:rPr>
          <w:rFonts w:ascii="Cambria" w:hAnsi="Cambria" w:cs="Times New Roman"/>
          <w:sz w:val="24"/>
          <w:szCs w:val="24"/>
        </w:rPr>
        <w:t xml:space="preserve"> (§6 Statutu Stowarzyszenia). </w:t>
      </w:r>
    </w:p>
    <w:p w14:paraId="3B4EC5A0" w14:textId="29185BAA" w:rsidR="00D07EDC" w:rsidRPr="001A2F03" w:rsidRDefault="007B2C9F" w:rsidP="001A2F03">
      <w:pPr>
        <w:pStyle w:val="Akapitzlist"/>
        <w:spacing w:after="120" w:line="276" w:lineRule="auto"/>
        <w:ind w:firstLine="696"/>
        <w:contextualSpacing w:val="0"/>
        <w:jc w:val="both"/>
        <w:rPr>
          <w:rFonts w:ascii="Cambria" w:hAnsi="Cambria"/>
          <w:sz w:val="24"/>
          <w:szCs w:val="24"/>
        </w:rPr>
      </w:pPr>
      <w:r>
        <w:rPr>
          <w:rFonts w:ascii="Cambria" w:hAnsi="Cambria" w:cs="Times New Roman"/>
          <w:sz w:val="24"/>
          <w:szCs w:val="24"/>
        </w:rPr>
        <w:t xml:space="preserve">Jeśli chodzi o działalność upowszechniającą naukę w wymiarze zagranicznym należy wskazać udział w charakterze koordynatora w projekcie międzynarodowym </w:t>
      </w:r>
      <w:r>
        <w:rPr>
          <w:rFonts w:ascii="Cambria" w:hAnsi="Cambria"/>
          <w:sz w:val="24"/>
          <w:szCs w:val="24"/>
        </w:rPr>
        <w:t>„</w:t>
      </w:r>
      <w:r w:rsidRPr="00C44462">
        <w:rPr>
          <w:rFonts w:ascii="Cambria" w:hAnsi="Cambria"/>
          <w:b/>
          <w:bCs/>
          <w:i/>
          <w:iCs/>
          <w:sz w:val="24"/>
          <w:szCs w:val="24"/>
        </w:rPr>
        <w:t>Multilateral Exchange of Lawyers</w:t>
      </w:r>
      <w:r>
        <w:rPr>
          <w:rFonts w:ascii="Cambria" w:hAnsi="Cambria"/>
          <w:b/>
          <w:bCs/>
          <w:i/>
          <w:iCs/>
          <w:sz w:val="24"/>
          <w:szCs w:val="24"/>
        </w:rPr>
        <w:t>”</w:t>
      </w:r>
      <w:r>
        <w:rPr>
          <w:rFonts w:ascii="Cambria" w:hAnsi="Cambria"/>
          <w:sz w:val="24"/>
          <w:szCs w:val="24"/>
        </w:rPr>
        <w:t xml:space="preserve"> realizowanym przez: UMCS, Okręgową Izbę Radców Prawnych w Lublinie, Krajową Izbę Radców Prawnych w Warszawie, Okręgową Radę Adwokacką w Atenach (ewaluacja zakończona wynikiem pozytywnym – 10.2018)</w:t>
      </w:r>
      <w:r w:rsidR="00E62EFC">
        <w:rPr>
          <w:rFonts w:ascii="Cambria" w:hAnsi="Cambria"/>
          <w:sz w:val="24"/>
          <w:szCs w:val="24"/>
        </w:rPr>
        <w:t xml:space="preserve"> oraz </w:t>
      </w:r>
      <w:r w:rsidR="00E62EFC" w:rsidRPr="00E62EFC">
        <w:rPr>
          <w:rFonts w:ascii="Cambria" w:hAnsi="Cambria"/>
          <w:b/>
          <w:bCs/>
          <w:i/>
          <w:iCs/>
          <w:sz w:val="24"/>
          <w:szCs w:val="24"/>
        </w:rPr>
        <w:t>„Ethics for Lawyers”</w:t>
      </w:r>
      <w:r w:rsidR="00E62EFC" w:rsidRPr="00E62EFC">
        <w:rPr>
          <w:rFonts w:ascii="Cambria" w:hAnsi="Cambria"/>
          <w:sz w:val="24"/>
          <w:szCs w:val="24"/>
        </w:rPr>
        <w:t xml:space="preserve"> (Uczestnik) organizowanym przez Radę Europy oraz European Association of Lawyers and European Young Bar Association (Europejskim Stowarzyszeniem Młodych Prawników (EYBA) - 2022 (ewaluacja zakończona wynikiem pozytywnym – 05.2022)</w:t>
      </w:r>
      <w:r>
        <w:rPr>
          <w:rFonts w:ascii="Cambria" w:hAnsi="Cambria"/>
          <w:sz w:val="24"/>
          <w:szCs w:val="24"/>
        </w:rPr>
        <w:t>. Celami realizowan</w:t>
      </w:r>
      <w:r w:rsidR="00E62EFC">
        <w:rPr>
          <w:rFonts w:ascii="Cambria" w:hAnsi="Cambria"/>
          <w:sz w:val="24"/>
          <w:szCs w:val="24"/>
        </w:rPr>
        <w:t>ych</w:t>
      </w:r>
      <w:r>
        <w:rPr>
          <w:rFonts w:ascii="Cambria" w:hAnsi="Cambria"/>
          <w:sz w:val="24"/>
          <w:szCs w:val="24"/>
        </w:rPr>
        <w:t xml:space="preserve"> projekt</w:t>
      </w:r>
      <w:r w:rsidR="00E62EFC">
        <w:rPr>
          <w:rFonts w:ascii="Cambria" w:hAnsi="Cambria"/>
          <w:sz w:val="24"/>
          <w:szCs w:val="24"/>
        </w:rPr>
        <w:t>ów</w:t>
      </w:r>
      <w:r>
        <w:rPr>
          <w:rFonts w:ascii="Cambria" w:hAnsi="Cambria"/>
          <w:sz w:val="24"/>
          <w:szCs w:val="24"/>
        </w:rPr>
        <w:t xml:space="preserve"> było między innymi upowszechni</w:t>
      </w:r>
      <w:r w:rsidR="001A2F03">
        <w:rPr>
          <w:rFonts w:ascii="Cambria" w:hAnsi="Cambria"/>
          <w:sz w:val="24"/>
          <w:szCs w:val="24"/>
        </w:rPr>
        <w:t>anie</w:t>
      </w:r>
      <w:r>
        <w:rPr>
          <w:rFonts w:ascii="Cambria" w:hAnsi="Cambria"/>
          <w:sz w:val="24"/>
          <w:szCs w:val="24"/>
        </w:rPr>
        <w:t xml:space="preserve"> wiedzy </w:t>
      </w:r>
      <w:r w:rsidR="00E62EFC">
        <w:rPr>
          <w:rFonts w:ascii="Cambria" w:hAnsi="Cambria"/>
          <w:sz w:val="24"/>
          <w:szCs w:val="24"/>
        </w:rPr>
        <w:t xml:space="preserve">prawniczej, w szczególności w zakresie zasad świadczenia pomocy prawnej w poszczególnych krajach UE. </w:t>
      </w:r>
    </w:p>
    <w:p w14:paraId="0B981141" w14:textId="5AA7DB1C" w:rsidR="00C6173D" w:rsidRPr="007F42BD" w:rsidRDefault="00BB12AB" w:rsidP="00C6173D">
      <w:pPr>
        <w:pStyle w:val="Akapitzlist"/>
        <w:spacing w:after="0" w:line="360" w:lineRule="auto"/>
        <w:jc w:val="both"/>
        <w:rPr>
          <w:rFonts w:ascii="Cambria" w:hAnsi="Cambria" w:cs="Times New Roman"/>
          <w:color w:val="FF0000"/>
          <w:sz w:val="24"/>
          <w:szCs w:val="24"/>
        </w:rPr>
      </w:pPr>
      <w:r w:rsidRPr="007F42BD">
        <w:rPr>
          <w:rFonts w:ascii="Cambria" w:hAnsi="Cambria" w:cs="Times New Roman"/>
          <w:i/>
          <w:iCs/>
          <w:noProof/>
          <w:sz w:val="24"/>
          <w:szCs w:val="24"/>
        </w:rPr>
        <mc:AlternateContent>
          <mc:Choice Requires="wps">
            <w:drawing>
              <wp:anchor distT="91440" distB="91440" distL="114300" distR="114300" simplePos="0" relativeHeight="251669504" behindDoc="0" locked="0" layoutInCell="1" allowOverlap="1" wp14:anchorId="1165CA26" wp14:editId="4BD5D128">
                <wp:simplePos x="0" y="0"/>
                <wp:positionH relativeFrom="page">
                  <wp:posOffset>1219200</wp:posOffset>
                </wp:positionH>
                <wp:positionV relativeFrom="paragraph">
                  <wp:posOffset>159385</wp:posOffset>
                </wp:positionV>
                <wp:extent cx="5554800" cy="594360"/>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800" cy="594360"/>
                        </a:xfrm>
                        <a:prstGeom prst="rect">
                          <a:avLst/>
                        </a:prstGeom>
                        <a:noFill/>
                        <a:ln w="9525">
                          <a:noFill/>
                          <a:miter lim="800000"/>
                          <a:headEnd/>
                          <a:tailEnd/>
                        </a:ln>
                      </wps:spPr>
                      <wps:txbx>
                        <w:txbxContent>
                          <w:p w14:paraId="6CE681FA" w14:textId="7BDA1EB1" w:rsidR="00BB12AB" w:rsidRDefault="00BB12AB">
                            <w:pPr>
                              <w:pBdr>
                                <w:top w:val="single" w:sz="24" w:space="8" w:color="5B9BD5" w:themeColor="accent1"/>
                                <w:bottom w:val="single" w:sz="24" w:space="8" w:color="5B9BD5" w:themeColor="accent1"/>
                              </w:pBdr>
                              <w:spacing w:after="0"/>
                              <w:rPr>
                                <w:i/>
                                <w:iCs/>
                                <w:color w:val="5B9BD5"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5CA26" id="_x0000_s1031" type="#_x0000_t202" style="position:absolute;left:0;text-align:left;margin-left:96pt;margin-top:12.55pt;width:437.4pt;height:46.8pt;z-index:25166950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" filled="f" stroked="f">
                <v:textbox>
                  <w:txbxContent>
                    <w:p w14:paraId="6CE681FA" w14:textId="7BDA1EB1" w:rsidR="00BB12AB" w:rsidRDefault="00BB12AB">
                      <w:pPr>
                        <w:pBdr>
                          <w:top w:val="single" w:sz="24" w:space="8" w:color="5B9BD5" w:themeColor="accent1"/>
                          <w:bottom w:val="single" w:sz="24" w:space="8" w:color="5B9BD5" w:themeColor="accent1"/>
                        </w:pBdr>
                        <w:spacing w:after="0"/>
                        <w:rPr>
                          <w:i/>
                          <w:iCs/>
                          <w:color w:val="5B9BD5" w:themeColor="accent1"/>
                          <w:sz w:val="24"/>
                        </w:rPr>
                      </w:pPr>
                    </w:p>
                  </w:txbxContent>
                </v:textbox>
                <w10:wrap anchorx="page"/>
              </v:shape>
            </w:pict>
          </mc:Fallback>
        </mc:AlternateContent>
      </w:r>
    </w:p>
    <w:p w14:paraId="17C8FE64" w14:textId="3CFBC035" w:rsidR="009F5711" w:rsidRPr="007F42BD" w:rsidRDefault="008B216A" w:rsidP="00364EE7">
      <w:pPr>
        <w:pStyle w:val="Akapitzlist"/>
        <w:numPr>
          <w:ilvl w:val="0"/>
          <w:numId w:val="1"/>
        </w:numPr>
        <w:spacing w:after="0" w:line="240" w:lineRule="auto"/>
        <w:ind w:left="714" w:hanging="357"/>
        <w:jc w:val="both"/>
        <w:rPr>
          <w:rFonts w:ascii="Cambria" w:hAnsi="Cambria" w:cs="Times New Roman"/>
          <w:i/>
          <w:iCs/>
          <w:sz w:val="24"/>
          <w:szCs w:val="24"/>
        </w:rPr>
      </w:pPr>
      <w:r w:rsidRPr="007F42BD">
        <w:rPr>
          <w:rFonts w:ascii="Cambria" w:hAnsi="Cambria" w:cs="Times New Roman"/>
          <w:i/>
          <w:iCs/>
          <w:sz w:val="24"/>
          <w:szCs w:val="24"/>
        </w:rPr>
        <w:t>I</w:t>
      </w:r>
      <w:r w:rsidR="009F5711" w:rsidRPr="007F42BD">
        <w:rPr>
          <w:rFonts w:ascii="Cambria" w:hAnsi="Cambria" w:cs="Times New Roman"/>
          <w:i/>
          <w:iCs/>
          <w:sz w:val="24"/>
          <w:szCs w:val="24"/>
        </w:rPr>
        <w:t>nne informacje, ważne z</w:t>
      </w:r>
      <w:r w:rsidRPr="007F42BD">
        <w:rPr>
          <w:rFonts w:ascii="Cambria" w:hAnsi="Cambria" w:cs="Times New Roman"/>
          <w:i/>
          <w:iCs/>
          <w:sz w:val="24"/>
          <w:szCs w:val="24"/>
        </w:rPr>
        <w:t xml:space="preserve"> </w:t>
      </w:r>
      <w:r w:rsidR="009F5711" w:rsidRPr="007F42BD">
        <w:rPr>
          <w:rFonts w:ascii="Cambria" w:hAnsi="Cambria" w:cs="Times New Roman"/>
          <w:i/>
          <w:iCs/>
          <w:sz w:val="24"/>
          <w:szCs w:val="24"/>
        </w:rPr>
        <w:t>punktu widzenia</w:t>
      </w:r>
      <w:r w:rsidRPr="007F42BD">
        <w:rPr>
          <w:rFonts w:ascii="Cambria" w:hAnsi="Cambria" w:cs="Times New Roman"/>
          <w:i/>
          <w:iCs/>
          <w:sz w:val="24"/>
          <w:szCs w:val="24"/>
        </w:rPr>
        <w:t xml:space="preserve"> </w:t>
      </w:r>
      <w:r w:rsidR="009F5711" w:rsidRPr="007F42BD">
        <w:rPr>
          <w:rFonts w:ascii="Cambria" w:hAnsi="Cambria" w:cs="Times New Roman"/>
          <w:i/>
          <w:iCs/>
          <w:sz w:val="24"/>
          <w:szCs w:val="24"/>
        </w:rPr>
        <w:t xml:space="preserve">kariery zawodowej. </w:t>
      </w:r>
    </w:p>
    <w:p w14:paraId="4825902D" w14:textId="3960197E" w:rsidR="00634613" w:rsidRPr="007F42BD" w:rsidRDefault="00634613" w:rsidP="00634613">
      <w:pPr>
        <w:spacing w:after="0" w:line="360" w:lineRule="auto"/>
        <w:jc w:val="both"/>
        <w:rPr>
          <w:rFonts w:ascii="Cambria" w:hAnsi="Cambria" w:cs="Times New Roman"/>
          <w:sz w:val="24"/>
          <w:szCs w:val="24"/>
        </w:rPr>
      </w:pPr>
    </w:p>
    <w:p w14:paraId="754C1024" w14:textId="77777777" w:rsidR="00F12A1C" w:rsidRDefault="00F12A1C" w:rsidP="001A2F03">
      <w:pPr>
        <w:spacing w:after="0" w:line="276" w:lineRule="auto"/>
        <w:jc w:val="both"/>
        <w:rPr>
          <w:rFonts w:ascii="Cambria" w:hAnsi="Cambria" w:cs="Times New Roman"/>
          <w:sz w:val="24"/>
          <w:szCs w:val="24"/>
        </w:rPr>
      </w:pPr>
    </w:p>
    <w:p w14:paraId="7BF8543F" w14:textId="74EE4EA5" w:rsidR="006E4BBB" w:rsidRDefault="006E4BBB" w:rsidP="006E4BBB">
      <w:pPr>
        <w:spacing w:after="0" w:line="276" w:lineRule="auto"/>
        <w:ind w:left="357"/>
        <w:jc w:val="both"/>
        <w:rPr>
          <w:rFonts w:ascii="Cambria" w:hAnsi="Cambria" w:cs="Times New Roman"/>
          <w:sz w:val="24"/>
          <w:szCs w:val="24"/>
        </w:rPr>
      </w:pPr>
      <w:r>
        <w:rPr>
          <w:rFonts w:ascii="Cambria" w:hAnsi="Cambria" w:cs="Times New Roman"/>
          <w:sz w:val="24"/>
          <w:szCs w:val="24"/>
        </w:rPr>
        <w:t>W ramach prowadzonej działalności badawczo – dydaktycznej uzyskiwano wyróżniające wyniki</w:t>
      </w:r>
      <w:r w:rsidR="006C356F">
        <w:rPr>
          <w:rFonts w:ascii="Cambria" w:hAnsi="Cambria" w:cs="Times New Roman"/>
          <w:sz w:val="24"/>
          <w:szCs w:val="24"/>
        </w:rPr>
        <w:t>, co przejawiało się w pozyskanych stypendiach i nagrodach (o zasięgu krajowym i międzynarodowym). Wypada wskazać na następujące dodatkowe osiągnięcia:</w:t>
      </w:r>
    </w:p>
    <w:p w14:paraId="478EB5BD" w14:textId="77777777" w:rsidR="006C356F" w:rsidRPr="006E4BBB" w:rsidRDefault="006C356F" w:rsidP="006E4BBB">
      <w:pPr>
        <w:spacing w:after="0" w:line="276" w:lineRule="auto"/>
        <w:ind w:left="357"/>
        <w:jc w:val="both"/>
        <w:rPr>
          <w:rFonts w:ascii="Cambria" w:hAnsi="Cambria" w:cs="Times New Roman"/>
          <w:sz w:val="24"/>
          <w:szCs w:val="24"/>
        </w:rPr>
      </w:pPr>
    </w:p>
    <w:p w14:paraId="3E28F44E" w14:textId="0F0633A7" w:rsidR="008B216A" w:rsidRPr="006C356F" w:rsidRDefault="00C07EA3" w:rsidP="006C356F">
      <w:pPr>
        <w:pStyle w:val="Akapitzlist"/>
        <w:numPr>
          <w:ilvl w:val="0"/>
          <w:numId w:val="51"/>
        </w:numPr>
        <w:spacing w:after="0" w:line="360" w:lineRule="auto"/>
        <w:jc w:val="both"/>
        <w:rPr>
          <w:rFonts w:ascii="Cambria" w:hAnsi="Cambria" w:cs="Times New Roman"/>
          <w:b/>
          <w:bCs/>
          <w:sz w:val="24"/>
          <w:szCs w:val="24"/>
        </w:rPr>
      </w:pPr>
      <w:r w:rsidRPr="006C356F">
        <w:rPr>
          <w:rFonts w:ascii="Cambria" w:hAnsi="Cambria" w:cs="Times New Roman"/>
          <w:b/>
          <w:bCs/>
          <w:sz w:val="24"/>
          <w:szCs w:val="24"/>
          <w:u w:val="single"/>
        </w:rPr>
        <w:lastRenderedPageBreak/>
        <w:t>S</w:t>
      </w:r>
      <w:r w:rsidR="00FF794F" w:rsidRPr="006C356F">
        <w:rPr>
          <w:rFonts w:ascii="Cambria" w:hAnsi="Cambria" w:cs="Times New Roman"/>
          <w:b/>
          <w:bCs/>
          <w:sz w:val="24"/>
          <w:szCs w:val="24"/>
          <w:u w:val="single"/>
        </w:rPr>
        <w:t>typendia</w:t>
      </w:r>
      <w:r w:rsidR="00FF794F" w:rsidRPr="006C356F">
        <w:rPr>
          <w:rFonts w:ascii="Cambria" w:hAnsi="Cambria" w:cs="Times New Roman"/>
          <w:b/>
          <w:bCs/>
          <w:sz w:val="24"/>
          <w:szCs w:val="24"/>
        </w:rPr>
        <w:t>:</w:t>
      </w:r>
    </w:p>
    <w:p w14:paraId="649AD503" w14:textId="77777777" w:rsidR="00C07EA3" w:rsidRPr="006C356F" w:rsidRDefault="00266CDB" w:rsidP="00364EE7">
      <w:pPr>
        <w:pStyle w:val="Akapitzlist"/>
        <w:numPr>
          <w:ilvl w:val="0"/>
          <w:numId w:val="7"/>
        </w:numPr>
        <w:spacing w:after="0" w:line="240" w:lineRule="auto"/>
        <w:jc w:val="both"/>
        <w:rPr>
          <w:rFonts w:ascii="Cambria" w:hAnsi="Cambria" w:cs="Times New Roman"/>
          <w:sz w:val="24"/>
          <w:szCs w:val="24"/>
        </w:rPr>
      </w:pPr>
      <w:r w:rsidRPr="006C356F">
        <w:rPr>
          <w:rFonts w:ascii="Cambria" w:hAnsi="Cambria" w:cs="Times New Roman"/>
          <w:sz w:val="24"/>
          <w:szCs w:val="24"/>
        </w:rPr>
        <w:t>Stypendysta Rządu Republiki Włoskiej (Ministerstwo Spraw Zagranicznych i Współpracy Międzynarodowej Republiki Włoskiej) w latach 2017 – 2018;</w:t>
      </w:r>
    </w:p>
    <w:p w14:paraId="47E1A265" w14:textId="77777777" w:rsidR="00C07EA3" w:rsidRPr="006C356F" w:rsidRDefault="00266CDB" w:rsidP="00364EE7">
      <w:pPr>
        <w:pStyle w:val="Akapitzlist"/>
        <w:numPr>
          <w:ilvl w:val="0"/>
          <w:numId w:val="7"/>
        </w:numPr>
        <w:spacing w:after="0" w:line="240" w:lineRule="auto"/>
        <w:jc w:val="both"/>
        <w:rPr>
          <w:rFonts w:ascii="Cambria" w:hAnsi="Cambria" w:cs="Times New Roman"/>
          <w:sz w:val="24"/>
          <w:szCs w:val="24"/>
        </w:rPr>
      </w:pPr>
      <w:r w:rsidRPr="006C356F">
        <w:rPr>
          <w:rFonts w:ascii="Cambria" w:hAnsi="Cambria" w:cs="Times New Roman"/>
          <w:sz w:val="24"/>
          <w:szCs w:val="24"/>
        </w:rPr>
        <w:t>Stypend</w:t>
      </w:r>
      <w:r w:rsidR="00C07EA3" w:rsidRPr="006C356F">
        <w:rPr>
          <w:rFonts w:ascii="Cambria" w:hAnsi="Cambria" w:cs="Times New Roman"/>
          <w:sz w:val="24"/>
          <w:szCs w:val="24"/>
        </w:rPr>
        <w:t xml:space="preserve">ysta w zakresie stypendium </w:t>
      </w:r>
      <w:r w:rsidRPr="006C356F">
        <w:rPr>
          <w:rFonts w:ascii="Cambria" w:hAnsi="Cambria" w:cs="Times New Roman"/>
          <w:sz w:val="24"/>
          <w:szCs w:val="24"/>
        </w:rPr>
        <w:t>doktorskie</w:t>
      </w:r>
      <w:r w:rsidR="00C07EA3" w:rsidRPr="006C356F">
        <w:rPr>
          <w:rFonts w:ascii="Cambria" w:hAnsi="Cambria" w:cs="Times New Roman"/>
          <w:sz w:val="24"/>
          <w:szCs w:val="24"/>
        </w:rPr>
        <w:t>go (WPiA UMCS w Lublinie) w latach 2016 – 2017;</w:t>
      </w:r>
    </w:p>
    <w:p w14:paraId="0B873369" w14:textId="77777777" w:rsidR="00C07EA3" w:rsidRPr="006C356F" w:rsidRDefault="00C07EA3" w:rsidP="00364EE7">
      <w:pPr>
        <w:pStyle w:val="Akapitzlist"/>
        <w:numPr>
          <w:ilvl w:val="0"/>
          <w:numId w:val="7"/>
        </w:numPr>
        <w:spacing w:after="0" w:line="240" w:lineRule="auto"/>
        <w:jc w:val="both"/>
        <w:rPr>
          <w:rFonts w:ascii="Cambria" w:hAnsi="Cambria" w:cs="Times New Roman"/>
          <w:sz w:val="24"/>
          <w:szCs w:val="24"/>
        </w:rPr>
      </w:pPr>
      <w:r w:rsidRPr="006C356F">
        <w:rPr>
          <w:rFonts w:ascii="Cambria" w:hAnsi="Cambria" w:cs="Times New Roman"/>
          <w:sz w:val="24"/>
          <w:szCs w:val="24"/>
        </w:rPr>
        <w:t xml:space="preserve">Stypendysta w </w:t>
      </w:r>
      <w:bookmarkStart w:id="12" w:name="_Hlk111320016"/>
      <w:r w:rsidRPr="006C356F">
        <w:rPr>
          <w:rFonts w:ascii="Cambria" w:hAnsi="Cambria" w:cs="Times New Roman"/>
          <w:sz w:val="24"/>
          <w:szCs w:val="24"/>
        </w:rPr>
        <w:t xml:space="preserve">konkursie o przyznanie środków z dotacji celowej na prowadzenie badań naukowych lub prac rozwojowych służących rozwojowi młodych naukowców WPiA UMCS w Lublinie </w:t>
      </w:r>
      <w:bookmarkEnd w:id="12"/>
      <w:r w:rsidRPr="006C356F">
        <w:rPr>
          <w:rFonts w:ascii="Cambria" w:hAnsi="Cambria" w:cs="Times New Roman"/>
          <w:sz w:val="24"/>
          <w:szCs w:val="24"/>
        </w:rPr>
        <w:t>(w latach 2015 – 2018);</w:t>
      </w:r>
    </w:p>
    <w:p w14:paraId="4806D0E9" w14:textId="77777777" w:rsidR="00C07EA3" w:rsidRPr="006C356F" w:rsidRDefault="00266CDB" w:rsidP="00364EE7">
      <w:pPr>
        <w:pStyle w:val="Akapitzlist"/>
        <w:numPr>
          <w:ilvl w:val="0"/>
          <w:numId w:val="7"/>
        </w:numPr>
        <w:spacing w:after="0" w:line="240" w:lineRule="auto"/>
        <w:jc w:val="both"/>
        <w:rPr>
          <w:rFonts w:ascii="Cambria" w:hAnsi="Cambria" w:cs="Times New Roman"/>
          <w:sz w:val="24"/>
          <w:szCs w:val="24"/>
        </w:rPr>
      </w:pPr>
      <w:r w:rsidRPr="006C356F">
        <w:rPr>
          <w:rFonts w:ascii="Cambria" w:hAnsi="Cambria" w:cs="Times New Roman"/>
          <w:sz w:val="24"/>
          <w:szCs w:val="24"/>
        </w:rPr>
        <w:t>Stypend</w:t>
      </w:r>
      <w:r w:rsidR="00C07EA3" w:rsidRPr="006C356F">
        <w:rPr>
          <w:rFonts w:ascii="Cambria" w:hAnsi="Cambria" w:cs="Times New Roman"/>
          <w:sz w:val="24"/>
          <w:szCs w:val="24"/>
        </w:rPr>
        <w:t xml:space="preserve">ysta w zakresie stypendium </w:t>
      </w:r>
      <w:r w:rsidRPr="006C356F">
        <w:rPr>
          <w:rFonts w:ascii="Cambria" w:hAnsi="Cambria" w:cs="Times New Roman"/>
          <w:sz w:val="24"/>
          <w:szCs w:val="24"/>
        </w:rPr>
        <w:t>Ministra Nauki i Szkolnictwa Wyższego</w:t>
      </w:r>
      <w:r w:rsidR="00C07EA3" w:rsidRPr="006C356F">
        <w:rPr>
          <w:rFonts w:ascii="Cambria" w:hAnsi="Cambria" w:cs="Times New Roman"/>
          <w:sz w:val="24"/>
          <w:szCs w:val="24"/>
        </w:rPr>
        <w:t xml:space="preserve"> </w:t>
      </w:r>
      <w:r w:rsidRPr="006C356F">
        <w:rPr>
          <w:rFonts w:ascii="Cambria" w:hAnsi="Cambria" w:cs="Times New Roman"/>
          <w:sz w:val="24"/>
          <w:szCs w:val="24"/>
        </w:rPr>
        <w:t>za osiągnięcia w nauce</w:t>
      </w:r>
      <w:r w:rsidR="00C07EA3" w:rsidRPr="006C356F">
        <w:rPr>
          <w:rFonts w:ascii="Cambria" w:hAnsi="Cambria" w:cs="Times New Roman"/>
          <w:sz w:val="24"/>
          <w:szCs w:val="24"/>
        </w:rPr>
        <w:t xml:space="preserve"> w latach 2007 – 2008;</w:t>
      </w:r>
    </w:p>
    <w:p w14:paraId="7E7F50B5" w14:textId="5009318B" w:rsidR="00266CDB" w:rsidRPr="006C356F" w:rsidRDefault="00C07EA3" w:rsidP="00364EE7">
      <w:pPr>
        <w:pStyle w:val="Akapitzlist"/>
        <w:numPr>
          <w:ilvl w:val="0"/>
          <w:numId w:val="7"/>
        </w:numPr>
        <w:spacing w:after="0" w:line="240" w:lineRule="auto"/>
        <w:jc w:val="both"/>
        <w:rPr>
          <w:rFonts w:ascii="Cambria" w:hAnsi="Cambria" w:cs="Times New Roman"/>
          <w:sz w:val="24"/>
          <w:szCs w:val="24"/>
        </w:rPr>
      </w:pPr>
      <w:r w:rsidRPr="006C356F">
        <w:rPr>
          <w:rFonts w:ascii="Cambria" w:hAnsi="Cambria" w:cs="Times New Roman"/>
          <w:sz w:val="24"/>
          <w:szCs w:val="24"/>
        </w:rPr>
        <w:t>Stypendysta w zakresie s</w:t>
      </w:r>
      <w:r w:rsidR="00266CDB" w:rsidRPr="006C356F">
        <w:rPr>
          <w:rFonts w:ascii="Cambria" w:hAnsi="Cambria" w:cs="Times New Roman"/>
          <w:sz w:val="24"/>
          <w:szCs w:val="24"/>
        </w:rPr>
        <w:t xml:space="preserve">typendium </w:t>
      </w:r>
      <w:r w:rsidRPr="006C356F">
        <w:rPr>
          <w:rFonts w:ascii="Cambria" w:hAnsi="Cambria" w:cs="Times New Roman"/>
          <w:sz w:val="24"/>
          <w:szCs w:val="24"/>
        </w:rPr>
        <w:t xml:space="preserve">naukowego WPiA UMCS </w:t>
      </w:r>
      <w:r w:rsidR="00266CDB" w:rsidRPr="006C356F">
        <w:rPr>
          <w:rFonts w:ascii="Cambria" w:hAnsi="Cambria" w:cs="Times New Roman"/>
          <w:sz w:val="24"/>
          <w:szCs w:val="24"/>
        </w:rPr>
        <w:t>za wyniki w nauce</w:t>
      </w:r>
      <w:r w:rsidRPr="006C356F">
        <w:rPr>
          <w:rFonts w:ascii="Cambria" w:hAnsi="Cambria" w:cs="Times New Roman"/>
          <w:sz w:val="24"/>
          <w:szCs w:val="24"/>
        </w:rPr>
        <w:t xml:space="preserve"> w latach 2004 – 2007;</w:t>
      </w:r>
    </w:p>
    <w:p w14:paraId="663EE9A1" w14:textId="77777777" w:rsidR="00266CDB" w:rsidRPr="006C356F" w:rsidRDefault="00266CDB" w:rsidP="00C07EA3">
      <w:pPr>
        <w:spacing w:after="0" w:line="240" w:lineRule="auto"/>
        <w:jc w:val="both"/>
        <w:rPr>
          <w:rFonts w:ascii="Cambria" w:hAnsi="Cambria" w:cs="Times New Roman"/>
          <w:sz w:val="24"/>
          <w:szCs w:val="24"/>
        </w:rPr>
      </w:pPr>
    </w:p>
    <w:p w14:paraId="2EED58B3" w14:textId="75F31A32" w:rsidR="008B216A" w:rsidRPr="006C356F" w:rsidRDefault="00C07EA3" w:rsidP="006C356F">
      <w:pPr>
        <w:pStyle w:val="Akapitzlist"/>
        <w:numPr>
          <w:ilvl w:val="0"/>
          <w:numId w:val="51"/>
        </w:numPr>
        <w:spacing w:after="0" w:line="360" w:lineRule="auto"/>
        <w:jc w:val="both"/>
        <w:rPr>
          <w:rFonts w:ascii="Cambria" w:hAnsi="Cambria" w:cs="Times New Roman"/>
          <w:b/>
          <w:bCs/>
          <w:sz w:val="24"/>
          <w:szCs w:val="24"/>
        </w:rPr>
      </w:pPr>
      <w:r w:rsidRPr="006C356F">
        <w:rPr>
          <w:rFonts w:ascii="Cambria" w:hAnsi="Cambria" w:cs="Times New Roman"/>
          <w:b/>
          <w:bCs/>
          <w:sz w:val="24"/>
          <w:szCs w:val="24"/>
          <w:u w:val="single"/>
        </w:rPr>
        <w:t>Nagrody</w:t>
      </w:r>
      <w:r w:rsidRPr="006C356F">
        <w:rPr>
          <w:rFonts w:ascii="Cambria" w:hAnsi="Cambria" w:cs="Times New Roman"/>
          <w:b/>
          <w:bCs/>
          <w:sz w:val="24"/>
          <w:szCs w:val="24"/>
        </w:rPr>
        <w:t>:</w:t>
      </w:r>
    </w:p>
    <w:p w14:paraId="02F62D66" w14:textId="116CE7EE" w:rsidR="00A56D8A" w:rsidRPr="007F42BD" w:rsidRDefault="00B01C1E" w:rsidP="00364EE7">
      <w:pPr>
        <w:pStyle w:val="Akapitzlist"/>
        <w:numPr>
          <w:ilvl w:val="0"/>
          <w:numId w:val="8"/>
        </w:numPr>
        <w:spacing w:after="0" w:line="240" w:lineRule="auto"/>
        <w:ind w:left="714" w:hanging="357"/>
        <w:jc w:val="both"/>
        <w:rPr>
          <w:rFonts w:ascii="Cambria" w:hAnsi="Cambria" w:cs="Times New Roman"/>
          <w:sz w:val="24"/>
          <w:szCs w:val="24"/>
        </w:rPr>
      </w:pPr>
      <w:r w:rsidRPr="007F42BD">
        <w:rPr>
          <w:rFonts w:ascii="Cambria" w:hAnsi="Cambria" w:cs="Times New Roman"/>
          <w:sz w:val="24"/>
          <w:szCs w:val="24"/>
        </w:rPr>
        <w:t>Nagrod</w:t>
      </w:r>
      <w:r w:rsidR="00D55A48" w:rsidRPr="007F42BD">
        <w:rPr>
          <w:rFonts w:ascii="Cambria" w:hAnsi="Cambria" w:cs="Times New Roman"/>
          <w:sz w:val="24"/>
          <w:szCs w:val="24"/>
        </w:rPr>
        <w:t>y</w:t>
      </w:r>
      <w:r w:rsidRPr="007F42BD">
        <w:rPr>
          <w:rFonts w:ascii="Cambria" w:hAnsi="Cambria" w:cs="Times New Roman"/>
          <w:sz w:val="24"/>
          <w:szCs w:val="24"/>
        </w:rPr>
        <w:t xml:space="preserve"> Rektora UMCS w Lublinie za wyróżniającą się pracę naukową, w szczególności za wysoko punktowane artykuły naukowe (w latach 2021 i 2022</w:t>
      </w:r>
      <w:r w:rsidR="001A2F03">
        <w:rPr>
          <w:rFonts w:ascii="Cambria" w:hAnsi="Cambria" w:cs="Times New Roman"/>
          <w:sz w:val="24"/>
          <w:szCs w:val="24"/>
        </w:rPr>
        <w:t xml:space="preserve"> - wniosek pozytywnie zaopiniowany przez bezpośredniego przełożonego</w:t>
      </w:r>
      <w:r w:rsidRPr="007F42BD">
        <w:rPr>
          <w:rFonts w:ascii="Cambria" w:hAnsi="Cambria" w:cs="Times New Roman"/>
          <w:sz w:val="24"/>
          <w:szCs w:val="24"/>
        </w:rPr>
        <w:t>);</w:t>
      </w:r>
    </w:p>
    <w:p w14:paraId="42DA748F" w14:textId="6326FC02" w:rsidR="00B01C1E" w:rsidRDefault="00D55A48" w:rsidP="00364EE7">
      <w:pPr>
        <w:pStyle w:val="Akapitzlist"/>
        <w:numPr>
          <w:ilvl w:val="0"/>
          <w:numId w:val="8"/>
        </w:numPr>
        <w:spacing w:after="0" w:line="240" w:lineRule="auto"/>
        <w:ind w:left="714" w:hanging="357"/>
        <w:jc w:val="both"/>
        <w:rPr>
          <w:rFonts w:ascii="Cambria" w:hAnsi="Cambria" w:cs="Times New Roman"/>
          <w:sz w:val="24"/>
          <w:szCs w:val="24"/>
        </w:rPr>
      </w:pPr>
      <w:r w:rsidRPr="007F42BD">
        <w:rPr>
          <w:rFonts w:ascii="Cambria" w:hAnsi="Cambria" w:cs="Times New Roman"/>
          <w:sz w:val="24"/>
          <w:szCs w:val="24"/>
        </w:rPr>
        <w:t>Odznaki srebrna i złota „Zasłużony dla samorządu radców prawnych” (odznaka srebrna – 2016 r., odznaka złota – 2022 r.);</w:t>
      </w:r>
    </w:p>
    <w:p w14:paraId="2DBBDD6F" w14:textId="77777777" w:rsidR="001A2F03" w:rsidRPr="007F42BD" w:rsidRDefault="001A2F03" w:rsidP="001A2F03">
      <w:pPr>
        <w:pStyle w:val="Akapitzlist"/>
        <w:numPr>
          <w:ilvl w:val="0"/>
          <w:numId w:val="8"/>
        </w:numPr>
        <w:spacing w:after="0" w:line="240" w:lineRule="auto"/>
        <w:ind w:left="714" w:hanging="357"/>
        <w:jc w:val="both"/>
        <w:rPr>
          <w:rFonts w:ascii="Cambria" w:hAnsi="Cambria" w:cs="Times New Roman"/>
          <w:sz w:val="24"/>
          <w:szCs w:val="24"/>
        </w:rPr>
      </w:pPr>
      <w:r w:rsidRPr="007F42BD">
        <w:rPr>
          <w:rFonts w:ascii="Cambria" w:hAnsi="Cambria" w:cs="Times New Roman"/>
          <w:sz w:val="24"/>
          <w:szCs w:val="24"/>
        </w:rPr>
        <w:t>Nagroda Krajowej Rady Radców Prawnych dla najlepszych aplikantów radcowskich Okręgowej Izby Radców Prawnych w Lublinie (członek OIRP w Lublinie delegowany na konferencję "Prawnik Przyszłości" 2012 r.);</w:t>
      </w:r>
    </w:p>
    <w:p w14:paraId="1B2AC5B1" w14:textId="77777777" w:rsidR="001A2F03" w:rsidRPr="007F42BD" w:rsidRDefault="001A2F03" w:rsidP="001A2F03">
      <w:pPr>
        <w:pStyle w:val="Akapitzlist"/>
        <w:numPr>
          <w:ilvl w:val="0"/>
          <w:numId w:val="8"/>
        </w:numPr>
        <w:spacing w:after="0" w:line="240" w:lineRule="auto"/>
        <w:ind w:left="714" w:hanging="357"/>
        <w:jc w:val="both"/>
        <w:rPr>
          <w:rFonts w:ascii="Cambria" w:hAnsi="Cambria" w:cs="Times New Roman"/>
          <w:sz w:val="24"/>
          <w:szCs w:val="24"/>
        </w:rPr>
      </w:pPr>
      <w:r w:rsidRPr="007F42BD">
        <w:rPr>
          <w:rFonts w:ascii="Cambria" w:hAnsi="Cambria" w:cs="Times New Roman"/>
          <w:sz w:val="24"/>
          <w:szCs w:val="24"/>
        </w:rPr>
        <w:t xml:space="preserve">Laureat UMCS w Lublinie w Konkursie </w:t>
      </w:r>
      <w:r w:rsidRPr="006C356F">
        <w:rPr>
          <w:rFonts w:ascii="Cambria" w:hAnsi="Cambria" w:cs="Times New Roman"/>
          <w:i/>
          <w:iCs/>
          <w:sz w:val="24"/>
          <w:szCs w:val="24"/>
        </w:rPr>
        <w:t>Primus Inter Pares</w:t>
      </w:r>
      <w:r w:rsidRPr="007F42BD">
        <w:rPr>
          <w:rFonts w:ascii="Cambria" w:hAnsi="Cambria" w:cs="Times New Roman"/>
          <w:sz w:val="24"/>
          <w:szCs w:val="24"/>
        </w:rPr>
        <w:t xml:space="preserve"> (2008 r.);</w:t>
      </w:r>
    </w:p>
    <w:p w14:paraId="699ECF1C" w14:textId="11F43898" w:rsidR="001A2F03" w:rsidRPr="001A2F03" w:rsidRDefault="001A2F03" w:rsidP="001A2F03">
      <w:pPr>
        <w:pStyle w:val="Akapitzlist"/>
        <w:numPr>
          <w:ilvl w:val="0"/>
          <w:numId w:val="8"/>
        </w:numPr>
        <w:spacing w:after="0" w:line="240" w:lineRule="auto"/>
        <w:ind w:left="714" w:hanging="357"/>
        <w:jc w:val="both"/>
        <w:rPr>
          <w:rFonts w:ascii="Cambria" w:hAnsi="Cambria" w:cs="Times New Roman"/>
          <w:sz w:val="24"/>
          <w:szCs w:val="24"/>
        </w:rPr>
      </w:pPr>
      <w:r>
        <w:rPr>
          <w:rFonts w:ascii="Cambria" w:hAnsi="Cambria" w:cs="Times New Roman"/>
          <w:sz w:val="24"/>
          <w:szCs w:val="24"/>
        </w:rPr>
        <w:t xml:space="preserve">Pozytywnie zaopiniowany </w:t>
      </w:r>
      <w:r w:rsidRPr="007F42BD">
        <w:rPr>
          <w:rFonts w:ascii="Cambria" w:hAnsi="Cambria" w:cs="Times New Roman"/>
          <w:sz w:val="24"/>
          <w:szCs w:val="24"/>
        </w:rPr>
        <w:t>i przekazany do ministra właściwego ds. oświaty i wychowania przez rektora UMCS w 2022 r. wniosek</w:t>
      </w:r>
      <w:r>
        <w:rPr>
          <w:rFonts w:ascii="Cambria" w:hAnsi="Cambria" w:cs="Times New Roman"/>
          <w:sz w:val="24"/>
          <w:szCs w:val="24"/>
        </w:rPr>
        <w:t xml:space="preserve"> o przyznanie </w:t>
      </w:r>
      <w:r w:rsidRPr="007F42BD">
        <w:rPr>
          <w:rFonts w:ascii="Cambria" w:hAnsi="Cambria" w:cs="Times New Roman"/>
          <w:sz w:val="24"/>
          <w:szCs w:val="24"/>
        </w:rPr>
        <w:t>Medal</w:t>
      </w:r>
      <w:r>
        <w:rPr>
          <w:rFonts w:ascii="Cambria" w:hAnsi="Cambria" w:cs="Times New Roman"/>
          <w:sz w:val="24"/>
          <w:szCs w:val="24"/>
        </w:rPr>
        <w:t>u</w:t>
      </w:r>
      <w:r w:rsidRPr="007F42BD">
        <w:rPr>
          <w:rFonts w:ascii="Cambria" w:hAnsi="Cambria" w:cs="Times New Roman"/>
          <w:sz w:val="24"/>
          <w:szCs w:val="24"/>
        </w:rPr>
        <w:t xml:space="preserve"> Komisji Edukacji Narodowej;</w:t>
      </w:r>
    </w:p>
    <w:p w14:paraId="16018F5E" w14:textId="0824CFCA" w:rsidR="008B216A" w:rsidRDefault="008B216A" w:rsidP="00634613">
      <w:pPr>
        <w:spacing w:after="0" w:line="360" w:lineRule="auto"/>
        <w:jc w:val="both"/>
        <w:rPr>
          <w:rFonts w:ascii="Cambria" w:hAnsi="Cambria" w:cs="Times New Roman"/>
          <w:sz w:val="24"/>
          <w:szCs w:val="24"/>
        </w:rPr>
      </w:pPr>
    </w:p>
    <w:p w14:paraId="07442F9C" w14:textId="662696B8" w:rsidR="006C356F" w:rsidRPr="007F42BD" w:rsidRDefault="006C356F" w:rsidP="00F12A1C">
      <w:pPr>
        <w:spacing w:after="0" w:line="276" w:lineRule="auto"/>
        <w:ind w:left="708" w:firstLine="351"/>
        <w:jc w:val="both"/>
        <w:rPr>
          <w:rFonts w:ascii="Cambria" w:hAnsi="Cambria" w:cs="Times New Roman"/>
          <w:sz w:val="24"/>
          <w:szCs w:val="24"/>
        </w:rPr>
      </w:pPr>
      <w:r>
        <w:rPr>
          <w:rFonts w:ascii="Cambria" w:hAnsi="Cambria" w:cs="Times New Roman"/>
          <w:sz w:val="24"/>
          <w:szCs w:val="24"/>
        </w:rPr>
        <w:t>Oprócz prowadzonej działalności stricte naukowej, w obszarze rozwoju zawodowego należy wskazać na aktywność w ramach samorządu zawodowego (zwłaszcza jako wykładowca dla aplikantów radcowskich OIRP w Lublinie</w:t>
      </w:r>
      <w:r w:rsidR="00D07EDC">
        <w:rPr>
          <w:rFonts w:ascii="Cambria" w:hAnsi="Cambria" w:cs="Times New Roman"/>
          <w:sz w:val="24"/>
          <w:szCs w:val="24"/>
        </w:rPr>
        <w:t xml:space="preserve"> w latach 2017 – 2019 (</w:t>
      </w:r>
      <w:r w:rsidR="00D07EDC" w:rsidRPr="00D07EDC">
        <w:rPr>
          <w:rFonts w:ascii="Cambria" w:hAnsi="Cambria" w:cs="Times New Roman"/>
          <w:i/>
          <w:iCs/>
          <w:sz w:val="24"/>
          <w:szCs w:val="24"/>
        </w:rPr>
        <w:t>przedmiot</w:t>
      </w:r>
      <w:r w:rsidR="00D07EDC">
        <w:rPr>
          <w:rFonts w:ascii="Cambria" w:hAnsi="Cambria" w:cs="Times New Roman"/>
          <w:sz w:val="24"/>
          <w:szCs w:val="24"/>
        </w:rPr>
        <w:t>: Prawo gospodarcze)</w:t>
      </w:r>
      <w:r>
        <w:rPr>
          <w:rFonts w:ascii="Cambria" w:hAnsi="Cambria" w:cs="Times New Roman"/>
          <w:sz w:val="24"/>
          <w:szCs w:val="24"/>
        </w:rPr>
        <w:t>, członek komisji samorządowych zajmujących się problematyką wykonywania zawodu radcy prawnego w kraju i za granicą). Od 2019 r. pełnię również funkcję Prezesa Samorządowego Kolegium Odwoławczego w Lublinie (wcześniej</w:t>
      </w:r>
      <w:r w:rsidR="00F12A1C">
        <w:rPr>
          <w:rFonts w:ascii="Cambria" w:hAnsi="Cambria" w:cs="Times New Roman"/>
          <w:sz w:val="24"/>
          <w:szCs w:val="24"/>
        </w:rPr>
        <w:t xml:space="preserve"> </w:t>
      </w:r>
      <w:r w:rsidR="00D07EDC">
        <w:rPr>
          <w:rFonts w:ascii="Cambria" w:hAnsi="Cambria" w:cs="Times New Roman"/>
          <w:sz w:val="24"/>
          <w:szCs w:val="24"/>
        </w:rPr>
        <w:t xml:space="preserve">latach 2017 – 2019 </w:t>
      </w:r>
      <w:r w:rsidR="00F12A1C">
        <w:rPr>
          <w:rFonts w:ascii="Cambria" w:hAnsi="Cambria" w:cs="Times New Roman"/>
          <w:sz w:val="24"/>
          <w:szCs w:val="24"/>
        </w:rPr>
        <w:t>członka pozaetatowego i etatowego). W latach 2010 – 2019 r. prowadziłam również kancelarię radcy prawnego w Lublinie.</w:t>
      </w:r>
    </w:p>
    <w:p w14:paraId="0D87AC08" w14:textId="77777777" w:rsidR="008B216A" w:rsidRPr="007F42BD" w:rsidRDefault="008B216A" w:rsidP="00634613">
      <w:pPr>
        <w:spacing w:after="0" w:line="360" w:lineRule="auto"/>
        <w:jc w:val="both"/>
        <w:rPr>
          <w:rFonts w:ascii="Cambria" w:hAnsi="Cambria" w:cs="Times New Roman"/>
          <w:sz w:val="24"/>
          <w:szCs w:val="24"/>
        </w:rPr>
      </w:pPr>
    </w:p>
    <w:p w14:paraId="6418F226" w14:textId="77777777" w:rsidR="00634613" w:rsidRPr="007F42BD" w:rsidRDefault="00634613" w:rsidP="00634613">
      <w:pPr>
        <w:spacing w:after="0" w:line="360" w:lineRule="auto"/>
        <w:jc w:val="both"/>
        <w:rPr>
          <w:rFonts w:ascii="Cambria" w:hAnsi="Cambria" w:cs="Times New Roman"/>
          <w:sz w:val="24"/>
          <w:szCs w:val="24"/>
        </w:rPr>
      </w:pPr>
    </w:p>
    <w:p w14:paraId="2C0E99E9" w14:textId="77777777" w:rsidR="00634613" w:rsidRPr="007F42BD" w:rsidRDefault="00A64A75" w:rsidP="00A64A75">
      <w:pPr>
        <w:tabs>
          <w:tab w:val="left" w:pos="2977"/>
        </w:tabs>
        <w:spacing w:after="0"/>
        <w:jc w:val="both"/>
        <w:rPr>
          <w:rFonts w:ascii="Cambria" w:hAnsi="Cambria" w:cs="Times New Roman"/>
          <w:sz w:val="24"/>
          <w:szCs w:val="24"/>
        </w:rPr>
      </w:pPr>
      <w:r w:rsidRPr="007F42BD">
        <w:rPr>
          <w:rFonts w:ascii="Cambria" w:hAnsi="Cambria" w:cs="Times New Roman"/>
          <w:sz w:val="24"/>
          <w:szCs w:val="24"/>
        </w:rPr>
        <w:tab/>
      </w:r>
      <w:r w:rsidRPr="007F42BD">
        <w:rPr>
          <w:rFonts w:ascii="Cambria" w:hAnsi="Cambria" w:cs="Times New Roman"/>
          <w:sz w:val="24"/>
          <w:szCs w:val="24"/>
        </w:rPr>
        <w:tab/>
      </w:r>
      <w:r w:rsidRPr="007F42BD">
        <w:rPr>
          <w:rFonts w:ascii="Cambria" w:hAnsi="Cambria" w:cs="Times New Roman"/>
          <w:sz w:val="24"/>
          <w:szCs w:val="24"/>
        </w:rPr>
        <w:tab/>
      </w:r>
      <w:r w:rsidRPr="007F42BD">
        <w:rPr>
          <w:rFonts w:ascii="Cambria" w:hAnsi="Cambria" w:cs="Times New Roman"/>
          <w:sz w:val="24"/>
          <w:szCs w:val="24"/>
        </w:rPr>
        <w:tab/>
        <w:t>……………..……..………</w:t>
      </w:r>
      <w:r w:rsidR="00634613" w:rsidRPr="007F42BD">
        <w:rPr>
          <w:rFonts w:ascii="Cambria" w:hAnsi="Cambria" w:cs="Times New Roman"/>
          <w:sz w:val="24"/>
          <w:szCs w:val="24"/>
        </w:rPr>
        <w:t>……….</w:t>
      </w:r>
    </w:p>
    <w:p w14:paraId="47334E05" w14:textId="04622184" w:rsidR="00634613" w:rsidRPr="007F42BD" w:rsidRDefault="00634613" w:rsidP="00A64A75">
      <w:pPr>
        <w:tabs>
          <w:tab w:val="left" w:pos="2977"/>
        </w:tabs>
        <w:spacing w:after="0"/>
        <w:jc w:val="both"/>
        <w:rPr>
          <w:rFonts w:ascii="Cambria" w:hAnsi="Cambria" w:cs="Times New Roman"/>
          <w:sz w:val="24"/>
          <w:szCs w:val="24"/>
        </w:rPr>
      </w:pPr>
      <w:r w:rsidRPr="007F42BD">
        <w:rPr>
          <w:rFonts w:ascii="Cambria" w:hAnsi="Cambria" w:cs="Times New Roman"/>
          <w:sz w:val="24"/>
          <w:szCs w:val="24"/>
        </w:rPr>
        <w:tab/>
      </w:r>
      <w:r w:rsidRPr="007F42BD">
        <w:rPr>
          <w:rFonts w:ascii="Cambria" w:hAnsi="Cambria" w:cs="Times New Roman"/>
          <w:sz w:val="24"/>
          <w:szCs w:val="24"/>
        </w:rPr>
        <w:tab/>
      </w:r>
      <w:r w:rsidRPr="007F42BD">
        <w:rPr>
          <w:rFonts w:ascii="Cambria" w:hAnsi="Cambria" w:cs="Times New Roman"/>
          <w:sz w:val="24"/>
          <w:szCs w:val="24"/>
        </w:rPr>
        <w:tab/>
      </w:r>
      <w:r w:rsidRPr="007F42BD">
        <w:rPr>
          <w:rFonts w:ascii="Cambria" w:hAnsi="Cambria" w:cs="Times New Roman"/>
          <w:sz w:val="24"/>
          <w:szCs w:val="24"/>
        </w:rPr>
        <w:tab/>
        <w:t xml:space="preserve">  (podpis wnioskodawcy)</w:t>
      </w:r>
    </w:p>
    <w:p w14:paraId="1644EF82" w14:textId="77777777" w:rsidR="00634613" w:rsidRPr="007F42BD" w:rsidRDefault="00634613" w:rsidP="00634613">
      <w:pPr>
        <w:spacing w:after="0" w:line="360" w:lineRule="auto"/>
        <w:jc w:val="both"/>
        <w:rPr>
          <w:rFonts w:ascii="Cambria" w:hAnsi="Cambria"/>
          <w:sz w:val="24"/>
          <w:szCs w:val="24"/>
        </w:rPr>
      </w:pPr>
    </w:p>
    <w:p w14:paraId="6DA511F6" w14:textId="77777777" w:rsidR="00934E19" w:rsidRPr="007F42BD" w:rsidRDefault="00934E19" w:rsidP="00934E19">
      <w:pPr>
        <w:spacing w:after="0" w:line="360" w:lineRule="auto"/>
        <w:jc w:val="center"/>
        <w:rPr>
          <w:rFonts w:ascii="Cambria" w:hAnsi="Cambria" w:cs="Times New Roman"/>
          <w:b/>
          <w:sz w:val="24"/>
          <w:szCs w:val="24"/>
        </w:rPr>
      </w:pPr>
    </w:p>
    <w:p w14:paraId="70AEEBFF" w14:textId="77777777" w:rsidR="00934E19" w:rsidRPr="007F42BD" w:rsidRDefault="00934E19" w:rsidP="00934E19">
      <w:pPr>
        <w:pStyle w:val="Default"/>
        <w:rPr>
          <w:rFonts w:ascii="Cambria" w:hAnsi="Cambria"/>
        </w:rPr>
      </w:pPr>
    </w:p>
    <w:p w14:paraId="01A0898E" w14:textId="77777777" w:rsidR="00934E19" w:rsidRPr="007F42BD" w:rsidRDefault="00934E19" w:rsidP="00934E19">
      <w:pPr>
        <w:pStyle w:val="Default"/>
        <w:ind w:left="720"/>
        <w:rPr>
          <w:rFonts w:ascii="Cambria" w:hAnsi="Cambria"/>
        </w:rPr>
      </w:pPr>
    </w:p>
    <w:p w14:paraId="06C9C011" w14:textId="77777777" w:rsidR="00934E19" w:rsidRPr="007F42BD" w:rsidRDefault="00934E19" w:rsidP="00EA3229">
      <w:pPr>
        <w:pStyle w:val="Default"/>
        <w:rPr>
          <w:rFonts w:ascii="Cambria" w:hAnsi="Cambria"/>
        </w:rPr>
      </w:pPr>
    </w:p>
    <w:p w14:paraId="04D9F77D" w14:textId="77777777" w:rsidR="00934E19" w:rsidRPr="007F42BD" w:rsidRDefault="00934E19" w:rsidP="00934E19">
      <w:pPr>
        <w:pStyle w:val="Default"/>
        <w:rPr>
          <w:rFonts w:ascii="Cambria" w:hAnsi="Cambria"/>
        </w:rPr>
      </w:pPr>
    </w:p>
    <w:p w14:paraId="38F834F0" w14:textId="77777777" w:rsidR="00934E19" w:rsidRPr="007F42BD" w:rsidRDefault="00934E19" w:rsidP="00934E19">
      <w:pPr>
        <w:spacing w:after="0" w:line="360" w:lineRule="auto"/>
        <w:jc w:val="both"/>
        <w:rPr>
          <w:rFonts w:ascii="Cambria" w:hAnsi="Cambria" w:cs="Times New Roman"/>
          <w:b/>
          <w:sz w:val="24"/>
          <w:szCs w:val="24"/>
        </w:rPr>
      </w:pPr>
    </w:p>
    <w:sectPr w:rsidR="00934E19" w:rsidRPr="007F42B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137A" w14:textId="77777777" w:rsidR="001B4EA1" w:rsidRDefault="001B4EA1" w:rsidP="00C52AC5">
      <w:pPr>
        <w:spacing w:after="0" w:line="240" w:lineRule="auto"/>
      </w:pPr>
      <w:r>
        <w:separator/>
      </w:r>
    </w:p>
  </w:endnote>
  <w:endnote w:type="continuationSeparator" w:id="0">
    <w:p w14:paraId="2A305781" w14:textId="77777777" w:rsidR="001B4EA1" w:rsidRDefault="001B4EA1" w:rsidP="00C52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宋体">
    <w:altName w:val="SimSun"/>
    <w:charset w:val="00"/>
    <w:family w:val="auto"/>
    <w:pitch w:val="variable"/>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314345"/>
      <w:docPartObj>
        <w:docPartGallery w:val="Page Numbers (Bottom of Page)"/>
        <w:docPartUnique/>
      </w:docPartObj>
    </w:sdtPr>
    <w:sdtContent>
      <w:p w14:paraId="1751BD7F" w14:textId="2A86410E" w:rsidR="00C52AC5" w:rsidRDefault="00C52AC5">
        <w:pPr>
          <w:pStyle w:val="Stopka"/>
          <w:jc w:val="right"/>
        </w:pPr>
        <w:r>
          <w:fldChar w:fldCharType="begin"/>
        </w:r>
        <w:r>
          <w:instrText>PAGE   \* MERGEFORMAT</w:instrText>
        </w:r>
        <w:r>
          <w:fldChar w:fldCharType="separate"/>
        </w:r>
        <w:r>
          <w:t>2</w:t>
        </w:r>
        <w:r>
          <w:fldChar w:fldCharType="end"/>
        </w:r>
      </w:p>
    </w:sdtContent>
  </w:sdt>
  <w:p w14:paraId="36454204" w14:textId="77777777" w:rsidR="00C52AC5" w:rsidRDefault="00C52A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9EDAD" w14:textId="77777777" w:rsidR="001B4EA1" w:rsidRDefault="001B4EA1" w:rsidP="00C52AC5">
      <w:pPr>
        <w:spacing w:after="0" w:line="240" w:lineRule="auto"/>
      </w:pPr>
      <w:r>
        <w:separator/>
      </w:r>
    </w:p>
  </w:footnote>
  <w:footnote w:type="continuationSeparator" w:id="0">
    <w:p w14:paraId="5B5CE19D" w14:textId="77777777" w:rsidR="001B4EA1" w:rsidRDefault="001B4EA1" w:rsidP="00C52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7FB"/>
    <w:multiLevelType w:val="hybridMultilevel"/>
    <w:tmpl w:val="10C6C3EE"/>
    <w:lvl w:ilvl="0" w:tplc="FFFFFFFF">
      <w:start w:val="1"/>
      <w:numFmt w:val="decimal"/>
      <w:lvlText w:val="%1."/>
      <w:lvlJc w:val="left"/>
      <w:pPr>
        <w:ind w:left="36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59688A"/>
    <w:multiLevelType w:val="hybridMultilevel"/>
    <w:tmpl w:val="A120B802"/>
    <w:lvl w:ilvl="0" w:tplc="0415000B">
      <w:start w:val="1"/>
      <w:numFmt w:val="bullet"/>
      <w:lvlText w:val=""/>
      <w:lvlJc w:val="left"/>
      <w:pPr>
        <w:ind w:left="2856" w:hanging="360"/>
      </w:pPr>
      <w:rPr>
        <w:rFonts w:ascii="Wingdings" w:hAnsi="Wingdings"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2" w15:restartNumberingAfterBreak="0">
    <w:nsid w:val="02CE56ED"/>
    <w:multiLevelType w:val="hybridMultilevel"/>
    <w:tmpl w:val="1D06E5A2"/>
    <w:lvl w:ilvl="0" w:tplc="0415000B">
      <w:start w:val="1"/>
      <w:numFmt w:val="bullet"/>
      <w:lvlText w:val=""/>
      <w:lvlJc w:val="left"/>
      <w:pPr>
        <w:ind w:left="3195" w:hanging="360"/>
      </w:pPr>
      <w:rPr>
        <w:rFonts w:ascii="Wingdings" w:hAnsi="Wingdings" w:hint="default"/>
      </w:rPr>
    </w:lvl>
    <w:lvl w:ilvl="1" w:tplc="04150003" w:tentative="1">
      <w:start w:val="1"/>
      <w:numFmt w:val="bullet"/>
      <w:lvlText w:val="o"/>
      <w:lvlJc w:val="left"/>
      <w:pPr>
        <w:ind w:left="3915" w:hanging="360"/>
      </w:pPr>
      <w:rPr>
        <w:rFonts w:ascii="Courier New" w:hAnsi="Courier New" w:cs="Courier New" w:hint="default"/>
      </w:rPr>
    </w:lvl>
    <w:lvl w:ilvl="2" w:tplc="04150005" w:tentative="1">
      <w:start w:val="1"/>
      <w:numFmt w:val="bullet"/>
      <w:lvlText w:val=""/>
      <w:lvlJc w:val="left"/>
      <w:pPr>
        <w:ind w:left="4635" w:hanging="360"/>
      </w:pPr>
      <w:rPr>
        <w:rFonts w:ascii="Wingdings" w:hAnsi="Wingdings" w:hint="default"/>
      </w:rPr>
    </w:lvl>
    <w:lvl w:ilvl="3" w:tplc="04150001" w:tentative="1">
      <w:start w:val="1"/>
      <w:numFmt w:val="bullet"/>
      <w:lvlText w:val=""/>
      <w:lvlJc w:val="left"/>
      <w:pPr>
        <w:ind w:left="5355" w:hanging="360"/>
      </w:pPr>
      <w:rPr>
        <w:rFonts w:ascii="Symbol" w:hAnsi="Symbol" w:hint="default"/>
      </w:rPr>
    </w:lvl>
    <w:lvl w:ilvl="4" w:tplc="04150003" w:tentative="1">
      <w:start w:val="1"/>
      <w:numFmt w:val="bullet"/>
      <w:lvlText w:val="o"/>
      <w:lvlJc w:val="left"/>
      <w:pPr>
        <w:ind w:left="6075" w:hanging="360"/>
      </w:pPr>
      <w:rPr>
        <w:rFonts w:ascii="Courier New" w:hAnsi="Courier New" w:cs="Courier New" w:hint="default"/>
      </w:rPr>
    </w:lvl>
    <w:lvl w:ilvl="5" w:tplc="04150005" w:tentative="1">
      <w:start w:val="1"/>
      <w:numFmt w:val="bullet"/>
      <w:lvlText w:val=""/>
      <w:lvlJc w:val="left"/>
      <w:pPr>
        <w:ind w:left="6795" w:hanging="360"/>
      </w:pPr>
      <w:rPr>
        <w:rFonts w:ascii="Wingdings" w:hAnsi="Wingdings" w:hint="default"/>
      </w:rPr>
    </w:lvl>
    <w:lvl w:ilvl="6" w:tplc="04150001" w:tentative="1">
      <w:start w:val="1"/>
      <w:numFmt w:val="bullet"/>
      <w:lvlText w:val=""/>
      <w:lvlJc w:val="left"/>
      <w:pPr>
        <w:ind w:left="7515" w:hanging="360"/>
      </w:pPr>
      <w:rPr>
        <w:rFonts w:ascii="Symbol" w:hAnsi="Symbol" w:hint="default"/>
      </w:rPr>
    </w:lvl>
    <w:lvl w:ilvl="7" w:tplc="04150003" w:tentative="1">
      <w:start w:val="1"/>
      <w:numFmt w:val="bullet"/>
      <w:lvlText w:val="o"/>
      <w:lvlJc w:val="left"/>
      <w:pPr>
        <w:ind w:left="8235" w:hanging="360"/>
      </w:pPr>
      <w:rPr>
        <w:rFonts w:ascii="Courier New" w:hAnsi="Courier New" w:cs="Courier New" w:hint="default"/>
      </w:rPr>
    </w:lvl>
    <w:lvl w:ilvl="8" w:tplc="04150005" w:tentative="1">
      <w:start w:val="1"/>
      <w:numFmt w:val="bullet"/>
      <w:lvlText w:val=""/>
      <w:lvlJc w:val="left"/>
      <w:pPr>
        <w:ind w:left="8955" w:hanging="360"/>
      </w:pPr>
      <w:rPr>
        <w:rFonts w:ascii="Wingdings" w:hAnsi="Wingdings" w:hint="default"/>
      </w:rPr>
    </w:lvl>
  </w:abstractNum>
  <w:abstractNum w:abstractNumId="3" w15:restartNumberingAfterBreak="0">
    <w:nsid w:val="036869D6"/>
    <w:multiLevelType w:val="hybridMultilevel"/>
    <w:tmpl w:val="4A5E6204"/>
    <w:lvl w:ilvl="0" w:tplc="A43E726A">
      <w:start w:val="1"/>
      <w:numFmt w:val="upperRoman"/>
      <w:lvlText w:val="%1."/>
      <w:lvlJc w:val="right"/>
      <w:pPr>
        <w:ind w:left="720" w:hanging="360"/>
      </w:pPr>
      <w:rPr>
        <w:rFonts w:hint="default"/>
        <w:b/>
        <w:bCs/>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6F374F"/>
    <w:multiLevelType w:val="hybridMultilevel"/>
    <w:tmpl w:val="38F452CE"/>
    <w:lvl w:ilvl="0" w:tplc="7A6E4A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48B011E"/>
    <w:multiLevelType w:val="hybridMultilevel"/>
    <w:tmpl w:val="2E46B1A4"/>
    <w:lvl w:ilvl="0" w:tplc="6AA4717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014AC6"/>
    <w:multiLevelType w:val="hybridMultilevel"/>
    <w:tmpl w:val="2E6C5EB6"/>
    <w:lvl w:ilvl="0" w:tplc="B048369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8585846"/>
    <w:multiLevelType w:val="hybridMultilevel"/>
    <w:tmpl w:val="883CF9A8"/>
    <w:lvl w:ilvl="0" w:tplc="50787720">
      <w:start w:val="1"/>
      <w:numFmt w:val="decimal"/>
      <w:lvlText w:val="%1."/>
      <w:lvlJc w:val="left"/>
      <w:pPr>
        <w:ind w:left="644" w:hanging="360"/>
      </w:pPr>
      <w:rPr>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88C16BA"/>
    <w:multiLevelType w:val="hybridMultilevel"/>
    <w:tmpl w:val="0E56490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F23AC3"/>
    <w:multiLevelType w:val="hybridMultilevel"/>
    <w:tmpl w:val="1F9E4A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623767D"/>
    <w:multiLevelType w:val="hybridMultilevel"/>
    <w:tmpl w:val="2B5E0B32"/>
    <w:lvl w:ilvl="0" w:tplc="D9C8617E">
      <w:start w:val="1"/>
      <w:numFmt w:val="decimal"/>
      <w:lvlText w:val="%1."/>
      <w:lvlJc w:val="left"/>
      <w:pPr>
        <w:ind w:left="360" w:hanging="360"/>
      </w:pPr>
      <w:rPr>
        <w:rFonts w:hint="default"/>
        <w:b w:val="0"/>
        <w:bCs/>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F531A2"/>
    <w:multiLevelType w:val="hybridMultilevel"/>
    <w:tmpl w:val="9510F452"/>
    <w:lvl w:ilvl="0" w:tplc="352C40B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FB611E"/>
    <w:multiLevelType w:val="hybridMultilevel"/>
    <w:tmpl w:val="F8BCE2F8"/>
    <w:lvl w:ilvl="0" w:tplc="7A6E4A5E">
      <w:start w:val="1"/>
      <w:numFmt w:val="bullet"/>
      <w:lvlText w:val=""/>
      <w:lvlJc w:val="left"/>
      <w:pPr>
        <w:ind w:left="2497" w:hanging="360"/>
      </w:pPr>
      <w:rPr>
        <w:rFonts w:ascii="Symbol" w:hAnsi="Symbol" w:hint="default"/>
      </w:rPr>
    </w:lvl>
    <w:lvl w:ilvl="1" w:tplc="04150003" w:tentative="1">
      <w:start w:val="1"/>
      <w:numFmt w:val="bullet"/>
      <w:lvlText w:val="o"/>
      <w:lvlJc w:val="left"/>
      <w:pPr>
        <w:ind w:left="3217" w:hanging="360"/>
      </w:pPr>
      <w:rPr>
        <w:rFonts w:ascii="Courier New" w:hAnsi="Courier New" w:cs="Courier New" w:hint="default"/>
      </w:rPr>
    </w:lvl>
    <w:lvl w:ilvl="2" w:tplc="04150005" w:tentative="1">
      <w:start w:val="1"/>
      <w:numFmt w:val="bullet"/>
      <w:lvlText w:val=""/>
      <w:lvlJc w:val="left"/>
      <w:pPr>
        <w:ind w:left="3937" w:hanging="360"/>
      </w:pPr>
      <w:rPr>
        <w:rFonts w:ascii="Wingdings" w:hAnsi="Wingdings" w:hint="default"/>
      </w:rPr>
    </w:lvl>
    <w:lvl w:ilvl="3" w:tplc="04150001" w:tentative="1">
      <w:start w:val="1"/>
      <w:numFmt w:val="bullet"/>
      <w:lvlText w:val=""/>
      <w:lvlJc w:val="left"/>
      <w:pPr>
        <w:ind w:left="4657" w:hanging="360"/>
      </w:pPr>
      <w:rPr>
        <w:rFonts w:ascii="Symbol" w:hAnsi="Symbol" w:hint="default"/>
      </w:rPr>
    </w:lvl>
    <w:lvl w:ilvl="4" w:tplc="04150003" w:tentative="1">
      <w:start w:val="1"/>
      <w:numFmt w:val="bullet"/>
      <w:lvlText w:val="o"/>
      <w:lvlJc w:val="left"/>
      <w:pPr>
        <w:ind w:left="5377" w:hanging="360"/>
      </w:pPr>
      <w:rPr>
        <w:rFonts w:ascii="Courier New" w:hAnsi="Courier New" w:cs="Courier New" w:hint="default"/>
      </w:rPr>
    </w:lvl>
    <w:lvl w:ilvl="5" w:tplc="04150005" w:tentative="1">
      <w:start w:val="1"/>
      <w:numFmt w:val="bullet"/>
      <w:lvlText w:val=""/>
      <w:lvlJc w:val="left"/>
      <w:pPr>
        <w:ind w:left="6097" w:hanging="360"/>
      </w:pPr>
      <w:rPr>
        <w:rFonts w:ascii="Wingdings" w:hAnsi="Wingdings" w:hint="default"/>
      </w:rPr>
    </w:lvl>
    <w:lvl w:ilvl="6" w:tplc="04150001" w:tentative="1">
      <w:start w:val="1"/>
      <w:numFmt w:val="bullet"/>
      <w:lvlText w:val=""/>
      <w:lvlJc w:val="left"/>
      <w:pPr>
        <w:ind w:left="6817" w:hanging="360"/>
      </w:pPr>
      <w:rPr>
        <w:rFonts w:ascii="Symbol" w:hAnsi="Symbol" w:hint="default"/>
      </w:rPr>
    </w:lvl>
    <w:lvl w:ilvl="7" w:tplc="04150003" w:tentative="1">
      <w:start w:val="1"/>
      <w:numFmt w:val="bullet"/>
      <w:lvlText w:val="o"/>
      <w:lvlJc w:val="left"/>
      <w:pPr>
        <w:ind w:left="7537" w:hanging="360"/>
      </w:pPr>
      <w:rPr>
        <w:rFonts w:ascii="Courier New" w:hAnsi="Courier New" w:cs="Courier New" w:hint="default"/>
      </w:rPr>
    </w:lvl>
    <w:lvl w:ilvl="8" w:tplc="04150005" w:tentative="1">
      <w:start w:val="1"/>
      <w:numFmt w:val="bullet"/>
      <w:lvlText w:val=""/>
      <w:lvlJc w:val="left"/>
      <w:pPr>
        <w:ind w:left="8257" w:hanging="360"/>
      </w:pPr>
      <w:rPr>
        <w:rFonts w:ascii="Wingdings" w:hAnsi="Wingdings" w:hint="default"/>
      </w:rPr>
    </w:lvl>
  </w:abstractNum>
  <w:abstractNum w:abstractNumId="13" w15:restartNumberingAfterBreak="0">
    <w:nsid w:val="1B2B687B"/>
    <w:multiLevelType w:val="hybridMultilevel"/>
    <w:tmpl w:val="921CDF3E"/>
    <w:lvl w:ilvl="0" w:tplc="FFFFFFFF">
      <w:start w:val="1"/>
      <w:numFmt w:val="decimal"/>
      <w:lvlText w:val="%1."/>
      <w:lvlJc w:val="left"/>
      <w:pPr>
        <w:ind w:left="36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B90194B"/>
    <w:multiLevelType w:val="hybridMultilevel"/>
    <w:tmpl w:val="906AC558"/>
    <w:lvl w:ilvl="0" w:tplc="4900F136">
      <w:start w:val="1"/>
      <w:numFmt w:val="lowerLetter"/>
      <w:lvlText w:val="%1)"/>
      <w:lvlJc w:val="left"/>
      <w:pPr>
        <w:ind w:left="1800" w:hanging="360"/>
      </w:pPr>
      <w:rPr>
        <w:rFonts w:hint="default"/>
        <w:b w:val="0"/>
        <w:bCs w:val="0"/>
        <w:i w:val="0"/>
        <w:i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2FE3309"/>
    <w:multiLevelType w:val="hybridMultilevel"/>
    <w:tmpl w:val="4162A5EE"/>
    <w:lvl w:ilvl="0" w:tplc="7A6E4A5E">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6" w15:restartNumberingAfterBreak="0">
    <w:nsid w:val="24406EDD"/>
    <w:multiLevelType w:val="hybridMultilevel"/>
    <w:tmpl w:val="B41AE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A27A4C"/>
    <w:multiLevelType w:val="hybridMultilevel"/>
    <w:tmpl w:val="270C7F4C"/>
    <w:lvl w:ilvl="0" w:tplc="7A6E4A5E">
      <w:start w:val="1"/>
      <w:numFmt w:val="bullet"/>
      <w:lvlText w:val=""/>
      <w:lvlJc w:val="left"/>
      <w:pPr>
        <w:ind w:left="2497" w:hanging="360"/>
      </w:pPr>
      <w:rPr>
        <w:rFonts w:ascii="Symbol" w:hAnsi="Symbol" w:hint="default"/>
      </w:rPr>
    </w:lvl>
    <w:lvl w:ilvl="1" w:tplc="04150003" w:tentative="1">
      <w:start w:val="1"/>
      <w:numFmt w:val="bullet"/>
      <w:lvlText w:val="o"/>
      <w:lvlJc w:val="left"/>
      <w:pPr>
        <w:ind w:left="3217" w:hanging="360"/>
      </w:pPr>
      <w:rPr>
        <w:rFonts w:ascii="Courier New" w:hAnsi="Courier New" w:cs="Courier New" w:hint="default"/>
      </w:rPr>
    </w:lvl>
    <w:lvl w:ilvl="2" w:tplc="04150005" w:tentative="1">
      <w:start w:val="1"/>
      <w:numFmt w:val="bullet"/>
      <w:lvlText w:val=""/>
      <w:lvlJc w:val="left"/>
      <w:pPr>
        <w:ind w:left="3937" w:hanging="360"/>
      </w:pPr>
      <w:rPr>
        <w:rFonts w:ascii="Wingdings" w:hAnsi="Wingdings" w:hint="default"/>
      </w:rPr>
    </w:lvl>
    <w:lvl w:ilvl="3" w:tplc="04150001" w:tentative="1">
      <w:start w:val="1"/>
      <w:numFmt w:val="bullet"/>
      <w:lvlText w:val=""/>
      <w:lvlJc w:val="left"/>
      <w:pPr>
        <w:ind w:left="4657" w:hanging="360"/>
      </w:pPr>
      <w:rPr>
        <w:rFonts w:ascii="Symbol" w:hAnsi="Symbol" w:hint="default"/>
      </w:rPr>
    </w:lvl>
    <w:lvl w:ilvl="4" w:tplc="04150003" w:tentative="1">
      <w:start w:val="1"/>
      <w:numFmt w:val="bullet"/>
      <w:lvlText w:val="o"/>
      <w:lvlJc w:val="left"/>
      <w:pPr>
        <w:ind w:left="5377" w:hanging="360"/>
      </w:pPr>
      <w:rPr>
        <w:rFonts w:ascii="Courier New" w:hAnsi="Courier New" w:cs="Courier New" w:hint="default"/>
      </w:rPr>
    </w:lvl>
    <w:lvl w:ilvl="5" w:tplc="04150005" w:tentative="1">
      <w:start w:val="1"/>
      <w:numFmt w:val="bullet"/>
      <w:lvlText w:val=""/>
      <w:lvlJc w:val="left"/>
      <w:pPr>
        <w:ind w:left="6097" w:hanging="360"/>
      </w:pPr>
      <w:rPr>
        <w:rFonts w:ascii="Wingdings" w:hAnsi="Wingdings" w:hint="default"/>
      </w:rPr>
    </w:lvl>
    <w:lvl w:ilvl="6" w:tplc="04150001" w:tentative="1">
      <w:start w:val="1"/>
      <w:numFmt w:val="bullet"/>
      <w:lvlText w:val=""/>
      <w:lvlJc w:val="left"/>
      <w:pPr>
        <w:ind w:left="6817" w:hanging="360"/>
      </w:pPr>
      <w:rPr>
        <w:rFonts w:ascii="Symbol" w:hAnsi="Symbol" w:hint="default"/>
      </w:rPr>
    </w:lvl>
    <w:lvl w:ilvl="7" w:tplc="04150003" w:tentative="1">
      <w:start w:val="1"/>
      <w:numFmt w:val="bullet"/>
      <w:lvlText w:val="o"/>
      <w:lvlJc w:val="left"/>
      <w:pPr>
        <w:ind w:left="7537" w:hanging="360"/>
      </w:pPr>
      <w:rPr>
        <w:rFonts w:ascii="Courier New" w:hAnsi="Courier New" w:cs="Courier New" w:hint="default"/>
      </w:rPr>
    </w:lvl>
    <w:lvl w:ilvl="8" w:tplc="04150005" w:tentative="1">
      <w:start w:val="1"/>
      <w:numFmt w:val="bullet"/>
      <w:lvlText w:val=""/>
      <w:lvlJc w:val="left"/>
      <w:pPr>
        <w:ind w:left="8257" w:hanging="360"/>
      </w:pPr>
      <w:rPr>
        <w:rFonts w:ascii="Wingdings" w:hAnsi="Wingdings" w:hint="default"/>
      </w:rPr>
    </w:lvl>
  </w:abstractNum>
  <w:abstractNum w:abstractNumId="18" w15:restartNumberingAfterBreak="0">
    <w:nsid w:val="25F30AC2"/>
    <w:multiLevelType w:val="hybridMultilevel"/>
    <w:tmpl w:val="E32212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65001CC"/>
    <w:multiLevelType w:val="hybridMultilevel"/>
    <w:tmpl w:val="5ED43F98"/>
    <w:lvl w:ilvl="0" w:tplc="27D69EE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AD714E"/>
    <w:multiLevelType w:val="hybridMultilevel"/>
    <w:tmpl w:val="3F9A6B1E"/>
    <w:lvl w:ilvl="0" w:tplc="7A6E4A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BC31A9D"/>
    <w:multiLevelType w:val="hybridMultilevel"/>
    <w:tmpl w:val="A6268D4A"/>
    <w:lvl w:ilvl="0" w:tplc="F248413E">
      <w:start w:val="1"/>
      <w:numFmt w:val="decimal"/>
      <w:lvlText w:val="%1."/>
      <w:lvlJc w:val="left"/>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2D669C8"/>
    <w:multiLevelType w:val="hybridMultilevel"/>
    <w:tmpl w:val="DAB62594"/>
    <w:lvl w:ilvl="0" w:tplc="0415000B">
      <w:start w:val="1"/>
      <w:numFmt w:val="bullet"/>
      <w:lvlText w:val=""/>
      <w:lvlJc w:val="left"/>
      <w:pPr>
        <w:ind w:left="3217" w:hanging="360"/>
      </w:pPr>
      <w:rPr>
        <w:rFonts w:ascii="Wingdings" w:hAnsi="Wingdings" w:hint="default"/>
      </w:rPr>
    </w:lvl>
    <w:lvl w:ilvl="1" w:tplc="04150003" w:tentative="1">
      <w:start w:val="1"/>
      <w:numFmt w:val="bullet"/>
      <w:lvlText w:val="o"/>
      <w:lvlJc w:val="left"/>
      <w:pPr>
        <w:ind w:left="3937" w:hanging="360"/>
      </w:pPr>
      <w:rPr>
        <w:rFonts w:ascii="Courier New" w:hAnsi="Courier New" w:cs="Courier New" w:hint="default"/>
      </w:rPr>
    </w:lvl>
    <w:lvl w:ilvl="2" w:tplc="04150005" w:tentative="1">
      <w:start w:val="1"/>
      <w:numFmt w:val="bullet"/>
      <w:lvlText w:val=""/>
      <w:lvlJc w:val="left"/>
      <w:pPr>
        <w:ind w:left="4657" w:hanging="360"/>
      </w:pPr>
      <w:rPr>
        <w:rFonts w:ascii="Wingdings" w:hAnsi="Wingdings" w:hint="default"/>
      </w:rPr>
    </w:lvl>
    <w:lvl w:ilvl="3" w:tplc="04150001" w:tentative="1">
      <w:start w:val="1"/>
      <w:numFmt w:val="bullet"/>
      <w:lvlText w:val=""/>
      <w:lvlJc w:val="left"/>
      <w:pPr>
        <w:ind w:left="5377" w:hanging="360"/>
      </w:pPr>
      <w:rPr>
        <w:rFonts w:ascii="Symbol" w:hAnsi="Symbol" w:hint="default"/>
      </w:rPr>
    </w:lvl>
    <w:lvl w:ilvl="4" w:tplc="04150003" w:tentative="1">
      <w:start w:val="1"/>
      <w:numFmt w:val="bullet"/>
      <w:lvlText w:val="o"/>
      <w:lvlJc w:val="left"/>
      <w:pPr>
        <w:ind w:left="6097" w:hanging="360"/>
      </w:pPr>
      <w:rPr>
        <w:rFonts w:ascii="Courier New" w:hAnsi="Courier New" w:cs="Courier New" w:hint="default"/>
      </w:rPr>
    </w:lvl>
    <w:lvl w:ilvl="5" w:tplc="04150005" w:tentative="1">
      <w:start w:val="1"/>
      <w:numFmt w:val="bullet"/>
      <w:lvlText w:val=""/>
      <w:lvlJc w:val="left"/>
      <w:pPr>
        <w:ind w:left="6817" w:hanging="360"/>
      </w:pPr>
      <w:rPr>
        <w:rFonts w:ascii="Wingdings" w:hAnsi="Wingdings" w:hint="default"/>
      </w:rPr>
    </w:lvl>
    <w:lvl w:ilvl="6" w:tplc="04150001" w:tentative="1">
      <w:start w:val="1"/>
      <w:numFmt w:val="bullet"/>
      <w:lvlText w:val=""/>
      <w:lvlJc w:val="left"/>
      <w:pPr>
        <w:ind w:left="7537" w:hanging="360"/>
      </w:pPr>
      <w:rPr>
        <w:rFonts w:ascii="Symbol" w:hAnsi="Symbol" w:hint="default"/>
      </w:rPr>
    </w:lvl>
    <w:lvl w:ilvl="7" w:tplc="04150003" w:tentative="1">
      <w:start w:val="1"/>
      <w:numFmt w:val="bullet"/>
      <w:lvlText w:val="o"/>
      <w:lvlJc w:val="left"/>
      <w:pPr>
        <w:ind w:left="8257" w:hanging="360"/>
      </w:pPr>
      <w:rPr>
        <w:rFonts w:ascii="Courier New" w:hAnsi="Courier New" w:cs="Courier New" w:hint="default"/>
      </w:rPr>
    </w:lvl>
    <w:lvl w:ilvl="8" w:tplc="04150005" w:tentative="1">
      <w:start w:val="1"/>
      <w:numFmt w:val="bullet"/>
      <w:lvlText w:val=""/>
      <w:lvlJc w:val="left"/>
      <w:pPr>
        <w:ind w:left="8977" w:hanging="360"/>
      </w:pPr>
      <w:rPr>
        <w:rFonts w:ascii="Wingdings" w:hAnsi="Wingdings" w:hint="default"/>
      </w:rPr>
    </w:lvl>
  </w:abstractNum>
  <w:abstractNum w:abstractNumId="23" w15:restartNumberingAfterBreak="0">
    <w:nsid w:val="33F74409"/>
    <w:multiLevelType w:val="hybridMultilevel"/>
    <w:tmpl w:val="ADE6BA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4E45B72"/>
    <w:multiLevelType w:val="hybridMultilevel"/>
    <w:tmpl w:val="A3AEFA8C"/>
    <w:lvl w:ilvl="0" w:tplc="5078772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C46CB3"/>
    <w:multiLevelType w:val="hybridMultilevel"/>
    <w:tmpl w:val="C450DF0C"/>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6" w15:restartNumberingAfterBreak="0">
    <w:nsid w:val="3972106C"/>
    <w:multiLevelType w:val="hybridMultilevel"/>
    <w:tmpl w:val="E828EAAA"/>
    <w:lvl w:ilvl="0" w:tplc="2EE8C414">
      <w:start w:val="1"/>
      <w:numFmt w:val="lowerLetter"/>
      <w:lvlText w:val="%1)"/>
      <w:lvlJc w:val="left"/>
      <w:pPr>
        <w:ind w:left="1778" w:hanging="360"/>
      </w:pPr>
      <w:rPr>
        <w:b w:val="0"/>
        <w:bCs w:val="0"/>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3A7C6777"/>
    <w:multiLevelType w:val="hybridMultilevel"/>
    <w:tmpl w:val="1F568D08"/>
    <w:lvl w:ilvl="0" w:tplc="7A6E4A5E">
      <w:start w:val="1"/>
      <w:numFmt w:val="bullet"/>
      <w:lvlText w:val=""/>
      <w:lvlJc w:val="left"/>
      <w:pPr>
        <w:ind w:left="2497" w:hanging="360"/>
      </w:pPr>
      <w:rPr>
        <w:rFonts w:ascii="Symbol" w:hAnsi="Symbol" w:hint="default"/>
      </w:rPr>
    </w:lvl>
    <w:lvl w:ilvl="1" w:tplc="04150003" w:tentative="1">
      <w:start w:val="1"/>
      <w:numFmt w:val="bullet"/>
      <w:lvlText w:val="o"/>
      <w:lvlJc w:val="left"/>
      <w:pPr>
        <w:ind w:left="3217" w:hanging="360"/>
      </w:pPr>
      <w:rPr>
        <w:rFonts w:ascii="Courier New" w:hAnsi="Courier New" w:cs="Courier New" w:hint="default"/>
      </w:rPr>
    </w:lvl>
    <w:lvl w:ilvl="2" w:tplc="04150005" w:tentative="1">
      <w:start w:val="1"/>
      <w:numFmt w:val="bullet"/>
      <w:lvlText w:val=""/>
      <w:lvlJc w:val="left"/>
      <w:pPr>
        <w:ind w:left="3937" w:hanging="360"/>
      </w:pPr>
      <w:rPr>
        <w:rFonts w:ascii="Wingdings" w:hAnsi="Wingdings" w:hint="default"/>
      </w:rPr>
    </w:lvl>
    <w:lvl w:ilvl="3" w:tplc="04150001" w:tentative="1">
      <w:start w:val="1"/>
      <w:numFmt w:val="bullet"/>
      <w:lvlText w:val=""/>
      <w:lvlJc w:val="left"/>
      <w:pPr>
        <w:ind w:left="4657" w:hanging="360"/>
      </w:pPr>
      <w:rPr>
        <w:rFonts w:ascii="Symbol" w:hAnsi="Symbol" w:hint="default"/>
      </w:rPr>
    </w:lvl>
    <w:lvl w:ilvl="4" w:tplc="04150003" w:tentative="1">
      <w:start w:val="1"/>
      <w:numFmt w:val="bullet"/>
      <w:lvlText w:val="o"/>
      <w:lvlJc w:val="left"/>
      <w:pPr>
        <w:ind w:left="5377" w:hanging="360"/>
      </w:pPr>
      <w:rPr>
        <w:rFonts w:ascii="Courier New" w:hAnsi="Courier New" w:cs="Courier New" w:hint="default"/>
      </w:rPr>
    </w:lvl>
    <w:lvl w:ilvl="5" w:tplc="04150005" w:tentative="1">
      <w:start w:val="1"/>
      <w:numFmt w:val="bullet"/>
      <w:lvlText w:val=""/>
      <w:lvlJc w:val="left"/>
      <w:pPr>
        <w:ind w:left="6097" w:hanging="360"/>
      </w:pPr>
      <w:rPr>
        <w:rFonts w:ascii="Wingdings" w:hAnsi="Wingdings" w:hint="default"/>
      </w:rPr>
    </w:lvl>
    <w:lvl w:ilvl="6" w:tplc="04150001" w:tentative="1">
      <w:start w:val="1"/>
      <w:numFmt w:val="bullet"/>
      <w:lvlText w:val=""/>
      <w:lvlJc w:val="left"/>
      <w:pPr>
        <w:ind w:left="6817" w:hanging="360"/>
      </w:pPr>
      <w:rPr>
        <w:rFonts w:ascii="Symbol" w:hAnsi="Symbol" w:hint="default"/>
      </w:rPr>
    </w:lvl>
    <w:lvl w:ilvl="7" w:tplc="04150003" w:tentative="1">
      <w:start w:val="1"/>
      <w:numFmt w:val="bullet"/>
      <w:lvlText w:val="o"/>
      <w:lvlJc w:val="left"/>
      <w:pPr>
        <w:ind w:left="7537" w:hanging="360"/>
      </w:pPr>
      <w:rPr>
        <w:rFonts w:ascii="Courier New" w:hAnsi="Courier New" w:cs="Courier New" w:hint="default"/>
      </w:rPr>
    </w:lvl>
    <w:lvl w:ilvl="8" w:tplc="04150005" w:tentative="1">
      <w:start w:val="1"/>
      <w:numFmt w:val="bullet"/>
      <w:lvlText w:val=""/>
      <w:lvlJc w:val="left"/>
      <w:pPr>
        <w:ind w:left="8257" w:hanging="360"/>
      </w:pPr>
      <w:rPr>
        <w:rFonts w:ascii="Wingdings" w:hAnsi="Wingdings" w:hint="default"/>
      </w:rPr>
    </w:lvl>
  </w:abstractNum>
  <w:abstractNum w:abstractNumId="28" w15:restartNumberingAfterBreak="0">
    <w:nsid w:val="3DB75FBB"/>
    <w:multiLevelType w:val="hybridMultilevel"/>
    <w:tmpl w:val="881287D4"/>
    <w:lvl w:ilvl="0" w:tplc="5078772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A2017A"/>
    <w:multiLevelType w:val="hybridMultilevel"/>
    <w:tmpl w:val="7FEAC6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3FF37D8B"/>
    <w:multiLevelType w:val="hybridMultilevel"/>
    <w:tmpl w:val="0C12494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407C09C8"/>
    <w:multiLevelType w:val="hybridMultilevel"/>
    <w:tmpl w:val="F682A042"/>
    <w:lvl w:ilvl="0" w:tplc="D9C8617E">
      <w:start w:val="1"/>
      <w:numFmt w:val="decimal"/>
      <w:lvlText w:val="%1."/>
      <w:lvlJc w:val="left"/>
      <w:pPr>
        <w:ind w:left="360" w:hanging="360"/>
      </w:pPr>
      <w:rPr>
        <w:rFonts w:hint="default"/>
        <w:b w:val="0"/>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A82DF3"/>
    <w:multiLevelType w:val="hybridMultilevel"/>
    <w:tmpl w:val="2FCE38BE"/>
    <w:lvl w:ilvl="0" w:tplc="62585224">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2951D1E"/>
    <w:multiLevelType w:val="hybridMultilevel"/>
    <w:tmpl w:val="D3F27144"/>
    <w:lvl w:ilvl="0" w:tplc="A0FA26E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9C01036"/>
    <w:multiLevelType w:val="hybridMultilevel"/>
    <w:tmpl w:val="EFA2AC94"/>
    <w:lvl w:ilvl="0" w:tplc="7A6E4A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4B680B85"/>
    <w:multiLevelType w:val="hybridMultilevel"/>
    <w:tmpl w:val="9430A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122A51"/>
    <w:multiLevelType w:val="hybridMultilevel"/>
    <w:tmpl w:val="38A223D6"/>
    <w:lvl w:ilvl="0" w:tplc="7A6E4A5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7" w15:restartNumberingAfterBreak="0">
    <w:nsid w:val="54CB4608"/>
    <w:multiLevelType w:val="hybridMultilevel"/>
    <w:tmpl w:val="AA400B0E"/>
    <w:lvl w:ilvl="0" w:tplc="0415000B">
      <w:start w:val="1"/>
      <w:numFmt w:val="bullet"/>
      <w:lvlText w:val=""/>
      <w:lvlJc w:val="left"/>
      <w:pPr>
        <w:ind w:left="3217" w:hanging="360"/>
      </w:pPr>
      <w:rPr>
        <w:rFonts w:ascii="Wingdings" w:hAnsi="Wingdings" w:hint="default"/>
      </w:rPr>
    </w:lvl>
    <w:lvl w:ilvl="1" w:tplc="04150003" w:tentative="1">
      <w:start w:val="1"/>
      <w:numFmt w:val="bullet"/>
      <w:lvlText w:val="o"/>
      <w:lvlJc w:val="left"/>
      <w:pPr>
        <w:ind w:left="3937" w:hanging="360"/>
      </w:pPr>
      <w:rPr>
        <w:rFonts w:ascii="Courier New" w:hAnsi="Courier New" w:cs="Courier New" w:hint="default"/>
      </w:rPr>
    </w:lvl>
    <w:lvl w:ilvl="2" w:tplc="04150005" w:tentative="1">
      <w:start w:val="1"/>
      <w:numFmt w:val="bullet"/>
      <w:lvlText w:val=""/>
      <w:lvlJc w:val="left"/>
      <w:pPr>
        <w:ind w:left="4657" w:hanging="360"/>
      </w:pPr>
      <w:rPr>
        <w:rFonts w:ascii="Wingdings" w:hAnsi="Wingdings" w:hint="default"/>
      </w:rPr>
    </w:lvl>
    <w:lvl w:ilvl="3" w:tplc="04150001" w:tentative="1">
      <w:start w:val="1"/>
      <w:numFmt w:val="bullet"/>
      <w:lvlText w:val=""/>
      <w:lvlJc w:val="left"/>
      <w:pPr>
        <w:ind w:left="5377" w:hanging="360"/>
      </w:pPr>
      <w:rPr>
        <w:rFonts w:ascii="Symbol" w:hAnsi="Symbol" w:hint="default"/>
      </w:rPr>
    </w:lvl>
    <w:lvl w:ilvl="4" w:tplc="04150003" w:tentative="1">
      <w:start w:val="1"/>
      <w:numFmt w:val="bullet"/>
      <w:lvlText w:val="o"/>
      <w:lvlJc w:val="left"/>
      <w:pPr>
        <w:ind w:left="6097" w:hanging="360"/>
      </w:pPr>
      <w:rPr>
        <w:rFonts w:ascii="Courier New" w:hAnsi="Courier New" w:cs="Courier New" w:hint="default"/>
      </w:rPr>
    </w:lvl>
    <w:lvl w:ilvl="5" w:tplc="04150005" w:tentative="1">
      <w:start w:val="1"/>
      <w:numFmt w:val="bullet"/>
      <w:lvlText w:val=""/>
      <w:lvlJc w:val="left"/>
      <w:pPr>
        <w:ind w:left="6817" w:hanging="360"/>
      </w:pPr>
      <w:rPr>
        <w:rFonts w:ascii="Wingdings" w:hAnsi="Wingdings" w:hint="default"/>
      </w:rPr>
    </w:lvl>
    <w:lvl w:ilvl="6" w:tplc="04150001" w:tentative="1">
      <w:start w:val="1"/>
      <w:numFmt w:val="bullet"/>
      <w:lvlText w:val=""/>
      <w:lvlJc w:val="left"/>
      <w:pPr>
        <w:ind w:left="7537" w:hanging="360"/>
      </w:pPr>
      <w:rPr>
        <w:rFonts w:ascii="Symbol" w:hAnsi="Symbol" w:hint="default"/>
      </w:rPr>
    </w:lvl>
    <w:lvl w:ilvl="7" w:tplc="04150003" w:tentative="1">
      <w:start w:val="1"/>
      <w:numFmt w:val="bullet"/>
      <w:lvlText w:val="o"/>
      <w:lvlJc w:val="left"/>
      <w:pPr>
        <w:ind w:left="8257" w:hanging="360"/>
      </w:pPr>
      <w:rPr>
        <w:rFonts w:ascii="Courier New" w:hAnsi="Courier New" w:cs="Courier New" w:hint="default"/>
      </w:rPr>
    </w:lvl>
    <w:lvl w:ilvl="8" w:tplc="04150005" w:tentative="1">
      <w:start w:val="1"/>
      <w:numFmt w:val="bullet"/>
      <w:lvlText w:val=""/>
      <w:lvlJc w:val="left"/>
      <w:pPr>
        <w:ind w:left="8977" w:hanging="360"/>
      </w:pPr>
      <w:rPr>
        <w:rFonts w:ascii="Wingdings" w:hAnsi="Wingdings" w:hint="default"/>
      </w:rPr>
    </w:lvl>
  </w:abstractNum>
  <w:abstractNum w:abstractNumId="38" w15:restartNumberingAfterBreak="0">
    <w:nsid w:val="57120E4E"/>
    <w:multiLevelType w:val="hybridMultilevel"/>
    <w:tmpl w:val="6714CFF2"/>
    <w:lvl w:ilvl="0" w:tplc="FFFFFFFF">
      <w:start w:val="1"/>
      <w:numFmt w:val="decimal"/>
      <w:lvlText w:val="%1."/>
      <w:lvlJc w:val="left"/>
      <w:pPr>
        <w:ind w:left="1777" w:hanging="360"/>
      </w:pPr>
      <w:rPr>
        <w:b w:val="0"/>
        <w:bCs w:val="0"/>
        <w:color w:val="auto"/>
      </w:rPr>
    </w:lvl>
    <w:lvl w:ilvl="1" w:tplc="FFFFFFFF" w:tentative="1">
      <w:start w:val="1"/>
      <w:numFmt w:val="lowerLetter"/>
      <w:lvlText w:val="%2."/>
      <w:lvlJc w:val="left"/>
      <w:pPr>
        <w:ind w:left="2497" w:hanging="360"/>
      </w:pPr>
    </w:lvl>
    <w:lvl w:ilvl="2" w:tplc="FFFFFFFF" w:tentative="1">
      <w:start w:val="1"/>
      <w:numFmt w:val="lowerRoman"/>
      <w:lvlText w:val="%3."/>
      <w:lvlJc w:val="right"/>
      <w:pPr>
        <w:ind w:left="3217" w:hanging="180"/>
      </w:pPr>
    </w:lvl>
    <w:lvl w:ilvl="3" w:tplc="FFFFFFFF" w:tentative="1">
      <w:start w:val="1"/>
      <w:numFmt w:val="decimal"/>
      <w:lvlText w:val="%4."/>
      <w:lvlJc w:val="left"/>
      <w:pPr>
        <w:ind w:left="3937" w:hanging="360"/>
      </w:pPr>
    </w:lvl>
    <w:lvl w:ilvl="4" w:tplc="FFFFFFFF" w:tentative="1">
      <w:start w:val="1"/>
      <w:numFmt w:val="lowerLetter"/>
      <w:lvlText w:val="%5."/>
      <w:lvlJc w:val="left"/>
      <w:pPr>
        <w:ind w:left="4657" w:hanging="360"/>
      </w:pPr>
    </w:lvl>
    <w:lvl w:ilvl="5" w:tplc="FFFFFFFF" w:tentative="1">
      <w:start w:val="1"/>
      <w:numFmt w:val="lowerRoman"/>
      <w:lvlText w:val="%6."/>
      <w:lvlJc w:val="right"/>
      <w:pPr>
        <w:ind w:left="5377" w:hanging="180"/>
      </w:pPr>
    </w:lvl>
    <w:lvl w:ilvl="6" w:tplc="FFFFFFFF" w:tentative="1">
      <w:start w:val="1"/>
      <w:numFmt w:val="decimal"/>
      <w:lvlText w:val="%7."/>
      <w:lvlJc w:val="left"/>
      <w:pPr>
        <w:ind w:left="6097" w:hanging="360"/>
      </w:pPr>
    </w:lvl>
    <w:lvl w:ilvl="7" w:tplc="FFFFFFFF" w:tentative="1">
      <w:start w:val="1"/>
      <w:numFmt w:val="lowerLetter"/>
      <w:lvlText w:val="%8."/>
      <w:lvlJc w:val="left"/>
      <w:pPr>
        <w:ind w:left="6817" w:hanging="360"/>
      </w:pPr>
    </w:lvl>
    <w:lvl w:ilvl="8" w:tplc="FFFFFFFF" w:tentative="1">
      <w:start w:val="1"/>
      <w:numFmt w:val="lowerRoman"/>
      <w:lvlText w:val="%9."/>
      <w:lvlJc w:val="right"/>
      <w:pPr>
        <w:ind w:left="7537" w:hanging="180"/>
      </w:pPr>
    </w:lvl>
  </w:abstractNum>
  <w:abstractNum w:abstractNumId="39" w15:restartNumberingAfterBreak="0">
    <w:nsid w:val="5A013380"/>
    <w:multiLevelType w:val="hybridMultilevel"/>
    <w:tmpl w:val="0612530A"/>
    <w:lvl w:ilvl="0" w:tplc="7A6E4A5E">
      <w:start w:val="1"/>
      <w:numFmt w:val="bullet"/>
      <w:lvlText w:val=""/>
      <w:lvlJc w:val="left"/>
      <w:pPr>
        <w:ind w:left="2497" w:hanging="360"/>
      </w:pPr>
      <w:rPr>
        <w:rFonts w:ascii="Symbol" w:hAnsi="Symbol" w:hint="default"/>
      </w:rPr>
    </w:lvl>
    <w:lvl w:ilvl="1" w:tplc="04150003" w:tentative="1">
      <w:start w:val="1"/>
      <w:numFmt w:val="bullet"/>
      <w:lvlText w:val="o"/>
      <w:lvlJc w:val="left"/>
      <w:pPr>
        <w:ind w:left="3217" w:hanging="360"/>
      </w:pPr>
      <w:rPr>
        <w:rFonts w:ascii="Courier New" w:hAnsi="Courier New" w:cs="Courier New" w:hint="default"/>
      </w:rPr>
    </w:lvl>
    <w:lvl w:ilvl="2" w:tplc="04150005" w:tentative="1">
      <w:start w:val="1"/>
      <w:numFmt w:val="bullet"/>
      <w:lvlText w:val=""/>
      <w:lvlJc w:val="left"/>
      <w:pPr>
        <w:ind w:left="3937" w:hanging="360"/>
      </w:pPr>
      <w:rPr>
        <w:rFonts w:ascii="Wingdings" w:hAnsi="Wingdings" w:hint="default"/>
      </w:rPr>
    </w:lvl>
    <w:lvl w:ilvl="3" w:tplc="04150001" w:tentative="1">
      <w:start w:val="1"/>
      <w:numFmt w:val="bullet"/>
      <w:lvlText w:val=""/>
      <w:lvlJc w:val="left"/>
      <w:pPr>
        <w:ind w:left="4657" w:hanging="360"/>
      </w:pPr>
      <w:rPr>
        <w:rFonts w:ascii="Symbol" w:hAnsi="Symbol" w:hint="default"/>
      </w:rPr>
    </w:lvl>
    <w:lvl w:ilvl="4" w:tplc="04150003" w:tentative="1">
      <w:start w:val="1"/>
      <w:numFmt w:val="bullet"/>
      <w:lvlText w:val="o"/>
      <w:lvlJc w:val="left"/>
      <w:pPr>
        <w:ind w:left="5377" w:hanging="360"/>
      </w:pPr>
      <w:rPr>
        <w:rFonts w:ascii="Courier New" w:hAnsi="Courier New" w:cs="Courier New" w:hint="default"/>
      </w:rPr>
    </w:lvl>
    <w:lvl w:ilvl="5" w:tplc="04150005" w:tentative="1">
      <w:start w:val="1"/>
      <w:numFmt w:val="bullet"/>
      <w:lvlText w:val=""/>
      <w:lvlJc w:val="left"/>
      <w:pPr>
        <w:ind w:left="6097" w:hanging="360"/>
      </w:pPr>
      <w:rPr>
        <w:rFonts w:ascii="Wingdings" w:hAnsi="Wingdings" w:hint="default"/>
      </w:rPr>
    </w:lvl>
    <w:lvl w:ilvl="6" w:tplc="04150001" w:tentative="1">
      <w:start w:val="1"/>
      <w:numFmt w:val="bullet"/>
      <w:lvlText w:val=""/>
      <w:lvlJc w:val="left"/>
      <w:pPr>
        <w:ind w:left="6817" w:hanging="360"/>
      </w:pPr>
      <w:rPr>
        <w:rFonts w:ascii="Symbol" w:hAnsi="Symbol" w:hint="default"/>
      </w:rPr>
    </w:lvl>
    <w:lvl w:ilvl="7" w:tplc="04150003" w:tentative="1">
      <w:start w:val="1"/>
      <w:numFmt w:val="bullet"/>
      <w:lvlText w:val="o"/>
      <w:lvlJc w:val="left"/>
      <w:pPr>
        <w:ind w:left="7537" w:hanging="360"/>
      </w:pPr>
      <w:rPr>
        <w:rFonts w:ascii="Courier New" w:hAnsi="Courier New" w:cs="Courier New" w:hint="default"/>
      </w:rPr>
    </w:lvl>
    <w:lvl w:ilvl="8" w:tplc="04150005" w:tentative="1">
      <w:start w:val="1"/>
      <w:numFmt w:val="bullet"/>
      <w:lvlText w:val=""/>
      <w:lvlJc w:val="left"/>
      <w:pPr>
        <w:ind w:left="8257" w:hanging="360"/>
      </w:pPr>
      <w:rPr>
        <w:rFonts w:ascii="Wingdings" w:hAnsi="Wingdings" w:hint="default"/>
      </w:rPr>
    </w:lvl>
  </w:abstractNum>
  <w:abstractNum w:abstractNumId="40" w15:restartNumberingAfterBreak="0">
    <w:nsid w:val="5E92451B"/>
    <w:multiLevelType w:val="hybridMultilevel"/>
    <w:tmpl w:val="E3220994"/>
    <w:lvl w:ilvl="0" w:tplc="0415000B">
      <w:start w:val="1"/>
      <w:numFmt w:val="bullet"/>
      <w:lvlText w:val=""/>
      <w:lvlJc w:val="left"/>
      <w:pPr>
        <w:ind w:left="3217" w:hanging="360"/>
      </w:pPr>
      <w:rPr>
        <w:rFonts w:ascii="Wingdings" w:hAnsi="Wingdings" w:hint="default"/>
      </w:rPr>
    </w:lvl>
    <w:lvl w:ilvl="1" w:tplc="04150003" w:tentative="1">
      <w:start w:val="1"/>
      <w:numFmt w:val="bullet"/>
      <w:lvlText w:val="o"/>
      <w:lvlJc w:val="left"/>
      <w:pPr>
        <w:ind w:left="3937" w:hanging="360"/>
      </w:pPr>
      <w:rPr>
        <w:rFonts w:ascii="Courier New" w:hAnsi="Courier New" w:cs="Courier New" w:hint="default"/>
      </w:rPr>
    </w:lvl>
    <w:lvl w:ilvl="2" w:tplc="04150005" w:tentative="1">
      <w:start w:val="1"/>
      <w:numFmt w:val="bullet"/>
      <w:lvlText w:val=""/>
      <w:lvlJc w:val="left"/>
      <w:pPr>
        <w:ind w:left="4657" w:hanging="360"/>
      </w:pPr>
      <w:rPr>
        <w:rFonts w:ascii="Wingdings" w:hAnsi="Wingdings" w:hint="default"/>
      </w:rPr>
    </w:lvl>
    <w:lvl w:ilvl="3" w:tplc="04150001" w:tentative="1">
      <w:start w:val="1"/>
      <w:numFmt w:val="bullet"/>
      <w:lvlText w:val=""/>
      <w:lvlJc w:val="left"/>
      <w:pPr>
        <w:ind w:left="5377" w:hanging="360"/>
      </w:pPr>
      <w:rPr>
        <w:rFonts w:ascii="Symbol" w:hAnsi="Symbol" w:hint="default"/>
      </w:rPr>
    </w:lvl>
    <w:lvl w:ilvl="4" w:tplc="04150003" w:tentative="1">
      <w:start w:val="1"/>
      <w:numFmt w:val="bullet"/>
      <w:lvlText w:val="o"/>
      <w:lvlJc w:val="left"/>
      <w:pPr>
        <w:ind w:left="6097" w:hanging="360"/>
      </w:pPr>
      <w:rPr>
        <w:rFonts w:ascii="Courier New" w:hAnsi="Courier New" w:cs="Courier New" w:hint="default"/>
      </w:rPr>
    </w:lvl>
    <w:lvl w:ilvl="5" w:tplc="04150005" w:tentative="1">
      <w:start w:val="1"/>
      <w:numFmt w:val="bullet"/>
      <w:lvlText w:val=""/>
      <w:lvlJc w:val="left"/>
      <w:pPr>
        <w:ind w:left="6817" w:hanging="360"/>
      </w:pPr>
      <w:rPr>
        <w:rFonts w:ascii="Wingdings" w:hAnsi="Wingdings" w:hint="default"/>
      </w:rPr>
    </w:lvl>
    <w:lvl w:ilvl="6" w:tplc="04150001" w:tentative="1">
      <w:start w:val="1"/>
      <w:numFmt w:val="bullet"/>
      <w:lvlText w:val=""/>
      <w:lvlJc w:val="left"/>
      <w:pPr>
        <w:ind w:left="7537" w:hanging="360"/>
      </w:pPr>
      <w:rPr>
        <w:rFonts w:ascii="Symbol" w:hAnsi="Symbol" w:hint="default"/>
      </w:rPr>
    </w:lvl>
    <w:lvl w:ilvl="7" w:tplc="04150003" w:tentative="1">
      <w:start w:val="1"/>
      <w:numFmt w:val="bullet"/>
      <w:lvlText w:val="o"/>
      <w:lvlJc w:val="left"/>
      <w:pPr>
        <w:ind w:left="8257" w:hanging="360"/>
      </w:pPr>
      <w:rPr>
        <w:rFonts w:ascii="Courier New" w:hAnsi="Courier New" w:cs="Courier New" w:hint="default"/>
      </w:rPr>
    </w:lvl>
    <w:lvl w:ilvl="8" w:tplc="04150005" w:tentative="1">
      <w:start w:val="1"/>
      <w:numFmt w:val="bullet"/>
      <w:lvlText w:val=""/>
      <w:lvlJc w:val="left"/>
      <w:pPr>
        <w:ind w:left="8977" w:hanging="360"/>
      </w:pPr>
      <w:rPr>
        <w:rFonts w:ascii="Wingdings" w:hAnsi="Wingdings" w:hint="default"/>
      </w:rPr>
    </w:lvl>
  </w:abstractNum>
  <w:abstractNum w:abstractNumId="41" w15:restartNumberingAfterBreak="0">
    <w:nsid w:val="5F2421AB"/>
    <w:multiLevelType w:val="hybridMultilevel"/>
    <w:tmpl w:val="50460F14"/>
    <w:lvl w:ilvl="0" w:tplc="E33AA44A">
      <w:start w:val="1"/>
      <w:numFmt w:val="decimal"/>
      <w:lvlText w:val="%1."/>
      <w:lvlJc w:val="left"/>
      <w:rPr>
        <w:i w:val="0"/>
        <w:iCs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5F592A2A"/>
    <w:multiLevelType w:val="hybridMultilevel"/>
    <w:tmpl w:val="B624F880"/>
    <w:lvl w:ilvl="0" w:tplc="0415000B">
      <w:start w:val="1"/>
      <w:numFmt w:val="bullet"/>
      <w:lvlText w:val=""/>
      <w:lvlJc w:val="left"/>
      <w:pPr>
        <w:ind w:left="3217" w:hanging="360"/>
      </w:pPr>
      <w:rPr>
        <w:rFonts w:ascii="Wingdings" w:hAnsi="Wingdings" w:hint="default"/>
      </w:rPr>
    </w:lvl>
    <w:lvl w:ilvl="1" w:tplc="04150003" w:tentative="1">
      <w:start w:val="1"/>
      <w:numFmt w:val="bullet"/>
      <w:lvlText w:val="o"/>
      <w:lvlJc w:val="left"/>
      <w:pPr>
        <w:ind w:left="3937" w:hanging="360"/>
      </w:pPr>
      <w:rPr>
        <w:rFonts w:ascii="Courier New" w:hAnsi="Courier New" w:cs="Courier New" w:hint="default"/>
      </w:rPr>
    </w:lvl>
    <w:lvl w:ilvl="2" w:tplc="04150005" w:tentative="1">
      <w:start w:val="1"/>
      <w:numFmt w:val="bullet"/>
      <w:lvlText w:val=""/>
      <w:lvlJc w:val="left"/>
      <w:pPr>
        <w:ind w:left="4657" w:hanging="360"/>
      </w:pPr>
      <w:rPr>
        <w:rFonts w:ascii="Wingdings" w:hAnsi="Wingdings" w:hint="default"/>
      </w:rPr>
    </w:lvl>
    <w:lvl w:ilvl="3" w:tplc="04150001" w:tentative="1">
      <w:start w:val="1"/>
      <w:numFmt w:val="bullet"/>
      <w:lvlText w:val=""/>
      <w:lvlJc w:val="left"/>
      <w:pPr>
        <w:ind w:left="5377" w:hanging="360"/>
      </w:pPr>
      <w:rPr>
        <w:rFonts w:ascii="Symbol" w:hAnsi="Symbol" w:hint="default"/>
      </w:rPr>
    </w:lvl>
    <w:lvl w:ilvl="4" w:tplc="04150003" w:tentative="1">
      <w:start w:val="1"/>
      <w:numFmt w:val="bullet"/>
      <w:lvlText w:val="o"/>
      <w:lvlJc w:val="left"/>
      <w:pPr>
        <w:ind w:left="6097" w:hanging="360"/>
      </w:pPr>
      <w:rPr>
        <w:rFonts w:ascii="Courier New" w:hAnsi="Courier New" w:cs="Courier New" w:hint="default"/>
      </w:rPr>
    </w:lvl>
    <w:lvl w:ilvl="5" w:tplc="04150005" w:tentative="1">
      <w:start w:val="1"/>
      <w:numFmt w:val="bullet"/>
      <w:lvlText w:val=""/>
      <w:lvlJc w:val="left"/>
      <w:pPr>
        <w:ind w:left="6817" w:hanging="360"/>
      </w:pPr>
      <w:rPr>
        <w:rFonts w:ascii="Wingdings" w:hAnsi="Wingdings" w:hint="default"/>
      </w:rPr>
    </w:lvl>
    <w:lvl w:ilvl="6" w:tplc="04150001" w:tentative="1">
      <w:start w:val="1"/>
      <w:numFmt w:val="bullet"/>
      <w:lvlText w:val=""/>
      <w:lvlJc w:val="left"/>
      <w:pPr>
        <w:ind w:left="7537" w:hanging="360"/>
      </w:pPr>
      <w:rPr>
        <w:rFonts w:ascii="Symbol" w:hAnsi="Symbol" w:hint="default"/>
      </w:rPr>
    </w:lvl>
    <w:lvl w:ilvl="7" w:tplc="04150003" w:tentative="1">
      <w:start w:val="1"/>
      <w:numFmt w:val="bullet"/>
      <w:lvlText w:val="o"/>
      <w:lvlJc w:val="left"/>
      <w:pPr>
        <w:ind w:left="8257" w:hanging="360"/>
      </w:pPr>
      <w:rPr>
        <w:rFonts w:ascii="Courier New" w:hAnsi="Courier New" w:cs="Courier New" w:hint="default"/>
      </w:rPr>
    </w:lvl>
    <w:lvl w:ilvl="8" w:tplc="04150005" w:tentative="1">
      <w:start w:val="1"/>
      <w:numFmt w:val="bullet"/>
      <w:lvlText w:val=""/>
      <w:lvlJc w:val="left"/>
      <w:pPr>
        <w:ind w:left="8977" w:hanging="360"/>
      </w:pPr>
      <w:rPr>
        <w:rFonts w:ascii="Wingdings" w:hAnsi="Wingdings" w:hint="default"/>
      </w:rPr>
    </w:lvl>
  </w:abstractNum>
  <w:abstractNum w:abstractNumId="43" w15:restartNumberingAfterBreak="0">
    <w:nsid w:val="61361ABA"/>
    <w:multiLevelType w:val="hybridMultilevel"/>
    <w:tmpl w:val="6714CFF2"/>
    <w:lvl w:ilvl="0" w:tplc="FA6CCBC6">
      <w:start w:val="1"/>
      <w:numFmt w:val="decimal"/>
      <w:lvlText w:val="%1."/>
      <w:lvlJc w:val="left"/>
      <w:pPr>
        <w:ind w:left="1777" w:hanging="360"/>
      </w:pPr>
      <w:rPr>
        <w:b w:val="0"/>
        <w:bCs w:val="0"/>
        <w:color w:val="auto"/>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44" w15:restartNumberingAfterBreak="0">
    <w:nsid w:val="62731A50"/>
    <w:multiLevelType w:val="hybridMultilevel"/>
    <w:tmpl w:val="5CAA6B7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9873DE5"/>
    <w:multiLevelType w:val="hybridMultilevel"/>
    <w:tmpl w:val="B4827274"/>
    <w:lvl w:ilvl="0" w:tplc="57F81D5A">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A8D655D"/>
    <w:multiLevelType w:val="hybridMultilevel"/>
    <w:tmpl w:val="D53E2C40"/>
    <w:lvl w:ilvl="0" w:tplc="5078772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B22603"/>
    <w:multiLevelType w:val="hybridMultilevel"/>
    <w:tmpl w:val="37402336"/>
    <w:lvl w:ilvl="0" w:tplc="83AA7A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1AE6A48"/>
    <w:multiLevelType w:val="hybridMultilevel"/>
    <w:tmpl w:val="6E02E23E"/>
    <w:lvl w:ilvl="0" w:tplc="F432E792">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53D6734"/>
    <w:multiLevelType w:val="hybridMultilevel"/>
    <w:tmpl w:val="10C6C3EE"/>
    <w:lvl w:ilvl="0" w:tplc="169E23E0">
      <w:start w:val="1"/>
      <w:numFmt w:val="decimal"/>
      <w:lvlText w:val="%1."/>
      <w:lvlJc w:val="left"/>
      <w:pPr>
        <w:ind w:left="36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7E3582"/>
    <w:multiLevelType w:val="hybridMultilevel"/>
    <w:tmpl w:val="D14E17FA"/>
    <w:lvl w:ilvl="0" w:tplc="7A6E4A5E">
      <w:start w:val="1"/>
      <w:numFmt w:val="bullet"/>
      <w:lvlText w:val=""/>
      <w:lvlJc w:val="left"/>
      <w:pPr>
        <w:ind w:left="2497" w:hanging="360"/>
      </w:pPr>
      <w:rPr>
        <w:rFonts w:ascii="Symbol" w:hAnsi="Symbol" w:hint="default"/>
      </w:rPr>
    </w:lvl>
    <w:lvl w:ilvl="1" w:tplc="04150003" w:tentative="1">
      <w:start w:val="1"/>
      <w:numFmt w:val="bullet"/>
      <w:lvlText w:val="o"/>
      <w:lvlJc w:val="left"/>
      <w:pPr>
        <w:ind w:left="3217" w:hanging="360"/>
      </w:pPr>
      <w:rPr>
        <w:rFonts w:ascii="Courier New" w:hAnsi="Courier New" w:cs="Courier New" w:hint="default"/>
      </w:rPr>
    </w:lvl>
    <w:lvl w:ilvl="2" w:tplc="04150005" w:tentative="1">
      <w:start w:val="1"/>
      <w:numFmt w:val="bullet"/>
      <w:lvlText w:val=""/>
      <w:lvlJc w:val="left"/>
      <w:pPr>
        <w:ind w:left="3937" w:hanging="360"/>
      </w:pPr>
      <w:rPr>
        <w:rFonts w:ascii="Wingdings" w:hAnsi="Wingdings" w:hint="default"/>
      </w:rPr>
    </w:lvl>
    <w:lvl w:ilvl="3" w:tplc="04150001" w:tentative="1">
      <w:start w:val="1"/>
      <w:numFmt w:val="bullet"/>
      <w:lvlText w:val=""/>
      <w:lvlJc w:val="left"/>
      <w:pPr>
        <w:ind w:left="4657" w:hanging="360"/>
      </w:pPr>
      <w:rPr>
        <w:rFonts w:ascii="Symbol" w:hAnsi="Symbol" w:hint="default"/>
      </w:rPr>
    </w:lvl>
    <w:lvl w:ilvl="4" w:tplc="04150003" w:tentative="1">
      <w:start w:val="1"/>
      <w:numFmt w:val="bullet"/>
      <w:lvlText w:val="o"/>
      <w:lvlJc w:val="left"/>
      <w:pPr>
        <w:ind w:left="5377" w:hanging="360"/>
      </w:pPr>
      <w:rPr>
        <w:rFonts w:ascii="Courier New" w:hAnsi="Courier New" w:cs="Courier New" w:hint="default"/>
      </w:rPr>
    </w:lvl>
    <w:lvl w:ilvl="5" w:tplc="04150005" w:tentative="1">
      <w:start w:val="1"/>
      <w:numFmt w:val="bullet"/>
      <w:lvlText w:val=""/>
      <w:lvlJc w:val="left"/>
      <w:pPr>
        <w:ind w:left="6097" w:hanging="360"/>
      </w:pPr>
      <w:rPr>
        <w:rFonts w:ascii="Wingdings" w:hAnsi="Wingdings" w:hint="default"/>
      </w:rPr>
    </w:lvl>
    <w:lvl w:ilvl="6" w:tplc="04150001" w:tentative="1">
      <w:start w:val="1"/>
      <w:numFmt w:val="bullet"/>
      <w:lvlText w:val=""/>
      <w:lvlJc w:val="left"/>
      <w:pPr>
        <w:ind w:left="6817" w:hanging="360"/>
      </w:pPr>
      <w:rPr>
        <w:rFonts w:ascii="Symbol" w:hAnsi="Symbol" w:hint="default"/>
      </w:rPr>
    </w:lvl>
    <w:lvl w:ilvl="7" w:tplc="04150003" w:tentative="1">
      <w:start w:val="1"/>
      <w:numFmt w:val="bullet"/>
      <w:lvlText w:val="o"/>
      <w:lvlJc w:val="left"/>
      <w:pPr>
        <w:ind w:left="7537" w:hanging="360"/>
      </w:pPr>
      <w:rPr>
        <w:rFonts w:ascii="Courier New" w:hAnsi="Courier New" w:cs="Courier New" w:hint="default"/>
      </w:rPr>
    </w:lvl>
    <w:lvl w:ilvl="8" w:tplc="04150005" w:tentative="1">
      <w:start w:val="1"/>
      <w:numFmt w:val="bullet"/>
      <w:lvlText w:val=""/>
      <w:lvlJc w:val="left"/>
      <w:pPr>
        <w:ind w:left="8257" w:hanging="360"/>
      </w:pPr>
      <w:rPr>
        <w:rFonts w:ascii="Wingdings" w:hAnsi="Wingdings" w:hint="default"/>
      </w:rPr>
    </w:lvl>
  </w:abstractNum>
  <w:abstractNum w:abstractNumId="51" w15:restartNumberingAfterBreak="0">
    <w:nsid w:val="789D73E6"/>
    <w:multiLevelType w:val="hybridMultilevel"/>
    <w:tmpl w:val="16A897CA"/>
    <w:lvl w:ilvl="0" w:tplc="9C38A22C">
      <w:start w:val="2"/>
      <w:numFmt w:val="decimal"/>
      <w:lvlText w:val="%1."/>
      <w:lvlJc w:val="left"/>
      <w:pPr>
        <w:ind w:left="1440" w:hanging="360"/>
      </w:pPr>
      <w:rPr>
        <w:rFonts w:hint="default"/>
        <w:b/>
        <w:b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DC24AAC"/>
    <w:multiLevelType w:val="hybridMultilevel"/>
    <w:tmpl w:val="F7F282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E7F3286"/>
    <w:multiLevelType w:val="hybridMultilevel"/>
    <w:tmpl w:val="E7E25D08"/>
    <w:lvl w:ilvl="0" w:tplc="0415000B">
      <w:start w:val="1"/>
      <w:numFmt w:val="bullet"/>
      <w:lvlText w:val=""/>
      <w:lvlJc w:val="left"/>
      <w:pPr>
        <w:ind w:left="3217" w:hanging="360"/>
      </w:pPr>
      <w:rPr>
        <w:rFonts w:ascii="Wingdings" w:hAnsi="Wingdings" w:hint="default"/>
      </w:rPr>
    </w:lvl>
    <w:lvl w:ilvl="1" w:tplc="04150003" w:tentative="1">
      <w:start w:val="1"/>
      <w:numFmt w:val="bullet"/>
      <w:lvlText w:val="o"/>
      <w:lvlJc w:val="left"/>
      <w:pPr>
        <w:ind w:left="3937" w:hanging="360"/>
      </w:pPr>
      <w:rPr>
        <w:rFonts w:ascii="Courier New" w:hAnsi="Courier New" w:cs="Courier New" w:hint="default"/>
      </w:rPr>
    </w:lvl>
    <w:lvl w:ilvl="2" w:tplc="04150005" w:tentative="1">
      <w:start w:val="1"/>
      <w:numFmt w:val="bullet"/>
      <w:lvlText w:val=""/>
      <w:lvlJc w:val="left"/>
      <w:pPr>
        <w:ind w:left="4657" w:hanging="360"/>
      </w:pPr>
      <w:rPr>
        <w:rFonts w:ascii="Wingdings" w:hAnsi="Wingdings" w:hint="default"/>
      </w:rPr>
    </w:lvl>
    <w:lvl w:ilvl="3" w:tplc="04150001" w:tentative="1">
      <w:start w:val="1"/>
      <w:numFmt w:val="bullet"/>
      <w:lvlText w:val=""/>
      <w:lvlJc w:val="left"/>
      <w:pPr>
        <w:ind w:left="5377" w:hanging="360"/>
      </w:pPr>
      <w:rPr>
        <w:rFonts w:ascii="Symbol" w:hAnsi="Symbol" w:hint="default"/>
      </w:rPr>
    </w:lvl>
    <w:lvl w:ilvl="4" w:tplc="04150003" w:tentative="1">
      <w:start w:val="1"/>
      <w:numFmt w:val="bullet"/>
      <w:lvlText w:val="o"/>
      <w:lvlJc w:val="left"/>
      <w:pPr>
        <w:ind w:left="6097" w:hanging="360"/>
      </w:pPr>
      <w:rPr>
        <w:rFonts w:ascii="Courier New" w:hAnsi="Courier New" w:cs="Courier New" w:hint="default"/>
      </w:rPr>
    </w:lvl>
    <w:lvl w:ilvl="5" w:tplc="04150005" w:tentative="1">
      <w:start w:val="1"/>
      <w:numFmt w:val="bullet"/>
      <w:lvlText w:val=""/>
      <w:lvlJc w:val="left"/>
      <w:pPr>
        <w:ind w:left="6817" w:hanging="360"/>
      </w:pPr>
      <w:rPr>
        <w:rFonts w:ascii="Wingdings" w:hAnsi="Wingdings" w:hint="default"/>
      </w:rPr>
    </w:lvl>
    <w:lvl w:ilvl="6" w:tplc="04150001" w:tentative="1">
      <w:start w:val="1"/>
      <w:numFmt w:val="bullet"/>
      <w:lvlText w:val=""/>
      <w:lvlJc w:val="left"/>
      <w:pPr>
        <w:ind w:left="7537" w:hanging="360"/>
      </w:pPr>
      <w:rPr>
        <w:rFonts w:ascii="Symbol" w:hAnsi="Symbol" w:hint="default"/>
      </w:rPr>
    </w:lvl>
    <w:lvl w:ilvl="7" w:tplc="04150003" w:tentative="1">
      <w:start w:val="1"/>
      <w:numFmt w:val="bullet"/>
      <w:lvlText w:val="o"/>
      <w:lvlJc w:val="left"/>
      <w:pPr>
        <w:ind w:left="8257" w:hanging="360"/>
      </w:pPr>
      <w:rPr>
        <w:rFonts w:ascii="Courier New" w:hAnsi="Courier New" w:cs="Courier New" w:hint="default"/>
      </w:rPr>
    </w:lvl>
    <w:lvl w:ilvl="8" w:tplc="04150005" w:tentative="1">
      <w:start w:val="1"/>
      <w:numFmt w:val="bullet"/>
      <w:lvlText w:val=""/>
      <w:lvlJc w:val="left"/>
      <w:pPr>
        <w:ind w:left="8977" w:hanging="360"/>
      </w:pPr>
      <w:rPr>
        <w:rFonts w:ascii="Wingdings" w:hAnsi="Wingdings" w:hint="default"/>
      </w:rPr>
    </w:lvl>
  </w:abstractNum>
  <w:num w:numId="1" w16cid:durableId="552081528">
    <w:abstractNumId w:val="3"/>
  </w:num>
  <w:num w:numId="2" w16cid:durableId="137889133">
    <w:abstractNumId w:val="45"/>
  </w:num>
  <w:num w:numId="3" w16cid:durableId="1296839224">
    <w:abstractNumId w:val="26"/>
  </w:num>
  <w:num w:numId="4" w16cid:durableId="1905141016">
    <w:abstractNumId w:val="32"/>
  </w:num>
  <w:num w:numId="5" w16cid:durableId="513418569">
    <w:abstractNumId w:val="14"/>
  </w:num>
  <w:num w:numId="6" w16cid:durableId="2140150931">
    <w:abstractNumId w:val="51"/>
  </w:num>
  <w:num w:numId="7" w16cid:durableId="1172374545">
    <w:abstractNumId w:val="16"/>
  </w:num>
  <w:num w:numId="8" w16cid:durableId="1294018810">
    <w:abstractNumId w:val="33"/>
  </w:num>
  <w:num w:numId="9" w16cid:durableId="1465002928">
    <w:abstractNumId w:val="29"/>
  </w:num>
  <w:num w:numId="10" w16cid:durableId="2051416861">
    <w:abstractNumId w:val="34"/>
  </w:num>
  <w:num w:numId="11" w16cid:durableId="543638269">
    <w:abstractNumId w:val="25"/>
  </w:num>
  <w:num w:numId="12" w16cid:durableId="692851079">
    <w:abstractNumId w:val="18"/>
  </w:num>
  <w:num w:numId="13" w16cid:durableId="1995328975">
    <w:abstractNumId w:val="24"/>
  </w:num>
  <w:num w:numId="14" w16cid:durableId="364671308">
    <w:abstractNumId w:val="28"/>
  </w:num>
  <w:num w:numId="15" w16cid:durableId="1754037802">
    <w:abstractNumId w:val="46"/>
  </w:num>
  <w:num w:numId="16" w16cid:durableId="227618431">
    <w:abstractNumId w:val="7"/>
  </w:num>
  <w:num w:numId="17" w16cid:durableId="1471358883">
    <w:abstractNumId w:val="36"/>
  </w:num>
  <w:num w:numId="18" w16cid:durableId="1278834071">
    <w:abstractNumId w:val="43"/>
  </w:num>
  <w:num w:numId="19" w16cid:durableId="588152708">
    <w:abstractNumId w:val="49"/>
  </w:num>
  <w:num w:numId="20" w16cid:durableId="504442743">
    <w:abstractNumId w:val="21"/>
  </w:num>
  <w:num w:numId="21" w16cid:durableId="1268268399">
    <w:abstractNumId w:val="48"/>
  </w:num>
  <w:num w:numId="22" w16cid:durableId="85731230">
    <w:abstractNumId w:val="30"/>
  </w:num>
  <w:num w:numId="23" w16cid:durableId="254097925">
    <w:abstractNumId w:val="41"/>
  </w:num>
  <w:num w:numId="24" w16cid:durableId="301663507">
    <w:abstractNumId w:val="10"/>
  </w:num>
  <w:num w:numId="25" w16cid:durableId="1397362142">
    <w:abstractNumId w:val="13"/>
  </w:num>
  <w:num w:numId="26" w16cid:durableId="1903129462">
    <w:abstractNumId w:val="27"/>
  </w:num>
  <w:num w:numId="27" w16cid:durableId="230236179">
    <w:abstractNumId w:val="15"/>
  </w:num>
  <w:num w:numId="28" w16cid:durableId="1872449226">
    <w:abstractNumId w:val="39"/>
  </w:num>
  <w:num w:numId="29" w16cid:durableId="1117990084">
    <w:abstractNumId w:val="17"/>
  </w:num>
  <w:num w:numId="30" w16cid:durableId="21782621">
    <w:abstractNumId w:val="12"/>
  </w:num>
  <w:num w:numId="31" w16cid:durableId="506018219">
    <w:abstractNumId w:val="5"/>
  </w:num>
  <w:num w:numId="32" w16cid:durableId="2089231012">
    <w:abstractNumId w:val="11"/>
  </w:num>
  <w:num w:numId="33" w16cid:durableId="1073550253">
    <w:abstractNumId w:val="6"/>
  </w:num>
  <w:num w:numId="34" w16cid:durableId="260067657">
    <w:abstractNumId w:val="19"/>
  </w:num>
  <w:num w:numId="35" w16cid:durableId="1232303151">
    <w:abstractNumId w:val="47"/>
  </w:num>
  <w:num w:numId="36" w16cid:durableId="1413237392">
    <w:abstractNumId w:val="31"/>
  </w:num>
  <w:num w:numId="37" w16cid:durableId="761998225">
    <w:abstractNumId w:val="0"/>
  </w:num>
  <w:num w:numId="38" w16cid:durableId="2129662883">
    <w:abstractNumId w:val="38"/>
  </w:num>
  <w:num w:numId="39" w16cid:durableId="1548686720">
    <w:abstractNumId w:val="1"/>
  </w:num>
  <w:num w:numId="40" w16cid:durableId="111634095">
    <w:abstractNumId w:val="2"/>
  </w:num>
  <w:num w:numId="41" w16cid:durableId="785850525">
    <w:abstractNumId w:val="37"/>
  </w:num>
  <w:num w:numId="42" w16cid:durableId="913276628">
    <w:abstractNumId w:val="42"/>
  </w:num>
  <w:num w:numId="43" w16cid:durableId="485244183">
    <w:abstractNumId w:val="40"/>
  </w:num>
  <w:num w:numId="44" w16cid:durableId="1698890737">
    <w:abstractNumId w:val="50"/>
  </w:num>
  <w:num w:numId="45" w16cid:durableId="1302685026">
    <w:abstractNumId w:val="22"/>
  </w:num>
  <w:num w:numId="46" w16cid:durableId="1926374525">
    <w:abstractNumId w:val="53"/>
  </w:num>
  <w:num w:numId="47" w16cid:durableId="1375806765">
    <w:abstractNumId w:val="9"/>
  </w:num>
  <w:num w:numId="48" w16cid:durableId="60518694">
    <w:abstractNumId w:val="52"/>
  </w:num>
  <w:num w:numId="49" w16cid:durableId="1376349555">
    <w:abstractNumId w:val="23"/>
  </w:num>
  <w:num w:numId="50" w16cid:durableId="1616055791">
    <w:abstractNumId w:val="20"/>
  </w:num>
  <w:num w:numId="51" w16cid:durableId="490559822">
    <w:abstractNumId w:val="35"/>
  </w:num>
  <w:num w:numId="52" w16cid:durableId="1652518488">
    <w:abstractNumId w:val="4"/>
  </w:num>
  <w:num w:numId="53" w16cid:durableId="125393893">
    <w:abstractNumId w:val="8"/>
  </w:num>
  <w:num w:numId="54" w16cid:durableId="1838685523">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8CFE8166-110B-4C81-BE91-906D2F44B5B1}"/>
  </w:docVars>
  <w:rsids>
    <w:rsidRoot w:val="009944D3"/>
    <w:rsid w:val="000033B0"/>
    <w:rsid w:val="00003F4D"/>
    <w:rsid w:val="00004695"/>
    <w:rsid w:val="00015018"/>
    <w:rsid w:val="00035988"/>
    <w:rsid w:val="00050FBF"/>
    <w:rsid w:val="0009553D"/>
    <w:rsid w:val="000D00D1"/>
    <w:rsid w:val="000D0BCF"/>
    <w:rsid w:val="000E57D5"/>
    <w:rsid w:val="000E6DC7"/>
    <w:rsid w:val="000F1036"/>
    <w:rsid w:val="000F2FC2"/>
    <w:rsid w:val="000F6F83"/>
    <w:rsid w:val="00106DD8"/>
    <w:rsid w:val="001121AA"/>
    <w:rsid w:val="001175DF"/>
    <w:rsid w:val="00122893"/>
    <w:rsid w:val="001302D9"/>
    <w:rsid w:val="00134DBE"/>
    <w:rsid w:val="00136CDA"/>
    <w:rsid w:val="0016148D"/>
    <w:rsid w:val="001653CB"/>
    <w:rsid w:val="001743FA"/>
    <w:rsid w:val="00174FE8"/>
    <w:rsid w:val="00196B18"/>
    <w:rsid w:val="001A295A"/>
    <w:rsid w:val="001A2F03"/>
    <w:rsid w:val="001B4EA1"/>
    <w:rsid w:val="001B7627"/>
    <w:rsid w:val="001D4D65"/>
    <w:rsid w:val="001E3174"/>
    <w:rsid w:val="001F57A9"/>
    <w:rsid w:val="002036D3"/>
    <w:rsid w:val="002045A5"/>
    <w:rsid w:val="002256C3"/>
    <w:rsid w:val="00226BE8"/>
    <w:rsid w:val="002317C6"/>
    <w:rsid w:val="002539E6"/>
    <w:rsid w:val="00260865"/>
    <w:rsid w:val="00266CDB"/>
    <w:rsid w:val="00274101"/>
    <w:rsid w:val="002853D0"/>
    <w:rsid w:val="002A158B"/>
    <w:rsid w:val="002A15ED"/>
    <w:rsid w:val="002D510D"/>
    <w:rsid w:val="002E7DBC"/>
    <w:rsid w:val="002F5610"/>
    <w:rsid w:val="00301B93"/>
    <w:rsid w:val="00303260"/>
    <w:rsid w:val="003216CA"/>
    <w:rsid w:val="003342BE"/>
    <w:rsid w:val="003416F2"/>
    <w:rsid w:val="003447E6"/>
    <w:rsid w:val="00350F8B"/>
    <w:rsid w:val="00353080"/>
    <w:rsid w:val="003610F5"/>
    <w:rsid w:val="0036375A"/>
    <w:rsid w:val="00364EE7"/>
    <w:rsid w:val="00365E32"/>
    <w:rsid w:val="003756D5"/>
    <w:rsid w:val="00384594"/>
    <w:rsid w:val="0038603B"/>
    <w:rsid w:val="00392823"/>
    <w:rsid w:val="003A6C61"/>
    <w:rsid w:val="003C2CEE"/>
    <w:rsid w:val="003F288A"/>
    <w:rsid w:val="00401012"/>
    <w:rsid w:val="0040255F"/>
    <w:rsid w:val="00410A80"/>
    <w:rsid w:val="00413A27"/>
    <w:rsid w:val="00416A0E"/>
    <w:rsid w:val="004263DB"/>
    <w:rsid w:val="00433CBC"/>
    <w:rsid w:val="004433DA"/>
    <w:rsid w:val="00456736"/>
    <w:rsid w:val="00480848"/>
    <w:rsid w:val="004B12A3"/>
    <w:rsid w:val="004D6009"/>
    <w:rsid w:val="004E14C0"/>
    <w:rsid w:val="004E368A"/>
    <w:rsid w:val="004F4BE3"/>
    <w:rsid w:val="004F6E43"/>
    <w:rsid w:val="00500083"/>
    <w:rsid w:val="005135F5"/>
    <w:rsid w:val="00521C0D"/>
    <w:rsid w:val="00542412"/>
    <w:rsid w:val="00547572"/>
    <w:rsid w:val="0055649D"/>
    <w:rsid w:val="00562FCB"/>
    <w:rsid w:val="005777C6"/>
    <w:rsid w:val="00596A9C"/>
    <w:rsid w:val="005B3159"/>
    <w:rsid w:val="005C06CC"/>
    <w:rsid w:val="005E36AB"/>
    <w:rsid w:val="00600B06"/>
    <w:rsid w:val="00602D50"/>
    <w:rsid w:val="00604E0C"/>
    <w:rsid w:val="00605C30"/>
    <w:rsid w:val="00607E10"/>
    <w:rsid w:val="00612374"/>
    <w:rsid w:val="006202DD"/>
    <w:rsid w:val="00621583"/>
    <w:rsid w:val="00634613"/>
    <w:rsid w:val="006501A5"/>
    <w:rsid w:val="006567C2"/>
    <w:rsid w:val="0067440F"/>
    <w:rsid w:val="00682072"/>
    <w:rsid w:val="0068401E"/>
    <w:rsid w:val="00696F5A"/>
    <w:rsid w:val="006A2ACC"/>
    <w:rsid w:val="006A55B0"/>
    <w:rsid w:val="006A7BA5"/>
    <w:rsid w:val="006C356F"/>
    <w:rsid w:val="006C6706"/>
    <w:rsid w:val="006E4BBB"/>
    <w:rsid w:val="006E4D33"/>
    <w:rsid w:val="006F648A"/>
    <w:rsid w:val="00701168"/>
    <w:rsid w:val="00726B57"/>
    <w:rsid w:val="007618E6"/>
    <w:rsid w:val="00766F3D"/>
    <w:rsid w:val="00770CF9"/>
    <w:rsid w:val="007941A7"/>
    <w:rsid w:val="00794C43"/>
    <w:rsid w:val="00796266"/>
    <w:rsid w:val="007B149D"/>
    <w:rsid w:val="007B2C9F"/>
    <w:rsid w:val="007B42DD"/>
    <w:rsid w:val="007B43DA"/>
    <w:rsid w:val="007F42BD"/>
    <w:rsid w:val="00807BB9"/>
    <w:rsid w:val="008144B0"/>
    <w:rsid w:val="0082666B"/>
    <w:rsid w:val="0083655B"/>
    <w:rsid w:val="00853A8B"/>
    <w:rsid w:val="00875242"/>
    <w:rsid w:val="0088115E"/>
    <w:rsid w:val="008864F5"/>
    <w:rsid w:val="008A015E"/>
    <w:rsid w:val="008A27FE"/>
    <w:rsid w:val="008A76B0"/>
    <w:rsid w:val="008B216A"/>
    <w:rsid w:val="008D0038"/>
    <w:rsid w:val="008D02BB"/>
    <w:rsid w:val="008E2052"/>
    <w:rsid w:val="008F69E3"/>
    <w:rsid w:val="009233AA"/>
    <w:rsid w:val="0092540F"/>
    <w:rsid w:val="00925E53"/>
    <w:rsid w:val="00926760"/>
    <w:rsid w:val="00934E19"/>
    <w:rsid w:val="0093734C"/>
    <w:rsid w:val="009422C7"/>
    <w:rsid w:val="00954F49"/>
    <w:rsid w:val="00966114"/>
    <w:rsid w:val="009862FF"/>
    <w:rsid w:val="009944D3"/>
    <w:rsid w:val="009B0D71"/>
    <w:rsid w:val="009E32AA"/>
    <w:rsid w:val="009E74D1"/>
    <w:rsid w:val="009F5711"/>
    <w:rsid w:val="009F5769"/>
    <w:rsid w:val="00A035FB"/>
    <w:rsid w:val="00A15019"/>
    <w:rsid w:val="00A40297"/>
    <w:rsid w:val="00A47DDE"/>
    <w:rsid w:val="00A53058"/>
    <w:rsid w:val="00A56946"/>
    <w:rsid w:val="00A56D8A"/>
    <w:rsid w:val="00A64A75"/>
    <w:rsid w:val="00A7352F"/>
    <w:rsid w:val="00A751B9"/>
    <w:rsid w:val="00A760E2"/>
    <w:rsid w:val="00A83208"/>
    <w:rsid w:val="00A90E64"/>
    <w:rsid w:val="00A9405B"/>
    <w:rsid w:val="00AA2070"/>
    <w:rsid w:val="00AC284F"/>
    <w:rsid w:val="00AC591C"/>
    <w:rsid w:val="00AC6C3F"/>
    <w:rsid w:val="00AC6F1C"/>
    <w:rsid w:val="00AC748B"/>
    <w:rsid w:val="00AD3D29"/>
    <w:rsid w:val="00AE5561"/>
    <w:rsid w:val="00AF0EA2"/>
    <w:rsid w:val="00AF3184"/>
    <w:rsid w:val="00B01C1E"/>
    <w:rsid w:val="00B056DD"/>
    <w:rsid w:val="00B16C25"/>
    <w:rsid w:val="00B23444"/>
    <w:rsid w:val="00B42053"/>
    <w:rsid w:val="00B853E6"/>
    <w:rsid w:val="00BA2D1D"/>
    <w:rsid w:val="00BA49AA"/>
    <w:rsid w:val="00BB12AB"/>
    <w:rsid w:val="00BB4E60"/>
    <w:rsid w:val="00BE28CD"/>
    <w:rsid w:val="00C066EC"/>
    <w:rsid w:val="00C07EA3"/>
    <w:rsid w:val="00C21D3D"/>
    <w:rsid w:val="00C235CF"/>
    <w:rsid w:val="00C452B3"/>
    <w:rsid w:val="00C46B0F"/>
    <w:rsid w:val="00C52AC5"/>
    <w:rsid w:val="00C6173D"/>
    <w:rsid w:val="00C64ACF"/>
    <w:rsid w:val="00C9564E"/>
    <w:rsid w:val="00C9784D"/>
    <w:rsid w:val="00CA1628"/>
    <w:rsid w:val="00CB011C"/>
    <w:rsid w:val="00CB5D44"/>
    <w:rsid w:val="00CC064E"/>
    <w:rsid w:val="00CC5D3E"/>
    <w:rsid w:val="00CC70DB"/>
    <w:rsid w:val="00CD6174"/>
    <w:rsid w:val="00CF3A1E"/>
    <w:rsid w:val="00CF5B39"/>
    <w:rsid w:val="00D047EB"/>
    <w:rsid w:val="00D07EDC"/>
    <w:rsid w:val="00D10CFD"/>
    <w:rsid w:val="00D16AF0"/>
    <w:rsid w:val="00D2489E"/>
    <w:rsid w:val="00D271B2"/>
    <w:rsid w:val="00D34784"/>
    <w:rsid w:val="00D51560"/>
    <w:rsid w:val="00D51699"/>
    <w:rsid w:val="00D51772"/>
    <w:rsid w:val="00D55A48"/>
    <w:rsid w:val="00DC25A2"/>
    <w:rsid w:val="00E008B4"/>
    <w:rsid w:val="00E16F73"/>
    <w:rsid w:val="00E26401"/>
    <w:rsid w:val="00E30FD8"/>
    <w:rsid w:val="00E50AA6"/>
    <w:rsid w:val="00E5361F"/>
    <w:rsid w:val="00E5713B"/>
    <w:rsid w:val="00E614F9"/>
    <w:rsid w:val="00E62EFC"/>
    <w:rsid w:val="00E63199"/>
    <w:rsid w:val="00E755C4"/>
    <w:rsid w:val="00E85026"/>
    <w:rsid w:val="00E85B43"/>
    <w:rsid w:val="00EA3229"/>
    <w:rsid w:val="00EC049D"/>
    <w:rsid w:val="00EC1789"/>
    <w:rsid w:val="00EC274F"/>
    <w:rsid w:val="00ED1F7B"/>
    <w:rsid w:val="00F07618"/>
    <w:rsid w:val="00F12A1C"/>
    <w:rsid w:val="00F1615F"/>
    <w:rsid w:val="00F266AE"/>
    <w:rsid w:val="00F26C06"/>
    <w:rsid w:val="00F37DFF"/>
    <w:rsid w:val="00F50722"/>
    <w:rsid w:val="00F536DA"/>
    <w:rsid w:val="00F6081F"/>
    <w:rsid w:val="00F67BF8"/>
    <w:rsid w:val="00F74EB4"/>
    <w:rsid w:val="00F7554A"/>
    <w:rsid w:val="00F866F3"/>
    <w:rsid w:val="00FB3453"/>
    <w:rsid w:val="00FC0F82"/>
    <w:rsid w:val="00FF2FF6"/>
    <w:rsid w:val="00FF5D29"/>
    <w:rsid w:val="00FF79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09F2"/>
  <w15:chartTrackingRefBased/>
  <w15:docId w15:val="{D88222EF-3C4F-4E16-95D3-76FBD662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C06CC"/>
    <w:pPr>
      <w:keepNext/>
      <w:keepLines/>
      <w:spacing w:before="240" w:after="0"/>
      <w:outlineLvl w:val="0"/>
    </w:pPr>
    <w:rPr>
      <w:rFonts w:ascii="Calibri Light" w:eastAsia="Times New Roman" w:hAnsi="Calibri Light" w:cs="Times New Roman"/>
      <w:color w:val="2E74B5"/>
      <w:sz w:val="32"/>
      <w:szCs w:val="32"/>
    </w:rPr>
  </w:style>
  <w:style w:type="paragraph" w:styleId="Nagwek3">
    <w:name w:val="heading 3"/>
    <w:basedOn w:val="Normalny"/>
    <w:next w:val="Normalny"/>
    <w:link w:val="Nagwek3Znak"/>
    <w:uiPriority w:val="9"/>
    <w:semiHidden/>
    <w:unhideWhenUsed/>
    <w:qFormat/>
    <w:rsid w:val="005C06CC"/>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34E19"/>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934E19"/>
    <w:pPr>
      <w:ind w:left="720"/>
      <w:contextualSpacing/>
    </w:pPr>
  </w:style>
  <w:style w:type="paragraph" w:styleId="Bezodstpw">
    <w:name w:val="No Spacing"/>
    <w:link w:val="BezodstpwZnak"/>
    <w:uiPriority w:val="1"/>
    <w:qFormat/>
    <w:rsid w:val="00AC591C"/>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C591C"/>
    <w:rPr>
      <w:rFonts w:eastAsiaTheme="minorEastAsia"/>
      <w:lang w:eastAsia="pl-PL"/>
    </w:rPr>
  </w:style>
  <w:style w:type="character" w:customStyle="1" w:styleId="Nagwek1Znak">
    <w:name w:val="Nagłówek 1 Znak"/>
    <w:basedOn w:val="Domylnaczcionkaakapitu"/>
    <w:link w:val="Nagwek1"/>
    <w:uiPriority w:val="9"/>
    <w:rsid w:val="005C06CC"/>
    <w:rPr>
      <w:rFonts w:ascii="Calibri Light" w:eastAsia="Times New Roman" w:hAnsi="Calibri Light" w:cs="Times New Roman"/>
      <w:color w:val="2E74B5"/>
      <w:sz w:val="32"/>
      <w:szCs w:val="32"/>
    </w:rPr>
  </w:style>
  <w:style w:type="character" w:customStyle="1" w:styleId="Nagwek3Znak">
    <w:name w:val="Nagłówek 3 Znak"/>
    <w:basedOn w:val="Domylnaczcionkaakapitu"/>
    <w:link w:val="Nagwek3"/>
    <w:uiPriority w:val="9"/>
    <w:semiHidden/>
    <w:rsid w:val="005C06CC"/>
    <w:rPr>
      <w:rFonts w:ascii="Calibri Light" w:eastAsia="Times New Roman" w:hAnsi="Calibri Light" w:cs="Times New Roman"/>
      <w:b/>
      <w:bCs/>
      <w:sz w:val="26"/>
      <w:szCs w:val="26"/>
    </w:rPr>
  </w:style>
  <w:style w:type="paragraph" w:styleId="Nagwek">
    <w:name w:val="header"/>
    <w:basedOn w:val="Normalny"/>
    <w:link w:val="NagwekZnak"/>
    <w:uiPriority w:val="99"/>
    <w:unhideWhenUsed/>
    <w:rsid w:val="005C06CC"/>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5C06CC"/>
    <w:rPr>
      <w:rFonts w:ascii="Calibri" w:eastAsia="Calibri" w:hAnsi="Calibri" w:cs="Times New Roman"/>
    </w:rPr>
  </w:style>
  <w:style w:type="paragraph" w:styleId="Stopka">
    <w:name w:val="footer"/>
    <w:basedOn w:val="Normalny"/>
    <w:link w:val="StopkaZnak"/>
    <w:uiPriority w:val="99"/>
    <w:unhideWhenUsed/>
    <w:rsid w:val="005C06CC"/>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5C06CC"/>
    <w:rPr>
      <w:rFonts w:ascii="Calibri" w:eastAsia="Calibri" w:hAnsi="Calibri" w:cs="Times New Roman"/>
    </w:rPr>
  </w:style>
  <w:style w:type="character" w:styleId="Uwydatnienie">
    <w:name w:val="Emphasis"/>
    <w:uiPriority w:val="20"/>
    <w:qFormat/>
    <w:rsid w:val="005C06CC"/>
    <w:rPr>
      <w:i/>
      <w:iCs/>
    </w:rPr>
  </w:style>
  <w:style w:type="character" w:customStyle="1" w:styleId="apple-converted-space">
    <w:name w:val="apple-converted-space"/>
    <w:basedOn w:val="Domylnaczcionkaakapitu"/>
    <w:rsid w:val="005C06CC"/>
  </w:style>
  <w:style w:type="paragraph" w:styleId="Tekstprzypisudolnego">
    <w:name w:val="footnote text"/>
    <w:basedOn w:val="Normalny"/>
    <w:link w:val="TekstprzypisudolnegoZnak"/>
    <w:unhideWhenUsed/>
    <w:rsid w:val="005C06CC"/>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5C06CC"/>
    <w:rPr>
      <w:rFonts w:ascii="Calibri" w:eastAsia="Calibri" w:hAnsi="Calibri" w:cs="Times New Roman"/>
      <w:sz w:val="20"/>
      <w:szCs w:val="20"/>
    </w:rPr>
  </w:style>
  <w:style w:type="character" w:styleId="Odwoanieprzypisudolnego">
    <w:name w:val="footnote reference"/>
    <w:unhideWhenUsed/>
    <w:rsid w:val="005C06CC"/>
    <w:rPr>
      <w:vertAlign w:val="superscript"/>
    </w:rPr>
  </w:style>
  <w:style w:type="character" w:styleId="Hipercze">
    <w:name w:val="Hyperlink"/>
    <w:uiPriority w:val="99"/>
    <w:unhideWhenUsed/>
    <w:rsid w:val="005C06CC"/>
    <w:rPr>
      <w:color w:val="0563C1"/>
      <w:u w:val="single"/>
    </w:rPr>
  </w:style>
  <w:style w:type="character" w:styleId="Nierozpoznanawzmianka">
    <w:name w:val="Unresolved Mention"/>
    <w:uiPriority w:val="99"/>
    <w:semiHidden/>
    <w:unhideWhenUsed/>
    <w:rsid w:val="005C06CC"/>
    <w:rPr>
      <w:color w:val="605E5C"/>
      <w:shd w:val="clear" w:color="auto" w:fill="E1DFDD"/>
    </w:rPr>
  </w:style>
  <w:style w:type="paragraph" w:customStyle="1" w:styleId="TitleStyle">
    <w:name w:val="TitleStyle"/>
    <w:rsid w:val="005C06CC"/>
    <w:pPr>
      <w:spacing w:after="200" w:line="240" w:lineRule="auto"/>
    </w:pPr>
    <w:rPr>
      <w:rFonts w:ascii="Times New Roman" w:eastAsia="Times New Roman" w:hAnsi="Times New Roman" w:cs="Times New Roman"/>
      <w:b/>
      <w:color w:val="000000"/>
      <w:sz w:val="24"/>
      <w:lang w:eastAsia="pl-PL"/>
    </w:rPr>
  </w:style>
  <w:style w:type="character" w:styleId="Odwoaniedokomentarza">
    <w:name w:val="annotation reference"/>
    <w:uiPriority w:val="99"/>
    <w:semiHidden/>
    <w:unhideWhenUsed/>
    <w:rsid w:val="005C06CC"/>
    <w:rPr>
      <w:sz w:val="16"/>
      <w:szCs w:val="16"/>
    </w:rPr>
  </w:style>
  <w:style w:type="paragraph" w:styleId="Tekstkomentarza">
    <w:name w:val="annotation text"/>
    <w:basedOn w:val="Normalny"/>
    <w:link w:val="TekstkomentarzaZnak"/>
    <w:uiPriority w:val="99"/>
    <w:unhideWhenUsed/>
    <w:rsid w:val="005C06CC"/>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5C06C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C06CC"/>
    <w:rPr>
      <w:b/>
      <w:bCs/>
    </w:rPr>
  </w:style>
  <w:style w:type="character" w:customStyle="1" w:styleId="TematkomentarzaZnak">
    <w:name w:val="Temat komentarza Znak"/>
    <w:basedOn w:val="TekstkomentarzaZnak"/>
    <w:link w:val="Tematkomentarza"/>
    <w:uiPriority w:val="99"/>
    <w:semiHidden/>
    <w:rsid w:val="005C06CC"/>
    <w:rPr>
      <w:rFonts w:ascii="Calibri" w:eastAsia="Calibri" w:hAnsi="Calibri" w:cs="Times New Roman"/>
      <w:b/>
      <w:bCs/>
      <w:sz w:val="20"/>
      <w:szCs w:val="20"/>
    </w:rPr>
  </w:style>
  <w:style w:type="character" w:styleId="UyteHipercze">
    <w:name w:val="FollowedHyperlink"/>
    <w:uiPriority w:val="99"/>
    <w:semiHidden/>
    <w:unhideWhenUsed/>
    <w:rsid w:val="005C06CC"/>
    <w:rPr>
      <w:color w:val="954F72"/>
      <w:u w:val="single"/>
    </w:rPr>
  </w:style>
  <w:style w:type="paragraph" w:styleId="Tekstpodstawowy">
    <w:name w:val="Body Text"/>
    <w:basedOn w:val="Normalny"/>
    <w:link w:val="TekstpodstawowyZnak"/>
    <w:uiPriority w:val="99"/>
    <w:semiHidden/>
    <w:unhideWhenUsed/>
    <w:rsid w:val="005C06CC"/>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5C06CC"/>
    <w:rPr>
      <w:rFonts w:ascii="Calibri" w:eastAsia="Calibri" w:hAnsi="Calibri" w:cs="Times New Roman"/>
    </w:rPr>
  </w:style>
  <w:style w:type="paragraph" w:styleId="Tekstpodstawowyzwciciem">
    <w:name w:val="Body Text First Indent"/>
    <w:basedOn w:val="Tekstpodstawowy"/>
    <w:link w:val="TekstpodstawowyzwciciemZnak"/>
    <w:uiPriority w:val="99"/>
    <w:unhideWhenUsed/>
    <w:rsid w:val="005C06CC"/>
    <w:pPr>
      <w:spacing w:after="160"/>
      <w:ind w:firstLine="360"/>
    </w:pPr>
  </w:style>
  <w:style w:type="character" w:customStyle="1" w:styleId="TekstpodstawowyzwciciemZnak">
    <w:name w:val="Tekst podstawowy z wcięciem Znak"/>
    <w:basedOn w:val="TekstpodstawowyZnak"/>
    <w:link w:val="Tekstpodstawowyzwciciem"/>
    <w:uiPriority w:val="99"/>
    <w:rsid w:val="005C06CC"/>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6C35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C356F"/>
    <w:rPr>
      <w:sz w:val="20"/>
      <w:szCs w:val="20"/>
    </w:rPr>
  </w:style>
  <w:style w:type="character" w:styleId="Odwoanieprzypisukocowego">
    <w:name w:val="endnote reference"/>
    <w:basedOn w:val="Domylnaczcionkaakapitu"/>
    <w:uiPriority w:val="99"/>
    <w:semiHidden/>
    <w:unhideWhenUsed/>
    <w:rsid w:val="006C356F"/>
    <w:rPr>
      <w:vertAlign w:val="superscript"/>
    </w:rPr>
  </w:style>
  <w:style w:type="paragraph" w:customStyle="1" w:styleId="Standarduser">
    <w:name w:val="Standard (user)"/>
    <w:rsid w:val="00E755C4"/>
    <w:pPr>
      <w:widowControl w:val="0"/>
      <w:suppressAutoHyphens/>
      <w:autoSpaceDN w:val="0"/>
      <w:spacing w:after="0" w:line="240" w:lineRule="auto"/>
    </w:pPr>
    <w:rPr>
      <w:rFonts w:ascii="Times New Roman" w:eastAsia="SimSun, 宋体"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8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32084/tekapr.2020.13.2-38"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i.org/10.4467/23921943RP.21.038.1541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32084/tekapr.2019.12.1-2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i.org/10.32084/tekapr.2021.14.1-33" TargetMode="External"/><Relationship Id="rId4" Type="http://schemas.openxmlformats.org/officeDocument/2006/relationships/styles" Target="styles.xml"/><Relationship Id="rId9" Type="http://schemas.openxmlformats.org/officeDocument/2006/relationships/hyperlink" Target="https://doi.org/10.18290/rh21692-9"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E8166-110B-4C81-BE91-906D2F44B5B1}">
  <ds:schemaRefs>
    <ds:schemaRef ds:uri="http://www.w3.org/2001/XMLSchema"/>
  </ds:schemaRefs>
</ds:datastoreItem>
</file>

<file path=customXml/itemProps2.xml><?xml version="1.0" encoding="utf-8"?>
<ds:datastoreItem xmlns:ds="http://schemas.openxmlformats.org/officeDocument/2006/customXml" ds:itemID="{8140E0A0-80DF-46E9-916B-994ED3E4D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31042</Words>
  <Characters>186258</Characters>
  <Application>Microsoft Office Word</Application>
  <DocSecurity>0</DocSecurity>
  <Lines>1552</Lines>
  <Paragraphs>433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Woźniak</dc:creator>
  <cp:keywords/>
  <dc:description/>
  <cp:lastModifiedBy>Marzena MŚ. Świstak</cp:lastModifiedBy>
  <cp:revision>2</cp:revision>
  <cp:lastPrinted>2022-09-07T13:17:00Z</cp:lastPrinted>
  <dcterms:created xsi:type="dcterms:W3CDTF">2023-01-25T11:55:00Z</dcterms:created>
  <dcterms:modified xsi:type="dcterms:W3CDTF">2023-01-25T11:55:00Z</dcterms:modified>
</cp:coreProperties>
</file>