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40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IIr. studia niestacjonarne</w:t>
      </w:r>
    </w:p>
    <w:p w:rsidR="00D92A1C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Wykaz zagadnień egzaminacyjnych</w:t>
      </w:r>
    </w:p>
    <w:p w:rsidR="00D92A1C" w:rsidRDefault="00D92A1C" w:rsidP="00E03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F7E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977F28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03C47">
        <w:rPr>
          <w:rFonts w:ascii="Times New Roman" w:hAnsi="Times New Roman" w:cs="Times New Roman"/>
          <w:sz w:val="28"/>
          <w:szCs w:val="28"/>
        </w:rPr>
        <w:t>unkcje i formy</w:t>
      </w:r>
      <w:r>
        <w:rPr>
          <w:rFonts w:ascii="Times New Roman" w:hAnsi="Times New Roman" w:cs="Times New Roman"/>
          <w:sz w:val="28"/>
          <w:szCs w:val="28"/>
        </w:rPr>
        <w:t xml:space="preserve"> kontroli.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kontroli państwowej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kontroli.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nadzoru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977F28" w:rsidRDefault="00E03C47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77F28" w:rsidRPr="00E03C47">
        <w:rPr>
          <w:rFonts w:ascii="Times New Roman" w:hAnsi="Times New Roman" w:cs="Times New Roman"/>
          <w:sz w:val="28"/>
          <w:szCs w:val="28"/>
        </w:rPr>
        <w:t>ontrola zarządcza i jej cele według ustawy o finansach publicznych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Podmioty objęte kontrolą zarządczą według ustawy o finansach publicznych.</w:t>
      </w:r>
    </w:p>
    <w:p w:rsidR="00977F28" w:rsidRDefault="00E03C47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zobowiązane do zapewnienia adekwatnej, skutecznej i</w:t>
      </w:r>
      <w:r>
        <w:rPr>
          <w:rFonts w:ascii="Times New Roman" w:hAnsi="Times New Roman" w:cs="Times New Roman"/>
          <w:sz w:val="28"/>
          <w:szCs w:val="28"/>
        </w:rPr>
        <w:t xml:space="preserve"> efektywnej kontroli zarządczej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Standardy i wytyczne kontroli zarządczej w jednostkach sektora finansów publicznych.</w:t>
      </w:r>
    </w:p>
    <w:p w:rsidR="00977F28" w:rsidRDefault="00E03C47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Zadania Ministra </w:t>
      </w:r>
      <w:r w:rsidRPr="00E03C47">
        <w:rPr>
          <w:rFonts w:ascii="Times New Roman" w:hAnsi="Times New Roman" w:cs="Times New Roman"/>
          <w:sz w:val="28"/>
          <w:szCs w:val="28"/>
        </w:rPr>
        <w:t>Finansów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w zakresie kontroli zarządczej w finansach publicznych.</w:t>
      </w:r>
    </w:p>
    <w:p w:rsidR="00DA1F7E" w:rsidRDefault="00DA1F7E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audytu.</w:t>
      </w:r>
    </w:p>
    <w:p w:rsidR="00977F28" w:rsidRDefault="00E03C47" w:rsidP="006912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Audyt wewnętrzny w jednostkach sektora finansów publicznych.</w:t>
      </w:r>
    </w:p>
    <w:p w:rsidR="00977F28" w:rsidRDefault="00E03C47" w:rsidP="00603D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Standardy audytu wewnętrznego w jednostkach sektora finansów publicznych.</w:t>
      </w:r>
    </w:p>
    <w:p w:rsidR="00977F28" w:rsidRDefault="00E03C47" w:rsidP="00E602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Jednostki, w których przeprowadza się audyt wewnętrzny, zgodnie z przepisami ustawy o finansach publicznych.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28" w:rsidRDefault="00E03C47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uprawnione do przeprowadzenia audytu wewnętrznego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Komitet audytu.</w:t>
      </w:r>
    </w:p>
    <w:p w:rsidR="00DA1F7E" w:rsidRDefault="00DA1F7E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komórki audytu utworzonej w ministerstwie.</w:t>
      </w:r>
    </w:p>
    <w:p w:rsidR="00977F28" w:rsidRDefault="00E03C47" w:rsidP="00BC4F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77F28" w:rsidRPr="00E03C47">
        <w:rPr>
          <w:rFonts w:ascii="Times New Roman" w:hAnsi="Times New Roman" w:cs="Times New Roman"/>
          <w:sz w:val="28"/>
          <w:szCs w:val="28"/>
        </w:rPr>
        <w:t>Status prawny i zadania regionalnych izb obrachunkowych.</w:t>
      </w:r>
    </w:p>
    <w:p w:rsidR="00DA1F7E" w:rsidRDefault="00E03C47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nadzoru sprawowanego przez regionalne izby obrachunkowe.</w:t>
      </w:r>
    </w:p>
    <w:p w:rsidR="00977F28" w:rsidRDefault="00DA1F7E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zakres nadzoru sprawowanego przez regionalne izby obrachunkowe. </w:t>
      </w:r>
    </w:p>
    <w:p w:rsidR="00977F28" w:rsidRDefault="00E03C47" w:rsidP="00C330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Uprawnienia </w:t>
      </w:r>
      <w:r w:rsidR="00977F28" w:rsidRPr="00E03C47">
        <w:rPr>
          <w:rFonts w:ascii="Times New Roman" w:hAnsi="Times New Roman" w:cs="Times New Roman"/>
          <w:sz w:val="28"/>
          <w:szCs w:val="28"/>
        </w:rPr>
        <w:t>regionalnych izb obrachunkowych.</w:t>
      </w:r>
    </w:p>
    <w:p w:rsidR="00977F28" w:rsidRDefault="00E03C47" w:rsidP="00D62A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Kryteria kontroli gospodarki finansowej przez regionalne izby obrachunkowe.</w:t>
      </w:r>
    </w:p>
    <w:p w:rsidR="00F44FE9" w:rsidRDefault="00F44FE9" w:rsidP="00D62A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o stanie gospodarki finansowej jednostki sporządzany przez regionalne izby obrachunkowe.</w:t>
      </w:r>
    </w:p>
    <w:p w:rsidR="00977F28" w:rsidRDefault="00E03C47" w:rsidP="00F23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Organizacja i zasady działania regionalnych izb obrachunkowych.</w:t>
      </w:r>
    </w:p>
    <w:p w:rsidR="00977F28" w:rsidRDefault="00E03C47" w:rsidP="003D19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Organy kontrolujące w ustawie o kontroli w administracji rządowej.</w:t>
      </w:r>
    </w:p>
    <w:p w:rsidR="00977F28" w:rsidRDefault="00E03C47" w:rsidP="004771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77F28" w:rsidRPr="00E03C47">
        <w:rPr>
          <w:rFonts w:ascii="Times New Roman" w:hAnsi="Times New Roman" w:cs="Times New Roman"/>
          <w:sz w:val="28"/>
          <w:szCs w:val="28"/>
        </w:rPr>
        <w:t>łaściwość i uprawnienia Prezesa Rady Ministrów według ustawy o kontroli w administracji rządowej.</w:t>
      </w:r>
    </w:p>
    <w:p w:rsidR="00977F28" w:rsidRDefault="00E03C47" w:rsidP="00523D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Tryby kontroli przewidziane ustawą o kontroli w administracji rządowej.</w:t>
      </w:r>
    </w:p>
    <w:p w:rsidR="00977F28" w:rsidRDefault="00E03C47" w:rsidP="00C471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Obowiązki i uprawnienia kontrolera w ustawie o kontroli w administracji rządowej.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28" w:rsidRDefault="00E03C47" w:rsidP="00A001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7F28" w:rsidRPr="00E03C47">
        <w:rPr>
          <w:rFonts w:ascii="Times New Roman" w:hAnsi="Times New Roman" w:cs="Times New Roman"/>
          <w:sz w:val="28"/>
          <w:szCs w:val="28"/>
        </w:rPr>
        <w:t>bowiązki pracowników jednostki kontrolowanej i ich odpowiedzialność za niewywiązywanie się z tych obowiązków w ustawie o kontroli w administracji rządowej.</w:t>
      </w:r>
    </w:p>
    <w:p w:rsidR="00977F28" w:rsidRDefault="00E03C47" w:rsidP="00EE6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Zastrzeżenia do projektu wystąpienia pokontrolnego w ustawie o kontroli w administracji rządowej </w:t>
      </w:r>
    </w:p>
    <w:p w:rsidR="00977F28" w:rsidRDefault="00E03C47" w:rsidP="007E1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Charakter i pozycja ustrojowa NIK.</w:t>
      </w:r>
    </w:p>
    <w:p w:rsidR="00977F28" w:rsidRDefault="00E03C47" w:rsidP="007B6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kontroli NIK.</w:t>
      </w:r>
    </w:p>
    <w:p w:rsidR="00977F28" w:rsidRDefault="00E03C47" w:rsidP="00347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Zakres i kryteria kontroli przeprowadzanej przez NIK.</w:t>
      </w:r>
    </w:p>
    <w:p w:rsidR="00977F28" w:rsidRDefault="00E03C47" w:rsidP="003956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Kontrola wykonywana przez NIK (cele, osoby upoważnione, dowody).</w:t>
      </w:r>
    </w:p>
    <w:p w:rsidR="00977F28" w:rsidRDefault="00E03C47" w:rsidP="00121C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Wystąpienie pokontrolne NIK (możliwość składania zastrzeżeń, postępowanie odwoławcze).</w:t>
      </w:r>
    </w:p>
    <w:p w:rsidR="00E03C47" w:rsidRPr="00F44FE9" w:rsidRDefault="00E03C47" w:rsidP="00A456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FE9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F44FE9">
        <w:rPr>
          <w:rFonts w:ascii="Times New Roman" w:hAnsi="Times New Roman" w:cs="Times New Roman"/>
          <w:sz w:val="28"/>
          <w:szCs w:val="28"/>
        </w:rPr>
        <w:t>Informacja o wynikach kontroli NIK.</w:t>
      </w:r>
      <w:r w:rsidR="00F44FE9" w:rsidRPr="00F44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3C47" w:rsidRPr="00F4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70"/>
    <w:multiLevelType w:val="hybridMultilevel"/>
    <w:tmpl w:val="30DE0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547"/>
    <w:multiLevelType w:val="hybridMultilevel"/>
    <w:tmpl w:val="67E4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C"/>
    <w:rsid w:val="00050040"/>
    <w:rsid w:val="00085355"/>
    <w:rsid w:val="00305A43"/>
    <w:rsid w:val="00540B08"/>
    <w:rsid w:val="008B4C1D"/>
    <w:rsid w:val="00977F28"/>
    <w:rsid w:val="00C925EF"/>
    <w:rsid w:val="00D92A1C"/>
    <w:rsid w:val="00DA1F7E"/>
    <w:rsid w:val="00E03C47"/>
    <w:rsid w:val="00E46CCA"/>
    <w:rsid w:val="00E46E21"/>
    <w:rsid w:val="00EB10FD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DDD8-0041-4B45-B5FD-E5A274A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2A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8</cp:revision>
  <dcterms:created xsi:type="dcterms:W3CDTF">2015-11-16T13:22:00Z</dcterms:created>
  <dcterms:modified xsi:type="dcterms:W3CDTF">2015-12-02T08:09:00Z</dcterms:modified>
</cp:coreProperties>
</file>