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7945" w14:textId="77777777" w:rsidR="00887CE7" w:rsidRPr="00B6693E" w:rsidRDefault="00305C04" w:rsidP="001157CB">
      <w:pPr>
        <w:jc w:val="right"/>
        <w:rPr>
          <w:rStyle w:val="span9"/>
          <w:rFonts w:ascii="Arial" w:hAnsi="Arial" w:cs="Arial"/>
          <w:sz w:val="20"/>
          <w:szCs w:val="20"/>
        </w:rPr>
      </w:pPr>
      <w:r w:rsidRPr="00B6693E">
        <w:rPr>
          <w:rStyle w:val="span9"/>
          <w:rFonts w:ascii="Arial" w:hAnsi="Arial" w:cs="Arial"/>
          <w:sz w:val="20"/>
          <w:szCs w:val="20"/>
        </w:rPr>
        <w:t>(opis w języku zajęć)</w:t>
      </w:r>
    </w:p>
    <w:tbl>
      <w:tblPr>
        <w:tblStyle w:val="TableNormal"/>
        <w:tblW w:w="10551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9"/>
        <w:gridCol w:w="8692"/>
      </w:tblGrid>
      <w:tr w:rsidR="00887CE7" w:rsidRPr="00D1606F" w14:paraId="0123E3C1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20C0E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5392" w14:textId="76795529" w:rsidR="00887CE7" w:rsidRPr="0056279F" w:rsidRDefault="00AE0807" w:rsidP="00401F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279F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="0087597B" w:rsidRPr="005627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iscal </w:t>
            </w:r>
            <w:proofErr w:type="spellStart"/>
            <w:r w:rsidR="0087597B" w:rsidRPr="0056279F">
              <w:rPr>
                <w:rFonts w:ascii="Arial" w:hAnsi="Arial" w:cs="Arial"/>
                <w:b/>
                <w:sz w:val="20"/>
                <w:szCs w:val="20"/>
                <w:lang w:val="en-US"/>
              </w:rPr>
              <w:t>Decentralisation</w:t>
            </w:r>
            <w:proofErr w:type="spellEnd"/>
            <w:r w:rsidR="0087597B" w:rsidRPr="005627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r w:rsidR="00401FFE">
              <w:rPr>
                <w:rFonts w:ascii="Arial" w:hAnsi="Arial" w:cs="Arial"/>
                <w:b/>
                <w:sz w:val="20"/>
                <w:szCs w:val="20"/>
                <w:lang w:val="en-US"/>
              </w:rPr>
              <w:t>Europe</w:t>
            </w:r>
            <w:r w:rsidR="001157CB" w:rsidRPr="005627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87CE7" w:rsidRPr="00B6693E" w14:paraId="6F3F4D86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5232D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Studies cycle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5ACD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87CE7" w:rsidRPr="00B6693E" w14:paraId="136579FA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E12D3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93E">
              <w:rPr>
                <w:rStyle w:val="span9"/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2050" w14:textId="5151490A" w:rsidR="00887CE7" w:rsidRPr="00B6693E" w:rsidRDefault="00442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87CE7" w:rsidRPr="00B6693E" w14:paraId="57AADE6D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284A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pt-PT"/>
              </w:rPr>
              <w:t>ECTS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68C3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87CE7" w:rsidRPr="0044246A" w14:paraId="735D4169" w14:textId="77777777">
        <w:trPr>
          <w:trHeight w:val="96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D06A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6406" w14:textId="77777777" w:rsidR="00887CE7" w:rsidRPr="00AE080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teacher): 15</w:t>
            </w:r>
          </w:p>
          <w:p w14:paraId="11AD1B24" w14:textId="77777777" w:rsidR="00887CE7" w:rsidRPr="00AE080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teacher: 15 </w:t>
            </w:r>
          </w:p>
          <w:p w14:paraId="38F6E934" w14:textId="77777777" w:rsidR="00887CE7" w:rsidRPr="00AE0807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number of ECTS points for the module: 4</w:t>
            </w:r>
          </w:p>
        </w:tc>
      </w:tr>
      <w:tr w:rsidR="00887CE7" w:rsidRPr="00B6693E" w14:paraId="13A6DD9E" w14:textId="77777777">
        <w:trPr>
          <w:trHeight w:val="25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34AF6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95E9" w14:textId="77777777" w:rsidR="00887CE7" w:rsidRPr="00B6693E" w:rsidRDefault="0088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CE7" w:rsidRPr="00B6693E" w14:paraId="369FB1BC" w14:textId="77777777">
        <w:trPr>
          <w:trHeight w:val="45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0C54D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D8B6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</w:tr>
      <w:tr w:rsidR="00887CE7" w:rsidRPr="0044246A" w14:paraId="3F7D6123" w14:textId="77777777">
        <w:trPr>
          <w:trHeight w:val="19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3731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Short description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07A0" w14:textId="2034A762" w:rsidR="00887CE7" w:rsidRPr="00AE0807" w:rsidRDefault="00305C04" w:rsidP="005627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The module covers the knowledge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in the area </w:t>
            </w:r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of</w:t>
            </w:r>
            <w:proofErr w:type="gramEnd"/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the comparative </w:t>
            </w:r>
            <w:r w:rsidR="0056279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fiscal </w:t>
            </w:r>
            <w:proofErr w:type="spellStart"/>
            <w:r w:rsidR="0056279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decentralisation</w:t>
            </w:r>
            <w:proofErr w:type="spellEnd"/>
            <w:r w:rsidR="0056279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5C4D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sys</w:t>
            </w:r>
            <w:r w:rsidR="00342B65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tems</w:t>
            </w:r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in the European Union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. It includes the characteristics of the </w:t>
            </w:r>
            <w:r w:rsidR="001F3D09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local se</w:t>
            </w:r>
            <w:r w:rsidR="00B70292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1F3D09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6B6D22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-governing communities</w:t>
            </w:r>
            <w:r w:rsidR="005B01BA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, sub-national </w:t>
            </w:r>
            <w:r w:rsidR="00570216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government areas of activity and </w:t>
            </w:r>
            <w:r w:rsidR="00F52232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sub-national public finances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. It presents the review of the fundamental terms and institutions </w:t>
            </w:r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="003A2EFC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local self-government</w:t>
            </w:r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, the role of the European Union in the field of </w:t>
            </w:r>
            <w:r w:rsidR="00666FE7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sub-national governance</w:t>
            </w:r>
            <w:r w:rsidR="00EE2FC6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C52C3A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sub-national revenues</w:t>
            </w:r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. The course will analy</w:t>
            </w:r>
            <w:r w:rsidR="00A17F2C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1157C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e the </w:t>
            </w:r>
            <w:r w:rsidR="00232A47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concepts of </w:t>
            </w:r>
            <w:r w:rsidR="00A817FC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fiscal decentralization in countries of </w:t>
            </w:r>
            <w:r w:rsidR="00A17F2C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817FC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Eu</w:t>
            </w:r>
            <w:r w:rsidR="00A179DE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ropean Union.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The module develops the ability of comparative analysis of different law systems and distinct legal solutions, mutual relations of the authorities, concepts of </w:t>
            </w:r>
            <w:r w:rsidR="00CC2A0B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fiscal decentralization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doctrine.</w:t>
            </w:r>
          </w:p>
        </w:tc>
      </w:tr>
      <w:tr w:rsidR="00887CE7" w:rsidRPr="00B6693E" w14:paraId="233D214D" w14:textId="77777777">
        <w:trPr>
          <w:trHeight w:val="246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457A7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Full description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85C2" w14:textId="77777777" w:rsidR="00962B1E" w:rsidRPr="00B6693E" w:rsidRDefault="00305C04" w:rsidP="00962B1E">
            <w:pPr>
              <w:spacing w:after="0" w:line="240" w:lineRule="auto"/>
              <w:rPr>
                <w:rStyle w:val="span9"/>
                <w:rFonts w:ascii="Arial" w:eastAsia="Arial Unicode MS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class covers the following issues:</w:t>
            </w:r>
          </w:p>
          <w:p w14:paraId="3FB4CE2C" w14:textId="5DA5F8E6" w:rsidR="00962B1E" w:rsidRPr="00B6693E" w:rsidRDefault="00342B60" w:rsidP="004571B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Concept and basic features of local self-gover</w:t>
            </w:r>
            <w:r w:rsidR="00962B1E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ning communities in European union.</w:t>
            </w:r>
          </w:p>
          <w:p w14:paraId="434A76CE" w14:textId="3C1B3C16" w:rsidR="00C62483" w:rsidRPr="00B6693E" w:rsidRDefault="00C62483" w:rsidP="004571B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European Charter of Local Self-Government</w:t>
            </w:r>
            <w:r w:rsidR="009047DD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 xml:space="preserve">: </w:t>
            </w:r>
            <w:r w:rsidR="00FE1CD4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importance</w:t>
            </w:r>
            <w:r w:rsidR="003E074D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, subject matter, implementation.</w:t>
            </w:r>
          </w:p>
          <w:p w14:paraId="74F8C9B3" w14:textId="1F0F1B71" w:rsidR="00887CE7" w:rsidRPr="00B6693E" w:rsidRDefault="001766AE" w:rsidP="00241633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Public interest economics.</w:t>
            </w:r>
          </w:p>
          <w:p w14:paraId="219C7D98" w14:textId="51D4B5D2" w:rsidR="006246A3" w:rsidRPr="00B6693E" w:rsidRDefault="00553724" w:rsidP="00241633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The concept of state (</w:t>
            </w:r>
            <w:r w:rsidR="003E6571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 xml:space="preserve">limitation of authority, </w:t>
            </w:r>
            <w:r w:rsidR="00A80CAE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 xml:space="preserve">the </w:t>
            </w:r>
            <w:r w:rsidR="003E6571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principle of subsidiarity, decentrali</w:t>
            </w:r>
            <w:r w:rsidR="00A80CAE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z</w:t>
            </w:r>
            <w:r w:rsidR="003E6571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ation, harmoni</w:t>
            </w:r>
            <w:r w:rsidR="003448C8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z</w:t>
            </w:r>
            <w:r w:rsidR="003E6571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ation o</w:t>
            </w:r>
            <w:r w:rsidR="00AD0667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f systems of local self-government in Europe</w:t>
            </w:r>
            <w:r w:rsidR="003F554F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).</w:t>
            </w:r>
          </w:p>
          <w:p w14:paraId="775AAE67" w14:textId="41EE02A1" w:rsidR="004C3981" w:rsidRPr="00B6693E" w:rsidRDefault="0056279F" w:rsidP="00241633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F</w:t>
            </w:r>
            <w:r w:rsidR="001374C7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iscal decentralisation.</w:t>
            </w:r>
          </w:p>
          <w:p w14:paraId="4B27106B" w14:textId="77777777" w:rsidR="002E5F39" w:rsidRPr="00B6693E" w:rsidRDefault="003F554F" w:rsidP="00241633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 xml:space="preserve">Sub-national government areas </w:t>
            </w:r>
            <w:r w:rsidR="005256A9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of activity.</w:t>
            </w:r>
          </w:p>
          <w:p w14:paraId="2A41B479" w14:textId="77777777" w:rsidR="005256A9" w:rsidRPr="00B6693E" w:rsidRDefault="00E1735D" w:rsidP="00241633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 xml:space="preserve">Public </w:t>
            </w:r>
            <w:r w:rsidR="00EA4691"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finances.</w:t>
            </w:r>
          </w:p>
          <w:p w14:paraId="2E197F80" w14:textId="2AA238F9" w:rsidR="00EA4691" w:rsidRPr="00B6693E" w:rsidRDefault="00EA4691" w:rsidP="00BE42E6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8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</w:pPr>
            <w:r w:rsidRPr="00B6693E">
              <w:rPr>
                <w:rFonts w:ascii="Arial" w:eastAsia="Times New Roman" w:hAnsi="Arial" w:cs="Arial"/>
                <w:sz w:val="20"/>
                <w:szCs w:val="20"/>
                <w:lang w:val="en-GB" w:eastAsia="hu-HU"/>
              </w:rPr>
              <w:t>Sub-national government revenue.</w:t>
            </w:r>
          </w:p>
        </w:tc>
      </w:tr>
      <w:tr w:rsidR="00887CE7" w:rsidRPr="0044246A" w14:paraId="5E698B67" w14:textId="77777777">
        <w:trPr>
          <w:trHeight w:val="8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34B9B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4136" w14:textId="47B0458A" w:rsidR="00C90B98" w:rsidRDefault="00C90B98" w:rsidP="00C90B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B98">
              <w:rPr>
                <w:rFonts w:ascii="Arial" w:hAnsi="Arial" w:cs="Arial"/>
                <w:sz w:val="20"/>
                <w:szCs w:val="20"/>
              </w:rPr>
              <w:t>Plaček</w:t>
            </w:r>
            <w:proofErr w:type="spellEnd"/>
            <w:r w:rsidRPr="00C90B98">
              <w:rPr>
                <w:rFonts w:ascii="Arial" w:hAnsi="Arial" w:cs="Arial"/>
                <w:sz w:val="20"/>
                <w:szCs w:val="20"/>
              </w:rPr>
              <w:t xml:space="preserve">, M., </w:t>
            </w:r>
            <w:proofErr w:type="spellStart"/>
            <w:r w:rsidRPr="00C90B98">
              <w:rPr>
                <w:rFonts w:ascii="Arial" w:hAnsi="Arial" w:cs="Arial"/>
                <w:sz w:val="20"/>
                <w:szCs w:val="20"/>
              </w:rPr>
              <w:t>Ochrana</w:t>
            </w:r>
            <w:proofErr w:type="spellEnd"/>
            <w:r w:rsidRPr="00C90B98">
              <w:rPr>
                <w:rFonts w:ascii="Arial" w:hAnsi="Arial" w:cs="Arial"/>
                <w:sz w:val="20"/>
                <w:szCs w:val="20"/>
              </w:rPr>
              <w:t xml:space="preserve">, F., </w:t>
            </w:r>
            <w:proofErr w:type="spellStart"/>
            <w:r w:rsidRPr="00C90B98">
              <w:rPr>
                <w:rFonts w:ascii="Arial" w:hAnsi="Arial" w:cs="Arial"/>
                <w:sz w:val="20"/>
                <w:szCs w:val="20"/>
              </w:rPr>
              <w:t>Puček</w:t>
            </w:r>
            <w:proofErr w:type="spellEnd"/>
            <w:r w:rsidRPr="00C90B98">
              <w:rPr>
                <w:rFonts w:ascii="Arial" w:hAnsi="Arial" w:cs="Arial"/>
                <w:sz w:val="20"/>
                <w:szCs w:val="20"/>
              </w:rPr>
              <w:t xml:space="preserve">, M. J. &amp; </w:t>
            </w:r>
            <w:proofErr w:type="spellStart"/>
            <w:r w:rsidRPr="00C90B98">
              <w:rPr>
                <w:rFonts w:ascii="Arial" w:hAnsi="Arial" w:cs="Arial"/>
                <w:sz w:val="20"/>
                <w:szCs w:val="20"/>
              </w:rPr>
              <w:t>Nemec</w:t>
            </w:r>
            <w:proofErr w:type="spellEnd"/>
            <w:r w:rsidRPr="00C90B98">
              <w:rPr>
                <w:rFonts w:ascii="Arial" w:hAnsi="Arial" w:cs="Arial"/>
                <w:sz w:val="20"/>
                <w:szCs w:val="20"/>
              </w:rPr>
              <w:t xml:space="preserve">, J. (2020) Fiscal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Decentralisation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Reforms (Springer).</w:t>
            </w:r>
          </w:p>
          <w:p w14:paraId="607FD4FC" w14:textId="517ACB56" w:rsidR="00FF2C1A" w:rsidRPr="00C90B98" w:rsidRDefault="00FF2C1A" w:rsidP="00C90B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Bartlett, W.,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Kmezić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(eds.) (2018) Fiscal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decenetralisation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Local Government and Policy Reversals in Southeastern Europe (Palgrave).</w:t>
            </w:r>
          </w:p>
          <w:p w14:paraId="5CBD1F60" w14:textId="23A3DDC7" w:rsidR="005A0E83" w:rsidRPr="00D1606F" w:rsidRDefault="00D1606F" w:rsidP="00C90B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06F">
              <w:rPr>
                <w:rFonts w:ascii="Arial" w:hAnsi="Arial" w:cs="Arial"/>
                <w:sz w:val="20"/>
                <w:szCs w:val="20"/>
              </w:rPr>
              <w:t>Finžgar</w:t>
            </w:r>
            <w:proofErr w:type="spellEnd"/>
            <w:r w:rsidRPr="00D1606F">
              <w:rPr>
                <w:rFonts w:ascii="Arial" w:hAnsi="Arial" w:cs="Arial"/>
                <w:sz w:val="20"/>
                <w:szCs w:val="20"/>
              </w:rPr>
              <w:t xml:space="preserve">, M. &amp; </w:t>
            </w:r>
            <w:proofErr w:type="spellStart"/>
            <w:r w:rsidRPr="00D1606F">
              <w:rPr>
                <w:rFonts w:ascii="Arial" w:hAnsi="Arial" w:cs="Arial"/>
                <w:sz w:val="20"/>
                <w:szCs w:val="20"/>
              </w:rPr>
              <w:t>Brezovnik</w:t>
            </w:r>
            <w:proofErr w:type="spellEnd"/>
            <w:r w:rsidRPr="00D1606F">
              <w:rPr>
                <w:rFonts w:ascii="Arial" w:hAnsi="Arial" w:cs="Arial"/>
                <w:sz w:val="20"/>
                <w:szCs w:val="20"/>
              </w:rPr>
              <w:t xml:space="preserve">, B. (2019) </w:t>
            </w:r>
            <w:proofErr w:type="spellStart"/>
            <w:r w:rsidRPr="00D1606F">
              <w:rPr>
                <w:rFonts w:ascii="Arial" w:hAnsi="Arial" w:cs="Arial"/>
                <w:sz w:val="20"/>
                <w:szCs w:val="20"/>
              </w:rPr>
              <w:t>Dicerct</w:t>
            </w:r>
            <w:proofErr w:type="spellEnd"/>
            <w:r w:rsidRPr="00D1606F">
              <w:rPr>
                <w:rFonts w:ascii="Arial" w:hAnsi="Arial" w:cs="Arial"/>
                <w:sz w:val="20"/>
                <w:szCs w:val="20"/>
              </w:rPr>
              <w:t xml:space="preserve"> International Comparison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EU Member States Fiscal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Decentralisation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Systems with the Conceptual Index of Fiscal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Decentrsalisation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(CIFD) in the Context of European Charter </w:t>
            </w:r>
            <w:r w:rsidR="00C90B98">
              <w:rPr>
                <w:rFonts w:ascii="Arial" w:hAnsi="Arial" w:cs="Arial"/>
                <w:sz w:val="20"/>
                <w:szCs w:val="20"/>
              </w:rPr>
              <w:t xml:space="preserve">of Local Self-Government (ECLG), Transylvanian Review of Administrative Sciences, </w:t>
            </w:r>
            <w:r w:rsidR="00FF2C1A">
              <w:rPr>
                <w:rFonts w:ascii="Arial" w:hAnsi="Arial" w:cs="Arial"/>
                <w:sz w:val="20"/>
                <w:szCs w:val="20"/>
              </w:rPr>
              <w:t>56 E/2019, pp. 41-59.</w:t>
            </w:r>
          </w:p>
        </w:tc>
      </w:tr>
      <w:tr w:rsidR="00887CE7" w:rsidRPr="0044246A" w14:paraId="1859705B" w14:textId="77777777">
        <w:trPr>
          <w:trHeight w:val="419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5CCFB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69657580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Student who passes the course </w:t>
            </w:r>
            <w:proofErr w:type="gramStart"/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is able to</w:t>
            </w:r>
            <w:proofErr w:type="gramEnd"/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745991CE" w14:textId="77777777" w:rsidR="00887CE7" w:rsidRPr="00AE0807" w:rsidRDefault="00887CE7">
            <w:pPr>
              <w:spacing w:after="0" w:line="240" w:lineRule="auto"/>
              <w:ind w:left="373" w:hanging="37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B3B71AA" w14:textId="77777777" w:rsidR="00887CE7" w:rsidRPr="00AE080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KNOWLEDGE:</w:t>
            </w:r>
          </w:p>
          <w:p w14:paraId="22845AE8" w14:textId="6280710B" w:rsidR="00887CE7" w:rsidRPr="00AE0807" w:rsidRDefault="00305C04" w:rsidP="003448C8">
            <w:pPr>
              <w:tabs>
                <w:tab w:val="left" w:pos="383"/>
              </w:tabs>
              <w:spacing w:after="0" w:line="240" w:lineRule="auto"/>
              <w:ind w:left="383" w:hanging="283"/>
              <w:jc w:val="both"/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="00297C0D"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efine terms from the scope of </w:t>
            </w:r>
            <w:r w:rsidR="00D1606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fiscal </w:t>
            </w:r>
            <w:proofErr w:type="spellStart"/>
            <w:r w:rsidR="00D1606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decentralisation</w:t>
            </w:r>
            <w:proofErr w:type="spellEnd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, indicated where and in what context they are being used- </w:t>
            </w:r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K_W_</w:t>
            </w:r>
            <w:proofErr w:type="gramStart"/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AE0807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4AA02915" w14:textId="6B348E01" w:rsidR="00887CE7" w:rsidRPr="00AE0807" w:rsidRDefault="00305C04" w:rsidP="003448C8">
            <w:pPr>
              <w:tabs>
                <w:tab w:val="left" w:pos="383"/>
              </w:tabs>
              <w:spacing w:after="0" w:line="240" w:lineRule="auto"/>
              <w:ind w:left="383" w:hanging="28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indicate the law regulated relations between </w:t>
            </w:r>
            <w:r w:rsidR="0091377D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sub-national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institutions</w:t>
            </w:r>
            <w:r w:rsidR="00A81F1F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and inhabitants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K_W_</w:t>
            </w:r>
            <w:proofErr w:type="gramStart"/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7D54EA4F" w14:textId="5D100C78" w:rsidR="00887CE7" w:rsidRPr="00AE0807" w:rsidRDefault="00305C04" w:rsidP="003448C8">
            <w:pPr>
              <w:tabs>
                <w:tab w:val="left" w:pos="383"/>
              </w:tabs>
              <w:spacing w:after="0" w:line="240" w:lineRule="auto"/>
              <w:ind w:left="383" w:hanging="28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3. </w:t>
            </w:r>
            <w:r w:rsidR="00700AA3"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the student has an ordered and </w:t>
            </w:r>
            <w:r w:rsidR="00212DD9"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clarified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knowledge of decisions making subjects, having regard to applying the law- </w:t>
            </w:r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K_ W_</w:t>
            </w:r>
            <w:proofErr w:type="gramStart"/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3DADD72E" w14:textId="07B120A6" w:rsidR="00887CE7" w:rsidRPr="00AE0807" w:rsidRDefault="00305C04" w:rsidP="003448C8">
            <w:pPr>
              <w:tabs>
                <w:tab w:val="left" w:pos="383"/>
              </w:tabs>
              <w:spacing w:after="0" w:line="240" w:lineRule="auto"/>
              <w:ind w:left="383" w:hanging="28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indicate the laws and obligations of the </w:t>
            </w:r>
            <w:r w:rsidR="00F6126D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local communities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- K_W_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13;</w:t>
            </w:r>
            <w:proofErr w:type="gramEnd"/>
          </w:p>
          <w:p w14:paraId="5124CA90" w14:textId="77777777" w:rsidR="00887CE7" w:rsidRPr="00B6693E" w:rsidRDefault="00887CE7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B7BE1C3" w14:textId="77777777" w:rsidR="00887CE7" w:rsidRPr="00AE080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SKILLS:</w:t>
            </w:r>
          </w:p>
          <w:p w14:paraId="58378228" w14:textId="64C77A20" w:rsidR="00604630" w:rsidRPr="00AE0807" w:rsidRDefault="00305C04" w:rsidP="00604630">
            <w:pPr>
              <w:spacing w:after="0" w:line="240" w:lineRule="auto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604630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to interpret and apply the Comparative </w:t>
            </w:r>
            <w:r w:rsidR="00D1606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Fiscal </w:t>
            </w:r>
            <w:proofErr w:type="spellStart"/>
            <w:r w:rsidR="00D1606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Decentrsalisation</w:t>
            </w:r>
            <w:proofErr w:type="spellEnd"/>
            <w:r w:rsidR="00D1606F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4630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and other enactments regulating the issues on administrative bodies - K_U_</w:t>
            </w:r>
            <w:proofErr w:type="gramStart"/>
            <w:r w:rsidR="00604630"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02;</w:t>
            </w:r>
            <w:proofErr w:type="gramEnd"/>
          </w:p>
          <w:p w14:paraId="0D73FACE" w14:textId="64891E0F" w:rsidR="00887CE7" w:rsidRPr="00AE0807" w:rsidRDefault="00887CE7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5696403" w14:textId="77777777" w:rsidR="00887CE7" w:rsidRPr="00AE080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ATTITUDES:</w:t>
            </w:r>
          </w:p>
          <w:p w14:paraId="272EA341" w14:textId="77777777" w:rsidR="00887CE7" w:rsidRPr="00AE0807" w:rsidRDefault="00305C04">
            <w:pPr>
              <w:spacing w:after="0" w:line="240" w:lineRule="auto"/>
              <w:ind w:left="373" w:hanging="373"/>
              <w:jc w:val="both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to work in a group taking different roles-</w:t>
            </w: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K_K_</w:t>
            </w:r>
            <w:proofErr w:type="gramStart"/>
            <w:r w:rsidRPr="00B6693E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</w:p>
          <w:p w14:paraId="4339B820" w14:textId="77777777" w:rsidR="00887CE7" w:rsidRPr="00AE0807" w:rsidRDefault="00305C04">
            <w:pPr>
              <w:spacing w:after="0" w:line="240" w:lineRule="auto"/>
              <w:ind w:left="373" w:hanging="3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to set the priorities necessary to carry out, appointed by himself or others, tasks- K_K_09. </w:t>
            </w:r>
          </w:p>
        </w:tc>
      </w:tr>
      <w:tr w:rsidR="00887CE7" w:rsidRPr="00B6693E" w14:paraId="2052C38C" w14:textId="77777777">
        <w:trPr>
          <w:trHeight w:val="67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0689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8772" w14:textId="77777777" w:rsidR="00887CE7" w:rsidRPr="00AE080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Frequency of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attendance;</w:t>
            </w:r>
            <w:proofErr w:type="gramEnd"/>
          </w:p>
          <w:p w14:paraId="75DBD370" w14:textId="77777777" w:rsidR="00887CE7" w:rsidRPr="00AE0807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Effort in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class;</w:t>
            </w:r>
            <w:proofErr w:type="gramEnd"/>
          </w:p>
          <w:p w14:paraId="0D4B6448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Final paper.</w:t>
            </w:r>
          </w:p>
        </w:tc>
      </w:tr>
      <w:tr w:rsidR="00887CE7" w:rsidRPr="00B6693E" w14:paraId="3E1A8951" w14:textId="77777777">
        <w:trPr>
          <w:trHeight w:val="133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9DD7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FB9F" w14:textId="77777777" w:rsidR="00887CE7" w:rsidRPr="00AE080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Lecture, optional with </w:t>
            </w:r>
            <w:proofErr w:type="spell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Powerpoint</w:t>
            </w:r>
            <w:proofErr w:type="spellEnd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presentation;</w:t>
            </w:r>
            <w:proofErr w:type="gramEnd"/>
          </w:p>
          <w:p w14:paraId="200CFDA5" w14:textId="77777777" w:rsidR="00887CE7" w:rsidRPr="00AE080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Case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study;</w:t>
            </w:r>
            <w:proofErr w:type="gramEnd"/>
          </w:p>
          <w:p w14:paraId="2D6B7896" w14:textId="77777777" w:rsidR="00887CE7" w:rsidRPr="00AE080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Legal and comparative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analysis;</w:t>
            </w:r>
            <w:proofErr w:type="gramEnd"/>
          </w:p>
          <w:p w14:paraId="0EFDDD93" w14:textId="77777777" w:rsidR="00887CE7" w:rsidRPr="00B6693E" w:rsidRDefault="00305C04">
            <w:pPr>
              <w:spacing w:after="0" w:line="240" w:lineRule="auto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Legal acts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study;</w:t>
            </w:r>
            <w:proofErr w:type="gramEnd"/>
          </w:p>
          <w:p w14:paraId="3C2A0407" w14:textId="77777777" w:rsidR="00887CE7" w:rsidRPr="00AE0807" w:rsidRDefault="00305C0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Active learning methods (Learning-by-doing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);</w:t>
            </w:r>
            <w:proofErr w:type="gramEnd"/>
          </w:p>
          <w:p w14:paraId="32E96027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693E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B6693E">
              <w:rPr>
                <w:rFonts w:ascii="Arial" w:hAnsi="Arial" w:cs="Arial"/>
                <w:sz w:val="20"/>
                <w:szCs w:val="20"/>
              </w:rPr>
              <w:t xml:space="preserve"> d</w:t>
            </w:r>
            <w:proofErr w:type="spell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iscussion</w:t>
            </w:r>
            <w:proofErr w:type="spellEnd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887CE7" w:rsidRPr="0044246A" w14:paraId="485ED486" w14:textId="77777777">
        <w:trPr>
          <w:trHeight w:val="177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2B767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453" w:type="dxa"/>
              <w:bottom w:w="80" w:type="dxa"/>
              <w:right w:w="80" w:type="dxa"/>
            </w:tcMar>
          </w:tcPr>
          <w:p w14:paraId="3812AF21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Fonts w:ascii="Arial" w:hAnsi="Arial" w:cs="Arial"/>
                <w:sz w:val="20"/>
                <w:szCs w:val="20"/>
                <w:lang w:val="en-US"/>
              </w:rPr>
              <w:t>K_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W_01, class – final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3FD54E1E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K_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W_04, class – final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7522B986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K_W_09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, class – final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503447B5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K_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W_13, class – final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00AFD8AE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E0807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K_</w:t>
            </w: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U_02, class – final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75182A3A" w14:textId="77777777" w:rsidR="00887CE7" w:rsidRPr="00AE0807" w:rsidRDefault="00305C04">
            <w:pPr>
              <w:spacing w:after="0" w:line="240" w:lineRule="auto"/>
              <w:ind w:left="373" w:hanging="373"/>
              <w:rPr>
                <w:rStyle w:val="span9"/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 xml:space="preserve">K_K_05, class – final </w:t>
            </w:r>
            <w:proofErr w:type="gramStart"/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paper;</w:t>
            </w:r>
            <w:proofErr w:type="gramEnd"/>
          </w:p>
          <w:p w14:paraId="3B18FAEB" w14:textId="77777777" w:rsidR="00887CE7" w:rsidRPr="00AE0807" w:rsidRDefault="00305C04">
            <w:pPr>
              <w:spacing w:after="0" w:line="240" w:lineRule="auto"/>
              <w:ind w:left="373" w:hanging="37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K_K_09, class – final paper.</w:t>
            </w:r>
          </w:p>
        </w:tc>
      </w:tr>
      <w:tr w:rsidR="00887CE7" w:rsidRPr="00B6693E" w14:paraId="289E73FD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BF9A2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BDB3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887CE7" w:rsidRPr="00B6693E" w14:paraId="302A4A73" w14:textId="77777777">
        <w:trPr>
          <w:trHeight w:val="23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48354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F263A" w14:textId="77777777" w:rsidR="00887CE7" w:rsidRPr="00B6693E" w:rsidRDefault="00305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693E">
              <w:rPr>
                <w:rStyle w:val="span9"/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</w:tbl>
    <w:p w14:paraId="6176ED46" w14:textId="77777777" w:rsidR="00887CE7" w:rsidRPr="00B6693E" w:rsidRDefault="00887CE7">
      <w:pPr>
        <w:widowControl w:val="0"/>
        <w:spacing w:line="240" w:lineRule="auto"/>
        <w:ind w:left="163" w:hanging="163"/>
        <w:rPr>
          <w:rFonts w:ascii="Arial" w:hAnsi="Arial" w:cs="Arial"/>
          <w:sz w:val="20"/>
          <w:szCs w:val="20"/>
        </w:rPr>
      </w:pPr>
    </w:p>
    <w:sectPr w:rsidR="00887CE7" w:rsidRPr="00B6693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8953" w14:textId="77777777" w:rsidR="00E253BE" w:rsidRDefault="00E253BE">
      <w:pPr>
        <w:spacing w:after="0" w:line="240" w:lineRule="auto"/>
      </w:pPr>
      <w:r>
        <w:separator/>
      </w:r>
    </w:p>
  </w:endnote>
  <w:endnote w:type="continuationSeparator" w:id="0">
    <w:p w14:paraId="0D852AC2" w14:textId="77777777" w:rsidR="00E253BE" w:rsidRDefault="00E2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BDBC" w14:textId="77777777" w:rsidR="00887CE7" w:rsidRDefault="00887CE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34A2" w14:textId="77777777" w:rsidR="00E253BE" w:rsidRDefault="00E253BE">
      <w:pPr>
        <w:spacing w:after="0" w:line="240" w:lineRule="auto"/>
      </w:pPr>
      <w:r>
        <w:separator/>
      </w:r>
    </w:p>
  </w:footnote>
  <w:footnote w:type="continuationSeparator" w:id="0">
    <w:p w14:paraId="2F0A5A0E" w14:textId="77777777" w:rsidR="00E253BE" w:rsidRDefault="00E2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5CC5" w14:textId="77777777" w:rsidR="00887CE7" w:rsidRDefault="00887CE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4A1"/>
    <w:multiLevelType w:val="hybridMultilevel"/>
    <w:tmpl w:val="F0DCB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00FC"/>
    <w:multiLevelType w:val="hybridMultilevel"/>
    <w:tmpl w:val="038C89E0"/>
    <w:lvl w:ilvl="0" w:tplc="E604B7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2E1D5C">
      <w:start w:val="1"/>
      <w:numFmt w:val="lowerLetter"/>
      <w:lvlText w:val="%2."/>
      <w:lvlJc w:val="left"/>
      <w:pPr>
        <w:ind w:left="9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A5020">
      <w:start w:val="1"/>
      <w:numFmt w:val="lowerRoman"/>
      <w:lvlText w:val="%3."/>
      <w:lvlJc w:val="left"/>
      <w:pPr>
        <w:ind w:left="167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48F8E">
      <w:start w:val="1"/>
      <w:numFmt w:val="decimal"/>
      <w:lvlText w:val="%4."/>
      <w:lvlJc w:val="left"/>
      <w:pPr>
        <w:ind w:left="239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AAC52">
      <w:start w:val="1"/>
      <w:numFmt w:val="lowerLetter"/>
      <w:lvlText w:val="%5."/>
      <w:lvlJc w:val="left"/>
      <w:pPr>
        <w:ind w:left="311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618B4">
      <w:start w:val="1"/>
      <w:numFmt w:val="lowerRoman"/>
      <w:lvlText w:val="%6."/>
      <w:lvlJc w:val="left"/>
      <w:pPr>
        <w:ind w:left="383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D0648C">
      <w:start w:val="1"/>
      <w:numFmt w:val="decimal"/>
      <w:lvlText w:val="%7."/>
      <w:lvlJc w:val="left"/>
      <w:pPr>
        <w:ind w:left="455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220426">
      <w:start w:val="1"/>
      <w:numFmt w:val="lowerLetter"/>
      <w:lvlText w:val="%8."/>
      <w:lvlJc w:val="left"/>
      <w:pPr>
        <w:ind w:left="527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8EBC92">
      <w:start w:val="1"/>
      <w:numFmt w:val="lowerRoman"/>
      <w:lvlText w:val="%9."/>
      <w:lvlJc w:val="left"/>
      <w:pPr>
        <w:ind w:left="5992" w:hanging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98341C"/>
    <w:multiLevelType w:val="multilevel"/>
    <w:tmpl w:val="BA0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D3EE3"/>
    <w:multiLevelType w:val="multilevel"/>
    <w:tmpl w:val="B22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776331">
    <w:abstractNumId w:val="1"/>
  </w:num>
  <w:num w:numId="2" w16cid:durableId="1381632332">
    <w:abstractNumId w:val="2"/>
  </w:num>
  <w:num w:numId="3" w16cid:durableId="1761483942">
    <w:abstractNumId w:val="3"/>
  </w:num>
  <w:num w:numId="4" w16cid:durableId="9452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szQyNLIwMzW3MDZU0lEKTi0uzszPAykwqQUAW374EiwAAAA="/>
  </w:docVars>
  <w:rsids>
    <w:rsidRoot w:val="00887CE7"/>
    <w:rsid w:val="000225FD"/>
    <w:rsid w:val="000D496C"/>
    <w:rsid w:val="001157CB"/>
    <w:rsid w:val="001374C7"/>
    <w:rsid w:val="001766AE"/>
    <w:rsid w:val="001D07F7"/>
    <w:rsid w:val="001F3D09"/>
    <w:rsid w:val="001F5CCD"/>
    <w:rsid w:val="00212DD9"/>
    <w:rsid w:val="00232A47"/>
    <w:rsid w:val="002350F8"/>
    <w:rsid w:val="00241633"/>
    <w:rsid w:val="00256458"/>
    <w:rsid w:val="00297C0D"/>
    <w:rsid w:val="002C66A5"/>
    <w:rsid w:val="002C7A1E"/>
    <w:rsid w:val="002E5F39"/>
    <w:rsid w:val="00305C04"/>
    <w:rsid w:val="00342B60"/>
    <w:rsid w:val="00342B65"/>
    <w:rsid w:val="003448C8"/>
    <w:rsid w:val="00390183"/>
    <w:rsid w:val="003A2EFC"/>
    <w:rsid w:val="003A5FD2"/>
    <w:rsid w:val="003E074D"/>
    <w:rsid w:val="003E6571"/>
    <w:rsid w:val="003F554F"/>
    <w:rsid w:val="00401FFE"/>
    <w:rsid w:val="004252CB"/>
    <w:rsid w:val="0044246A"/>
    <w:rsid w:val="004C30F8"/>
    <w:rsid w:val="004C3981"/>
    <w:rsid w:val="004C4E66"/>
    <w:rsid w:val="004F4CBA"/>
    <w:rsid w:val="005256A9"/>
    <w:rsid w:val="00553724"/>
    <w:rsid w:val="0056279F"/>
    <w:rsid w:val="00570216"/>
    <w:rsid w:val="005A0E83"/>
    <w:rsid w:val="005B01BA"/>
    <w:rsid w:val="005B0A8A"/>
    <w:rsid w:val="005C74F9"/>
    <w:rsid w:val="005E7403"/>
    <w:rsid w:val="00604630"/>
    <w:rsid w:val="006246A3"/>
    <w:rsid w:val="006300C3"/>
    <w:rsid w:val="00666FE7"/>
    <w:rsid w:val="00677210"/>
    <w:rsid w:val="006A6062"/>
    <w:rsid w:val="006B6D22"/>
    <w:rsid w:val="00700AA3"/>
    <w:rsid w:val="00752330"/>
    <w:rsid w:val="00772E95"/>
    <w:rsid w:val="00792BF7"/>
    <w:rsid w:val="007A6F23"/>
    <w:rsid w:val="007B140A"/>
    <w:rsid w:val="007E5B27"/>
    <w:rsid w:val="00802DCA"/>
    <w:rsid w:val="008270EF"/>
    <w:rsid w:val="0087597B"/>
    <w:rsid w:val="00887CE7"/>
    <w:rsid w:val="008B0049"/>
    <w:rsid w:val="008D5C4D"/>
    <w:rsid w:val="008E7E8C"/>
    <w:rsid w:val="008F2092"/>
    <w:rsid w:val="009047DD"/>
    <w:rsid w:val="0091377D"/>
    <w:rsid w:val="00927291"/>
    <w:rsid w:val="00935FFF"/>
    <w:rsid w:val="00946378"/>
    <w:rsid w:val="00962B1E"/>
    <w:rsid w:val="009C1AC0"/>
    <w:rsid w:val="00A179DE"/>
    <w:rsid w:val="00A17F2C"/>
    <w:rsid w:val="00A80CAE"/>
    <w:rsid w:val="00A817FC"/>
    <w:rsid w:val="00A81F1F"/>
    <w:rsid w:val="00A87FDE"/>
    <w:rsid w:val="00AD0667"/>
    <w:rsid w:val="00AD0860"/>
    <w:rsid w:val="00AE0807"/>
    <w:rsid w:val="00AF498F"/>
    <w:rsid w:val="00B6693E"/>
    <w:rsid w:val="00B70292"/>
    <w:rsid w:val="00BE42E6"/>
    <w:rsid w:val="00C21DF5"/>
    <w:rsid w:val="00C4626D"/>
    <w:rsid w:val="00C52C3A"/>
    <w:rsid w:val="00C5346C"/>
    <w:rsid w:val="00C608A4"/>
    <w:rsid w:val="00C62483"/>
    <w:rsid w:val="00C90B98"/>
    <w:rsid w:val="00CC2A0B"/>
    <w:rsid w:val="00CE2F8A"/>
    <w:rsid w:val="00D1606F"/>
    <w:rsid w:val="00D5730B"/>
    <w:rsid w:val="00D836D9"/>
    <w:rsid w:val="00DB5296"/>
    <w:rsid w:val="00E01FED"/>
    <w:rsid w:val="00E1735D"/>
    <w:rsid w:val="00E253BE"/>
    <w:rsid w:val="00E55F1D"/>
    <w:rsid w:val="00E66EDC"/>
    <w:rsid w:val="00EA4691"/>
    <w:rsid w:val="00ED2CE3"/>
    <w:rsid w:val="00EE2FC6"/>
    <w:rsid w:val="00EF36A8"/>
    <w:rsid w:val="00EF71DF"/>
    <w:rsid w:val="00F52232"/>
    <w:rsid w:val="00F55AC2"/>
    <w:rsid w:val="00F6126D"/>
    <w:rsid w:val="00F738A0"/>
    <w:rsid w:val="00FD4700"/>
    <w:rsid w:val="00FE1CD4"/>
    <w:rsid w:val="00FF1FF8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BD61"/>
  <w15:docId w15:val="{64CED61A-07D3-469C-A0AD-29D5887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pan9">
    <w:name w:val="span9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Jarosław Kostrubiec</cp:lastModifiedBy>
  <cp:revision>2</cp:revision>
  <dcterms:created xsi:type="dcterms:W3CDTF">2022-09-07T09:52:00Z</dcterms:created>
  <dcterms:modified xsi:type="dcterms:W3CDTF">2022-09-07T09:52:00Z</dcterms:modified>
</cp:coreProperties>
</file>