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66" w:rsidRPr="00F53066" w:rsidRDefault="005C2901" w:rsidP="0046164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lang w:val="pl-PL"/>
        </w:rPr>
        <w:t>Wy</w:t>
      </w:r>
      <w:r w:rsidR="00F53066" w:rsidRPr="00F53066">
        <w:rPr>
          <w:rFonts w:ascii="Times New Roman" w:hAnsi="Times New Roman" w:cs="Times New Roman"/>
          <w:b/>
          <w:sz w:val="28"/>
          <w:szCs w:val="28"/>
          <w:lang w:val="pl-PL"/>
        </w:rPr>
        <w:t>zwania związane z bezpieczeństwem żywnościowym</w:t>
      </w:r>
      <w:r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  <w:r w:rsidR="00321A43">
        <w:rPr>
          <w:rFonts w:ascii="Times New Roman" w:hAnsi="Times New Roman" w:cs="Times New Roman"/>
          <w:b/>
          <w:sz w:val="28"/>
          <w:szCs w:val="28"/>
          <w:lang w:val="pl-PL"/>
        </w:rPr>
        <w:br/>
      </w:r>
    </w:p>
    <w:p w:rsidR="00C75EBE" w:rsidRPr="00C75EBE" w:rsidRDefault="00C75EBE" w:rsidP="00461645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 w:rsidRPr="00C75EBE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Kluczowe źródła zagrożeń bezpieczeństwa żywnościowego</w:t>
      </w:r>
    </w:p>
    <w:p w:rsidR="00A96852" w:rsidRDefault="00A96852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czasie trwania wojny Rosji z Ukrainą</w:t>
      </w:r>
      <w:r w:rsidR="00E20F22">
        <w:rPr>
          <w:rFonts w:ascii="Times New Roman" w:hAnsi="Times New Roman" w:cs="Times New Roman"/>
          <w:sz w:val="24"/>
          <w:szCs w:val="24"/>
          <w:lang w:val="pl-PL"/>
        </w:rPr>
        <w:t xml:space="preserve"> (1)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dwóch krajów, które są znaczącymi producentami i eksporterami zbóż na świecie, zagadnienie bezpieczeństwa żywnościowego zyskało na popularności w Polsce. </w:t>
      </w:r>
      <w:r w:rsidR="00053684">
        <w:rPr>
          <w:rFonts w:ascii="Times New Roman" w:hAnsi="Times New Roman" w:cs="Times New Roman"/>
          <w:sz w:val="24"/>
          <w:szCs w:val="24"/>
          <w:lang w:val="pl-PL"/>
        </w:rPr>
        <w:t>Wiel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e osób</w:t>
      </w:r>
      <w:r w:rsidR="000536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dziś </w:t>
      </w:r>
      <w:r w:rsidR="00D22D2A">
        <w:rPr>
          <w:rFonts w:ascii="Times New Roman" w:hAnsi="Times New Roman" w:cs="Times New Roman"/>
          <w:sz w:val="24"/>
          <w:szCs w:val="24"/>
          <w:lang w:val="pl-PL"/>
        </w:rPr>
        <w:t>wie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22D2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co oznacza bezpieczeństwo żywnościowe, co więcej, na podstawie informacji 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 xml:space="preserve">przekazywanych przez </w:t>
      </w:r>
      <w:r>
        <w:rPr>
          <w:rFonts w:ascii="Times New Roman" w:hAnsi="Times New Roman" w:cs="Times New Roman"/>
          <w:sz w:val="24"/>
          <w:szCs w:val="24"/>
          <w:lang w:val="pl-PL"/>
        </w:rPr>
        <w:t>medi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 xml:space="preserve">a liczne grona prowadzą dyskusje na temat zagrażającego nam lub innym krajom świata braku </w:t>
      </w:r>
      <w:r w:rsidR="00122AE4" w:rsidRPr="00122AE4">
        <w:rPr>
          <w:rFonts w:ascii="Times New Roman" w:hAnsi="Times New Roman" w:cs="Times New Roman"/>
          <w:sz w:val="24"/>
          <w:szCs w:val="24"/>
          <w:lang w:val="pl-PL"/>
        </w:rPr>
        <w:t>dostęp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22AE4" w:rsidRPr="00122AE4">
        <w:rPr>
          <w:rFonts w:ascii="Times New Roman" w:hAnsi="Times New Roman" w:cs="Times New Roman"/>
          <w:sz w:val="24"/>
          <w:szCs w:val="24"/>
          <w:lang w:val="pl-PL"/>
        </w:rPr>
        <w:t xml:space="preserve"> do wystarczającej ilo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="00122AE4" w:rsidRPr="00122AE4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22AE4" w:rsidRPr="00122AE4">
        <w:rPr>
          <w:rFonts w:ascii="Times New Roman" w:hAnsi="Times New Roman" w:cs="Times New Roman"/>
          <w:sz w:val="24"/>
          <w:szCs w:val="24"/>
          <w:lang w:val="pl-PL"/>
        </w:rPr>
        <w:t>bezpiecznej i pożywnej żywno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>ś</w:t>
      </w:r>
      <w:r w:rsidR="00122AE4" w:rsidRPr="00122AE4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 xml:space="preserve">. Zarówno 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restrykcje wprowadzane w </w:t>
      </w:r>
      <w:r w:rsidR="00E20F22">
        <w:rPr>
          <w:rFonts w:ascii="Times New Roman" w:hAnsi="Times New Roman" w:cs="Times New Roman"/>
          <w:sz w:val="24"/>
          <w:szCs w:val="24"/>
          <w:lang w:val="pl-PL"/>
        </w:rPr>
        <w:t xml:space="preserve">związku z trwaniem 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>pandemi</w:t>
      </w:r>
      <w:r w:rsidR="00E20F22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 xml:space="preserve"> COVID-19</w:t>
      </w:r>
      <w:r w:rsidR="00E20F22">
        <w:rPr>
          <w:rFonts w:ascii="Times New Roman" w:hAnsi="Times New Roman" w:cs="Times New Roman"/>
          <w:sz w:val="24"/>
          <w:szCs w:val="24"/>
          <w:lang w:val="pl-PL"/>
        </w:rPr>
        <w:t xml:space="preserve"> (2)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 xml:space="preserve">, jak i 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zmiany klimatu zachodzące w </w:t>
      </w:r>
      <w:proofErr w:type="spellStart"/>
      <w:r w:rsidR="00E20F22">
        <w:rPr>
          <w:rFonts w:ascii="Times New Roman" w:hAnsi="Times New Roman" w:cs="Times New Roman"/>
          <w:sz w:val="24"/>
          <w:szCs w:val="24"/>
          <w:lang w:val="pl-PL"/>
        </w:rPr>
        <w:t>antropocenie</w:t>
      </w:r>
      <w:proofErr w:type="spellEnd"/>
      <w:r w:rsidR="004B287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E20F22">
        <w:rPr>
          <w:rFonts w:ascii="Times New Roman" w:hAnsi="Times New Roman" w:cs="Times New Roman"/>
          <w:sz w:val="24"/>
          <w:szCs w:val="24"/>
          <w:lang w:val="pl-PL"/>
        </w:rPr>
        <w:t>(3), czyli epoce człowieka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E20F22">
        <w:rPr>
          <w:rFonts w:ascii="Times New Roman" w:hAnsi="Times New Roman" w:cs="Times New Roman"/>
          <w:sz w:val="24"/>
          <w:szCs w:val="24"/>
          <w:lang w:val="pl-PL"/>
        </w:rPr>
        <w:t xml:space="preserve"> zwiększają p</w:t>
      </w:r>
      <w:r w:rsidR="00122AE4">
        <w:rPr>
          <w:rFonts w:ascii="Times New Roman" w:hAnsi="Times New Roman" w:cs="Times New Roman"/>
          <w:sz w:val="24"/>
          <w:szCs w:val="24"/>
          <w:lang w:val="pl-PL"/>
        </w:rPr>
        <w:t>roblem ewentualnego braku bezpieczeństwa żywnościowego</w:t>
      </w:r>
      <w:r w:rsidR="00E20F22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6A2B64">
        <w:rPr>
          <w:rFonts w:ascii="Times New Roman" w:hAnsi="Times New Roman" w:cs="Times New Roman"/>
          <w:sz w:val="24"/>
          <w:szCs w:val="24"/>
          <w:lang w:val="pl-PL"/>
        </w:rPr>
        <w:t>Wydaje się, że t</w:t>
      </w:r>
      <w:r w:rsidR="00E20F22">
        <w:rPr>
          <w:rFonts w:ascii="Times New Roman" w:hAnsi="Times New Roman" w:cs="Times New Roman"/>
          <w:sz w:val="24"/>
          <w:szCs w:val="24"/>
          <w:lang w:val="pl-PL"/>
        </w:rPr>
        <w:t xml:space="preserve">e trzy ważne uwarunkowania, które jednocześnie </w:t>
      </w:r>
      <w:r w:rsidR="0010509D">
        <w:rPr>
          <w:rFonts w:ascii="Times New Roman" w:hAnsi="Times New Roman" w:cs="Times New Roman"/>
          <w:sz w:val="24"/>
          <w:szCs w:val="24"/>
          <w:lang w:val="pl-PL"/>
        </w:rPr>
        <w:t>istotnie wpływają na sytuację</w:t>
      </w:r>
      <w:r w:rsidR="00C53862">
        <w:rPr>
          <w:rFonts w:ascii="Times New Roman" w:hAnsi="Times New Roman" w:cs="Times New Roman"/>
          <w:sz w:val="24"/>
          <w:szCs w:val="24"/>
          <w:lang w:val="pl-PL"/>
        </w:rPr>
        <w:t xml:space="preserve"> gospodarczą i </w:t>
      </w:r>
      <w:r w:rsidR="0010509D">
        <w:rPr>
          <w:rFonts w:ascii="Times New Roman" w:hAnsi="Times New Roman" w:cs="Times New Roman"/>
          <w:sz w:val="24"/>
          <w:szCs w:val="24"/>
          <w:lang w:val="pl-PL"/>
        </w:rPr>
        <w:t>polityczn</w:t>
      </w:r>
      <w:r w:rsidR="003810CE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10509D">
        <w:rPr>
          <w:rFonts w:ascii="Times New Roman" w:hAnsi="Times New Roman" w:cs="Times New Roman"/>
          <w:sz w:val="24"/>
          <w:szCs w:val="24"/>
          <w:lang w:val="pl-PL"/>
        </w:rPr>
        <w:t xml:space="preserve"> na świecie, </w:t>
      </w:r>
      <w:r w:rsidR="006A2B64">
        <w:rPr>
          <w:rFonts w:ascii="Times New Roman" w:hAnsi="Times New Roman" w:cs="Times New Roman"/>
          <w:sz w:val="24"/>
          <w:szCs w:val="24"/>
          <w:lang w:val="pl-PL"/>
        </w:rPr>
        <w:t xml:space="preserve">należy łącznie uwzględniać </w:t>
      </w:r>
      <w:r w:rsidR="00FA3A2B">
        <w:rPr>
          <w:rFonts w:ascii="Times New Roman" w:hAnsi="Times New Roman" w:cs="Times New Roman"/>
          <w:sz w:val="24"/>
          <w:szCs w:val="24"/>
          <w:lang w:val="pl-PL"/>
        </w:rPr>
        <w:t>we wszelkich</w:t>
      </w:r>
      <w:r w:rsidR="006A2B6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509D">
        <w:rPr>
          <w:rFonts w:ascii="Times New Roman" w:hAnsi="Times New Roman" w:cs="Times New Roman"/>
          <w:sz w:val="24"/>
          <w:szCs w:val="24"/>
          <w:lang w:val="pl-PL"/>
        </w:rPr>
        <w:t>analizach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 xml:space="preserve"> dotyczących bezpieczeństwa żywnościowego</w:t>
      </w:r>
      <w:r w:rsidR="0010509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A3A2B">
        <w:rPr>
          <w:rFonts w:ascii="Times New Roman" w:hAnsi="Times New Roman" w:cs="Times New Roman"/>
          <w:sz w:val="24"/>
          <w:szCs w:val="24"/>
          <w:lang w:val="pl-PL"/>
        </w:rPr>
        <w:t xml:space="preserve">Ważne jest, aby pamiętać, że </w:t>
      </w:r>
      <w:r w:rsidR="0010509D">
        <w:rPr>
          <w:rFonts w:ascii="Times New Roman" w:hAnsi="Times New Roman" w:cs="Times New Roman"/>
          <w:sz w:val="24"/>
          <w:szCs w:val="24"/>
          <w:lang w:val="pl-PL"/>
        </w:rPr>
        <w:t xml:space="preserve">Polska też jest graczem w tworzeniu </w:t>
      </w:r>
      <w:r w:rsidR="0010509D" w:rsidRPr="0010509D">
        <w:rPr>
          <w:rFonts w:ascii="Times New Roman" w:hAnsi="Times New Roman" w:cs="Times New Roman"/>
          <w:sz w:val="24"/>
          <w:szCs w:val="24"/>
          <w:lang w:val="pl-PL"/>
        </w:rPr>
        <w:t>współczesn</w:t>
      </w:r>
      <w:r w:rsidR="0010509D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10509D" w:rsidRPr="0010509D">
        <w:rPr>
          <w:rFonts w:ascii="Times New Roman" w:hAnsi="Times New Roman" w:cs="Times New Roman"/>
          <w:sz w:val="24"/>
          <w:szCs w:val="24"/>
          <w:lang w:val="pl-PL"/>
        </w:rPr>
        <w:t xml:space="preserve"> ład</w:t>
      </w:r>
      <w:r w:rsidR="0010509D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10509D" w:rsidRPr="0010509D">
        <w:rPr>
          <w:rFonts w:ascii="Times New Roman" w:hAnsi="Times New Roman" w:cs="Times New Roman"/>
          <w:sz w:val="24"/>
          <w:szCs w:val="24"/>
          <w:lang w:val="pl-PL"/>
        </w:rPr>
        <w:t xml:space="preserve"> międzynarodow</w:t>
      </w:r>
      <w:r w:rsidR="0010509D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="00FA3A2B">
        <w:rPr>
          <w:rFonts w:ascii="Times New Roman" w:hAnsi="Times New Roman" w:cs="Times New Roman"/>
          <w:sz w:val="24"/>
          <w:szCs w:val="24"/>
          <w:lang w:val="pl-PL"/>
        </w:rPr>
        <w:t xml:space="preserve">, a zadaniem państwa (realizowanym przez rząd) jest </w:t>
      </w:r>
      <w:r w:rsidR="00FA3A2B" w:rsidRPr="00FA3A2B">
        <w:rPr>
          <w:rFonts w:ascii="Times New Roman" w:hAnsi="Times New Roman" w:cs="Times New Roman"/>
          <w:sz w:val="24"/>
          <w:szCs w:val="24"/>
          <w:lang w:val="pl-PL"/>
        </w:rPr>
        <w:t>tros</w:t>
      </w:r>
      <w:r w:rsidR="00FA3A2B">
        <w:rPr>
          <w:rFonts w:ascii="Times New Roman" w:hAnsi="Times New Roman" w:cs="Times New Roman"/>
          <w:sz w:val="24"/>
          <w:szCs w:val="24"/>
          <w:lang w:val="pl-PL"/>
        </w:rPr>
        <w:t xml:space="preserve">ka 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o prawa i </w:t>
      </w:r>
      <w:r w:rsidR="00FA3A2B" w:rsidRPr="00FA3A2B">
        <w:rPr>
          <w:rFonts w:ascii="Times New Roman" w:hAnsi="Times New Roman" w:cs="Times New Roman"/>
          <w:sz w:val="24"/>
          <w:szCs w:val="24"/>
          <w:lang w:val="pl-PL"/>
        </w:rPr>
        <w:t>interesy</w:t>
      </w:r>
      <w:r w:rsidR="00FA3A2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1054">
        <w:rPr>
          <w:rFonts w:ascii="Times New Roman" w:hAnsi="Times New Roman" w:cs="Times New Roman"/>
          <w:sz w:val="24"/>
          <w:szCs w:val="24"/>
          <w:lang w:val="pl-PL"/>
        </w:rPr>
        <w:t xml:space="preserve">swoich </w:t>
      </w:r>
      <w:r w:rsidR="00FA3A2B">
        <w:rPr>
          <w:rFonts w:ascii="Times New Roman" w:hAnsi="Times New Roman" w:cs="Times New Roman"/>
          <w:sz w:val="24"/>
          <w:szCs w:val="24"/>
          <w:lang w:val="pl-PL"/>
        </w:rPr>
        <w:t xml:space="preserve">obywateli, w tym ich prawo do odpowiedniej </w:t>
      </w:r>
      <w:r w:rsidR="00693132">
        <w:rPr>
          <w:rFonts w:ascii="Times New Roman" w:hAnsi="Times New Roman" w:cs="Times New Roman"/>
          <w:sz w:val="24"/>
          <w:szCs w:val="24"/>
          <w:lang w:val="pl-PL"/>
        </w:rPr>
        <w:t>ż</w:t>
      </w:r>
      <w:r w:rsidR="00FA3A2B">
        <w:rPr>
          <w:rFonts w:ascii="Times New Roman" w:hAnsi="Times New Roman" w:cs="Times New Roman"/>
          <w:sz w:val="24"/>
          <w:szCs w:val="24"/>
          <w:lang w:val="pl-PL"/>
        </w:rPr>
        <w:t>ywności.</w:t>
      </w:r>
    </w:p>
    <w:p w:rsidR="00185B89" w:rsidRDefault="00CD0223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To p</w:t>
      </w:r>
      <w:r w:rsidR="001858A2" w:rsidRPr="00A96852">
        <w:rPr>
          <w:rFonts w:ascii="Times New Roman" w:hAnsi="Times New Roman" w:cs="Times New Roman"/>
          <w:sz w:val="24"/>
          <w:szCs w:val="24"/>
          <w:lang w:val="pl-PL"/>
        </w:rPr>
        <w:t xml:space="preserve">szenica </w:t>
      </w:r>
      <w:r w:rsidR="00A96852" w:rsidRPr="00A96852">
        <w:rPr>
          <w:rFonts w:ascii="Times New Roman" w:hAnsi="Times New Roman" w:cs="Times New Roman"/>
          <w:sz w:val="24"/>
          <w:szCs w:val="24"/>
          <w:lang w:val="pl-PL"/>
        </w:rPr>
        <w:t xml:space="preserve">stanowi 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="00A96852" w:rsidRPr="00A96852">
        <w:rPr>
          <w:rFonts w:ascii="Times New Roman" w:hAnsi="Times New Roman" w:cs="Times New Roman"/>
          <w:sz w:val="24"/>
          <w:szCs w:val="24"/>
          <w:lang w:val="pl-PL"/>
        </w:rPr>
        <w:t>epicentrum” globalnego bezpieczeń</w:t>
      </w:r>
      <w:r w:rsidR="00A96852">
        <w:rPr>
          <w:rFonts w:ascii="Times New Roman" w:hAnsi="Times New Roman" w:cs="Times New Roman"/>
          <w:sz w:val="24"/>
          <w:szCs w:val="24"/>
          <w:lang w:val="pl-PL"/>
        </w:rPr>
        <w:t>stwa żywnościowego</w:t>
      </w:r>
      <w:r w:rsidR="00181E97">
        <w:rPr>
          <w:rFonts w:ascii="Times New Roman" w:hAnsi="Times New Roman" w:cs="Times New Roman"/>
          <w:sz w:val="24"/>
          <w:szCs w:val="24"/>
          <w:lang w:val="pl-PL"/>
        </w:rPr>
        <w:t>. Powierzchnia jej upraw stanowi 30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81E97">
        <w:rPr>
          <w:rFonts w:ascii="Times New Roman" w:hAnsi="Times New Roman" w:cs="Times New Roman"/>
          <w:sz w:val="24"/>
          <w:szCs w:val="24"/>
          <w:lang w:val="pl-PL"/>
        </w:rPr>
        <w:t>6% światowej powierzchni zbóż (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kolejne miejsca</w:t>
      </w:r>
      <w:r w:rsidR="00181E97">
        <w:rPr>
          <w:rFonts w:ascii="Times New Roman" w:hAnsi="Times New Roman" w:cs="Times New Roman"/>
          <w:sz w:val="24"/>
          <w:szCs w:val="24"/>
          <w:lang w:val="pl-PL"/>
        </w:rPr>
        <w:t xml:space="preserve"> zajmuj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181E97">
        <w:rPr>
          <w:rFonts w:ascii="Times New Roman" w:hAnsi="Times New Roman" w:cs="Times New Roman"/>
          <w:sz w:val="24"/>
          <w:szCs w:val="24"/>
          <w:lang w:val="pl-PL"/>
        </w:rPr>
        <w:t xml:space="preserve"> kukurydza 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181E97" w:rsidRPr="00181E97">
        <w:rPr>
          <w:rFonts w:ascii="Times New Roman" w:hAnsi="Times New Roman" w:cs="Times New Roman"/>
          <w:sz w:val="24"/>
          <w:szCs w:val="24"/>
          <w:lang w:val="pl-PL"/>
        </w:rPr>
        <w:t>26,7</w:t>
      </w:r>
      <w:r w:rsidR="00181E97">
        <w:rPr>
          <w:rFonts w:ascii="Times New Roman" w:hAnsi="Times New Roman" w:cs="Times New Roman"/>
          <w:sz w:val="24"/>
          <w:szCs w:val="24"/>
          <w:lang w:val="pl-PL"/>
        </w:rPr>
        <w:t>%</w:t>
      </w:r>
      <w:r w:rsidR="00181E97" w:rsidRPr="00181E97">
        <w:rPr>
          <w:rFonts w:ascii="Times New Roman" w:hAnsi="Times New Roman" w:cs="Times New Roman"/>
          <w:sz w:val="24"/>
          <w:szCs w:val="24"/>
          <w:lang w:val="pl-PL"/>
        </w:rPr>
        <w:t xml:space="preserve"> i ryż</w:t>
      </w:r>
      <w:r w:rsidR="00181E9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="00181E97" w:rsidRPr="00181E97">
        <w:rPr>
          <w:rFonts w:ascii="Times New Roman" w:hAnsi="Times New Roman" w:cs="Times New Roman"/>
          <w:sz w:val="24"/>
          <w:szCs w:val="24"/>
          <w:lang w:val="pl-PL"/>
        </w:rPr>
        <w:t>22,6</w:t>
      </w:r>
      <w:r w:rsidR="00181E97">
        <w:rPr>
          <w:rFonts w:ascii="Times New Roman" w:hAnsi="Times New Roman" w:cs="Times New Roman"/>
          <w:sz w:val="24"/>
          <w:szCs w:val="24"/>
          <w:lang w:val="pl-PL"/>
        </w:rPr>
        <w:t>%</w:t>
      </w:r>
      <w:r w:rsidR="00DE13C4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96852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85B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0A2DBF" w:rsidRPr="000A2DBF" w:rsidRDefault="000A2DBF" w:rsidP="00461645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Łagodzenie skutków </w:t>
      </w:r>
      <w:r w:rsidRPr="000A2DBF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pandemi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i</w:t>
      </w:r>
      <w:r w:rsidRPr="000A2DBF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 COVID-19 a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ekonomiczna dostępność żywności </w:t>
      </w:r>
    </w:p>
    <w:p w:rsidR="003810CE" w:rsidRDefault="00185B89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Już w marcu 2020 </w:t>
      </w:r>
      <w:r w:rsidR="000E62AC">
        <w:rPr>
          <w:rFonts w:ascii="Times New Roman" w:hAnsi="Times New Roman" w:cs="Times New Roman"/>
          <w:sz w:val="24"/>
          <w:szCs w:val="24"/>
          <w:lang w:val="pl-PL"/>
        </w:rPr>
        <w:t>r</w:t>
      </w:r>
      <w:r w:rsidR="00A8040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0E62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blisko dwadzieścia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krajów świata </w:t>
      </w:r>
      <w:r w:rsidR="000E62AC">
        <w:rPr>
          <w:rFonts w:ascii="Times New Roman" w:hAnsi="Times New Roman" w:cs="Times New Roman"/>
          <w:sz w:val="24"/>
          <w:szCs w:val="24"/>
          <w:lang w:val="pl-PL"/>
        </w:rPr>
        <w:t xml:space="preserve">(głównie importerów netto towarów rolno-spożywczych o niskim poziomie wyżywienia społeczeństwa)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wprowadziło restrykcje eksportowe </w:t>
      </w:r>
      <w:r w:rsidR="000E62AC" w:rsidRPr="000E62AC">
        <w:rPr>
          <w:rFonts w:ascii="Times New Roman" w:hAnsi="Times New Roman" w:cs="Times New Roman"/>
          <w:sz w:val="24"/>
          <w:szCs w:val="24"/>
          <w:lang w:val="pl-PL"/>
        </w:rPr>
        <w:t>mające na celu zapobieganie wywożeni</w:t>
      </w:r>
      <w:r w:rsidR="009C3F07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0E62AC">
        <w:rPr>
          <w:rFonts w:ascii="Times New Roman" w:hAnsi="Times New Roman" w:cs="Times New Roman"/>
          <w:sz w:val="24"/>
          <w:szCs w:val="24"/>
          <w:lang w:val="pl-PL"/>
        </w:rPr>
        <w:t xml:space="preserve"> surowców rolnych (często podstawowych), ze względu na szacowane ryzyko przerwania global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nych łańcuchów dostaw i </w:t>
      </w:r>
      <w:r w:rsidR="000E62AC">
        <w:rPr>
          <w:rFonts w:ascii="Times New Roman" w:hAnsi="Times New Roman" w:cs="Times New Roman"/>
          <w:sz w:val="24"/>
          <w:szCs w:val="24"/>
          <w:lang w:val="pl-PL"/>
        </w:rPr>
        <w:t>powstania niedoborów.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 xml:space="preserve"> Wśród krajów, które wprowadziły ograniczenia eksportowe na pszenicę, </w:t>
      </w:r>
      <w:r w:rsidR="002C763C">
        <w:rPr>
          <w:rFonts w:ascii="Times New Roman" w:hAnsi="Times New Roman" w:cs="Times New Roman"/>
          <w:sz w:val="24"/>
          <w:szCs w:val="24"/>
          <w:lang w:val="pl-PL"/>
        </w:rPr>
        <w:t xml:space="preserve">nasiona 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>słonecznik</w:t>
      </w:r>
      <w:r w:rsidR="002C763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979BF">
        <w:rPr>
          <w:rFonts w:ascii="Times New Roman" w:hAnsi="Times New Roman" w:cs="Times New Roman"/>
          <w:sz w:val="24"/>
          <w:szCs w:val="24"/>
          <w:lang w:val="pl-PL"/>
        </w:rPr>
        <w:t xml:space="preserve">albo 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>inn</w:t>
      </w:r>
      <w:r w:rsidR="00F979BF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 xml:space="preserve"> produkt</w:t>
      </w:r>
      <w:r w:rsidR="00F979BF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 xml:space="preserve"> roln</w:t>
      </w:r>
      <w:r w:rsidR="00F979BF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 xml:space="preserve"> w marcu </w:t>
      </w:r>
      <w:r w:rsidR="00490D3B">
        <w:rPr>
          <w:rFonts w:ascii="Times New Roman" w:hAnsi="Times New Roman" w:cs="Times New Roman"/>
          <w:sz w:val="24"/>
          <w:szCs w:val="24"/>
          <w:lang w:val="pl-PL"/>
        </w:rPr>
        <w:t xml:space="preserve">lub kwietniu 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="009C3F07">
        <w:rPr>
          <w:rFonts w:ascii="Times New Roman" w:hAnsi="Times New Roman" w:cs="Times New Roman"/>
          <w:sz w:val="24"/>
          <w:szCs w:val="24"/>
          <w:lang w:val="pl-PL"/>
        </w:rPr>
        <w:t xml:space="preserve"> r</w:t>
      </w:r>
      <w:r w:rsidR="00A80405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A8040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 xml:space="preserve">były </w:t>
      </w:r>
      <w:r w:rsidR="00614E62">
        <w:rPr>
          <w:rFonts w:ascii="Times New Roman" w:hAnsi="Times New Roman" w:cs="Times New Roman"/>
          <w:sz w:val="24"/>
          <w:szCs w:val="24"/>
          <w:lang w:val="pl-PL"/>
        </w:rPr>
        <w:t xml:space="preserve">m.in. Gambia, Sudan, Egipt, Pakistan, Kirgistan, Macedonia Północna, 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 xml:space="preserve">Rosja i Ukraina. </w:t>
      </w:r>
      <w:r w:rsidR="00490D3B">
        <w:rPr>
          <w:rFonts w:ascii="Times New Roman" w:hAnsi="Times New Roman" w:cs="Times New Roman"/>
          <w:sz w:val="24"/>
          <w:szCs w:val="24"/>
          <w:lang w:val="pl-PL"/>
        </w:rPr>
        <w:t xml:space="preserve">Przykładowo Rosja wprowadziła ograniczenia w eksporcie pszenicy, cebuli i czosnku na 90 dni, a nasion słonecznika na 61 dni. Ukraina zaś wprowadziła ograniczenia w eksporcie pszenicy na 57 dni, a gryki na 89 dni. 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>Te i inne restrykcje związane z pandemi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 xml:space="preserve"> COVID-19 </w:t>
      </w:r>
      <w:r w:rsidR="00B12C70">
        <w:rPr>
          <w:rFonts w:ascii="Times New Roman" w:hAnsi="Times New Roman" w:cs="Times New Roman"/>
          <w:sz w:val="24"/>
          <w:szCs w:val="24"/>
          <w:lang w:val="pl-PL"/>
        </w:rPr>
        <w:t xml:space="preserve">zakłóciły międzynarodowy handel żywnością, zdestabilizowały rynek oraz spowodowały 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>wzrost cen żywności na rynkach światowych, podobnie jak miało to miejsce w czasie kryzysu 2007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 xml:space="preserve">2008, kiedy zastosowano ograniczenia w eksporcie zbóż i innych produktów w celu </w:t>
      </w:r>
      <w:r w:rsidR="00AD26F4">
        <w:rPr>
          <w:rFonts w:ascii="Times New Roman" w:hAnsi="Times New Roman" w:cs="Times New Roman"/>
          <w:sz w:val="24"/>
          <w:szCs w:val="24"/>
          <w:lang w:val="pl-PL"/>
        </w:rPr>
        <w:t>ha</w:t>
      </w:r>
      <w:r w:rsidR="00FF1AC7">
        <w:rPr>
          <w:rFonts w:ascii="Times New Roman" w:hAnsi="Times New Roman" w:cs="Times New Roman"/>
          <w:sz w:val="24"/>
          <w:szCs w:val="24"/>
          <w:lang w:val="pl-PL"/>
        </w:rPr>
        <w:t>mowania wzrostu cen. Niestety</w:t>
      </w:r>
      <w:r w:rsidR="00AD26F4">
        <w:rPr>
          <w:rFonts w:ascii="Times New Roman" w:hAnsi="Times New Roman" w:cs="Times New Roman"/>
          <w:sz w:val="24"/>
          <w:szCs w:val="24"/>
          <w:lang w:val="pl-PL"/>
        </w:rPr>
        <w:t xml:space="preserve">, ceny rosły </w:t>
      </w:r>
      <w:r w:rsidR="00B12C70">
        <w:rPr>
          <w:rFonts w:ascii="Times New Roman" w:hAnsi="Times New Roman" w:cs="Times New Roman"/>
          <w:sz w:val="24"/>
          <w:szCs w:val="24"/>
          <w:lang w:val="pl-PL"/>
        </w:rPr>
        <w:t>wtedy także</w:t>
      </w:r>
      <w:r w:rsidR="00AD26F4">
        <w:rPr>
          <w:rFonts w:ascii="Times New Roman" w:hAnsi="Times New Roman" w:cs="Times New Roman"/>
          <w:sz w:val="24"/>
          <w:szCs w:val="24"/>
          <w:lang w:val="pl-PL"/>
        </w:rPr>
        <w:t xml:space="preserve"> po wprowadzeniu restrykcji.</w:t>
      </w:r>
    </w:p>
    <w:p w:rsidR="004B287D" w:rsidRDefault="00581AD3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Ograniczenia w zakresie eksportu surowców rolnych wpływają nie tylko na wzros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t i 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zmienność cen, ale także </w:t>
      </w:r>
      <w:r w:rsidR="00390193">
        <w:rPr>
          <w:rFonts w:ascii="Times New Roman" w:hAnsi="Times New Roman" w:cs="Times New Roman"/>
          <w:sz w:val="24"/>
          <w:szCs w:val="24"/>
          <w:lang w:val="pl-PL"/>
        </w:rPr>
        <w:t xml:space="preserve">powodują niepewność i niestabilność na rynkach oraz </w:t>
      </w:r>
      <w:r w:rsidRPr="00581AD3">
        <w:rPr>
          <w:rFonts w:ascii="Times New Roman" w:hAnsi="Times New Roman" w:cs="Times New Roman"/>
          <w:sz w:val="24"/>
          <w:szCs w:val="24"/>
          <w:lang w:val="pl-PL"/>
        </w:rPr>
        <w:t>niechęć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81AD3">
        <w:rPr>
          <w:rFonts w:ascii="Times New Roman" w:hAnsi="Times New Roman" w:cs="Times New Roman"/>
          <w:sz w:val="24"/>
          <w:szCs w:val="24"/>
          <w:lang w:val="pl-PL"/>
        </w:rPr>
        <w:t>do inwestowania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 sektorze rolno-spożywczym</w:t>
      </w:r>
      <w:r w:rsidR="00390193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3772B">
        <w:rPr>
          <w:rFonts w:ascii="Times New Roman" w:hAnsi="Times New Roman" w:cs="Times New Roman"/>
          <w:sz w:val="24"/>
          <w:szCs w:val="24"/>
          <w:lang w:val="pl-PL"/>
        </w:rPr>
        <w:t xml:space="preserve"> Należy przy tym dodać, że dynamiczny wzrost globalnych cen żywności w 2021 r</w:t>
      </w:r>
      <w:r w:rsidR="00F7551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D3772B">
        <w:rPr>
          <w:rFonts w:ascii="Times New Roman" w:hAnsi="Times New Roman" w:cs="Times New Roman"/>
          <w:sz w:val="24"/>
          <w:szCs w:val="24"/>
          <w:lang w:val="pl-PL"/>
        </w:rPr>
        <w:t>spowodowany był także</w:t>
      </w:r>
      <w:r w:rsidR="000427B8">
        <w:rPr>
          <w:rFonts w:ascii="Times New Roman" w:hAnsi="Times New Roman" w:cs="Times New Roman"/>
          <w:sz w:val="24"/>
          <w:szCs w:val="24"/>
          <w:lang w:val="pl-PL"/>
        </w:rPr>
        <w:t xml:space="preserve"> rosnącymi cenami nawozów, </w:t>
      </w:r>
      <w:r w:rsidR="000427B8" w:rsidRPr="000427B8">
        <w:rPr>
          <w:rFonts w:ascii="Times New Roman" w:hAnsi="Times New Roman" w:cs="Times New Roman"/>
          <w:sz w:val="24"/>
          <w:szCs w:val="24"/>
          <w:lang w:val="pl-PL"/>
        </w:rPr>
        <w:t>deprecjacj</w:t>
      </w:r>
      <w:r w:rsidR="000427B8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="000427B8" w:rsidRPr="000427B8">
        <w:rPr>
          <w:rFonts w:ascii="Times New Roman" w:hAnsi="Times New Roman" w:cs="Times New Roman"/>
          <w:sz w:val="24"/>
          <w:szCs w:val="24"/>
          <w:lang w:val="pl-PL"/>
        </w:rPr>
        <w:t xml:space="preserve"> dolara amerykańskiego</w:t>
      </w:r>
      <w:r w:rsidR="000427B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427B8" w:rsidRPr="000427B8">
        <w:rPr>
          <w:rFonts w:ascii="Times New Roman" w:hAnsi="Times New Roman" w:cs="Times New Roman"/>
          <w:sz w:val="24"/>
          <w:szCs w:val="24"/>
          <w:lang w:val="pl-PL"/>
        </w:rPr>
        <w:t>rosnąc</w:t>
      </w:r>
      <w:r w:rsidR="000427B8">
        <w:rPr>
          <w:rFonts w:ascii="Times New Roman" w:hAnsi="Times New Roman" w:cs="Times New Roman"/>
          <w:sz w:val="24"/>
          <w:szCs w:val="24"/>
          <w:lang w:val="pl-PL"/>
        </w:rPr>
        <w:t>ymi</w:t>
      </w:r>
      <w:r w:rsidR="000427B8" w:rsidRPr="000427B8">
        <w:rPr>
          <w:rFonts w:ascii="Times New Roman" w:hAnsi="Times New Roman" w:cs="Times New Roman"/>
          <w:sz w:val="24"/>
          <w:szCs w:val="24"/>
          <w:lang w:val="pl-PL"/>
        </w:rPr>
        <w:t xml:space="preserve"> koszt</w:t>
      </w:r>
      <w:r w:rsidR="000427B8">
        <w:rPr>
          <w:rFonts w:ascii="Times New Roman" w:hAnsi="Times New Roman" w:cs="Times New Roman"/>
          <w:sz w:val="24"/>
          <w:szCs w:val="24"/>
          <w:lang w:val="pl-PL"/>
        </w:rPr>
        <w:t>ami</w:t>
      </w:r>
      <w:r w:rsidR="000427B8" w:rsidRPr="000427B8">
        <w:rPr>
          <w:rFonts w:ascii="Times New Roman" w:hAnsi="Times New Roman" w:cs="Times New Roman"/>
          <w:sz w:val="24"/>
          <w:szCs w:val="24"/>
          <w:lang w:val="pl-PL"/>
        </w:rPr>
        <w:t xml:space="preserve"> frachtu </w:t>
      </w:r>
      <w:r w:rsidR="000427B8">
        <w:rPr>
          <w:rFonts w:ascii="Times New Roman" w:hAnsi="Times New Roman" w:cs="Times New Roman"/>
          <w:sz w:val="24"/>
          <w:szCs w:val="24"/>
          <w:lang w:val="pl-PL"/>
        </w:rPr>
        <w:t xml:space="preserve">i cen </w:t>
      </w:r>
      <w:r w:rsidR="000427B8" w:rsidRPr="000427B8">
        <w:rPr>
          <w:rFonts w:ascii="Times New Roman" w:hAnsi="Times New Roman" w:cs="Times New Roman"/>
          <w:sz w:val="24"/>
          <w:szCs w:val="24"/>
          <w:lang w:val="pl-PL"/>
        </w:rPr>
        <w:t>energi</w:t>
      </w:r>
      <w:r w:rsidR="000427B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427B8" w:rsidRPr="000427B8">
        <w:rPr>
          <w:rFonts w:ascii="Times New Roman" w:hAnsi="Times New Roman" w:cs="Times New Roman"/>
          <w:sz w:val="24"/>
          <w:szCs w:val="24"/>
          <w:lang w:val="pl-PL"/>
        </w:rPr>
        <w:t xml:space="preserve"> pochodząc</w:t>
      </w:r>
      <w:r w:rsidR="000427B8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="000427B8" w:rsidRPr="000427B8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427B8" w:rsidRPr="000427B8">
        <w:rPr>
          <w:rFonts w:ascii="Times New Roman" w:hAnsi="Times New Roman" w:cs="Times New Roman"/>
          <w:sz w:val="24"/>
          <w:szCs w:val="24"/>
          <w:lang w:val="pl-PL"/>
        </w:rPr>
        <w:t>paliw kopalnych</w:t>
      </w:r>
      <w:r w:rsidR="000427B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810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10CE">
        <w:rPr>
          <w:rFonts w:ascii="Times New Roman" w:hAnsi="Times New Roman" w:cs="Times New Roman"/>
          <w:sz w:val="24"/>
          <w:szCs w:val="24"/>
          <w:lang w:val="pl-PL"/>
        </w:rPr>
        <w:lastRenderedPageBreak/>
        <w:t>Obecnie rosnące ceny gazu pogłębiają niekorzystną sytuację na rynku nawozów</w:t>
      </w:r>
      <w:r w:rsidR="00476D7C">
        <w:rPr>
          <w:rFonts w:ascii="Times New Roman" w:hAnsi="Times New Roman" w:cs="Times New Roman"/>
          <w:sz w:val="24"/>
          <w:szCs w:val="24"/>
          <w:lang w:val="pl-PL"/>
        </w:rPr>
        <w:t>, w tym m. in. na rynku nawozów</w:t>
      </w:r>
      <w:r w:rsidR="003810CE">
        <w:rPr>
          <w:rFonts w:ascii="Times New Roman" w:hAnsi="Times New Roman" w:cs="Times New Roman"/>
          <w:sz w:val="24"/>
          <w:szCs w:val="24"/>
          <w:lang w:val="pl-PL"/>
        </w:rPr>
        <w:t xml:space="preserve"> azotowych w Polsce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3810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3810CE">
        <w:rPr>
          <w:rFonts w:ascii="Times New Roman" w:hAnsi="Times New Roman" w:cs="Times New Roman"/>
          <w:sz w:val="24"/>
          <w:szCs w:val="24"/>
          <w:lang w:val="pl-PL"/>
        </w:rPr>
        <w:t xml:space="preserve">rzykładem jest </w:t>
      </w:r>
      <w:r w:rsidR="003810CE" w:rsidRPr="003810CE">
        <w:rPr>
          <w:rFonts w:ascii="Times New Roman" w:hAnsi="Times New Roman" w:cs="Times New Roman"/>
          <w:sz w:val="24"/>
          <w:szCs w:val="24"/>
          <w:lang w:val="pl-PL"/>
        </w:rPr>
        <w:t>Grupa Azoty</w:t>
      </w:r>
      <w:r w:rsidR="003810CE">
        <w:rPr>
          <w:rFonts w:ascii="Times New Roman" w:hAnsi="Times New Roman" w:cs="Times New Roman"/>
          <w:sz w:val="24"/>
          <w:szCs w:val="24"/>
          <w:lang w:val="pl-PL"/>
        </w:rPr>
        <w:t>, która</w:t>
      </w:r>
      <w:r w:rsidR="00274EA5">
        <w:rPr>
          <w:rFonts w:ascii="Times New Roman" w:hAnsi="Times New Roman" w:cs="Times New Roman"/>
          <w:sz w:val="24"/>
          <w:szCs w:val="24"/>
          <w:lang w:val="pl-PL"/>
        </w:rPr>
        <w:t xml:space="preserve"> w ostatnim czasie</w:t>
      </w:r>
      <w:r w:rsidR="003810CE">
        <w:rPr>
          <w:rFonts w:ascii="Times New Roman" w:hAnsi="Times New Roman" w:cs="Times New Roman"/>
          <w:sz w:val="24"/>
          <w:szCs w:val="24"/>
          <w:lang w:val="pl-PL"/>
        </w:rPr>
        <w:t xml:space="preserve"> ograniczyła</w:t>
      </w:r>
      <w:r w:rsidR="003810CE" w:rsidRPr="003810CE">
        <w:rPr>
          <w:rFonts w:ascii="Times New Roman" w:hAnsi="Times New Roman" w:cs="Times New Roman"/>
          <w:sz w:val="24"/>
          <w:szCs w:val="24"/>
          <w:lang w:val="pl-PL"/>
        </w:rPr>
        <w:t xml:space="preserve"> produkcję amoniaku, nawozów azotowych i tworzyw sztucznych.</w:t>
      </w:r>
    </w:p>
    <w:p w:rsidR="000A2DBF" w:rsidRDefault="000A2DBF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A2DBF">
        <w:rPr>
          <w:rFonts w:ascii="Times New Roman" w:hAnsi="Times New Roman" w:cs="Times New Roman"/>
          <w:sz w:val="24"/>
          <w:szCs w:val="24"/>
          <w:lang w:val="pl-PL"/>
        </w:rPr>
        <w:t xml:space="preserve">Ze względu na silny związek dostępności ekonomicznej żywności z ubóstwem i kwestią nierówności społecznych problem niedożywienia dotyka również mieszańców krajów wysoko rozwiniętych, w tym obywateli krajów europejskich. 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 xml:space="preserve">Kolejne </w:t>
      </w:r>
      <w:proofErr w:type="spellStart"/>
      <w:r w:rsidR="00461645">
        <w:rPr>
          <w:rFonts w:ascii="Times New Roman" w:hAnsi="Times New Roman" w:cs="Times New Roman"/>
          <w:sz w:val="24"/>
          <w:szCs w:val="24"/>
          <w:lang w:val="pl-PL"/>
        </w:rPr>
        <w:t>lockdowny</w:t>
      </w:r>
      <w:proofErr w:type="spellEnd"/>
      <w:r w:rsidR="00461645">
        <w:rPr>
          <w:rFonts w:ascii="Times New Roman" w:hAnsi="Times New Roman" w:cs="Times New Roman"/>
          <w:sz w:val="24"/>
          <w:szCs w:val="24"/>
          <w:lang w:val="pl-PL"/>
        </w:rPr>
        <w:t xml:space="preserve"> wprowadzane w </w:t>
      </w:r>
      <w:r w:rsidRPr="000A2DBF">
        <w:rPr>
          <w:rFonts w:ascii="Times New Roman" w:hAnsi="Times New Roman" w:cs="Times New Roman"/>
          <w:sz w:val="24"/>
          <w:szCs w:val="24"/>
          <w:lang w:val="pl-PL"/>
        </w:rPr>
        <w:t xml:space="preserve">Polsce i innych krajach UE, sankcje nakładane na Rosję w związku z 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trwającym konfliktem zbrojnym w</w:t>
      </w:r>
      <w:r w:rsidRPr="000A2DBF">
        <w:rPr>
          <w:rFonts w:ascii="Times New Roman" w:hAnsi="Times New Roman" w:cs="Times New Roman"/>
          <w:sz w:val="24"/>
          <w:szCs w:val="24"/>
          <w:lang w:val="pl-PL"/>
        </w:rPr>
        <w:t xml:space="preserve"> Ukrainie, a także prowadzenie kosztownej polityki klimatycznej w walce o lepsze jutro ludzi i Ziemi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0A2DBF">
        <w:rPr>
          <w:rFonts w:ascii="Times New Roman" w:hAnsi="Times New Roman" w:cs="Times New Roman"/>
          <w:sz w:val="24"/>
          <w:szCs w:val="24"/>
          <w:lang w:val="pl-PL"/>
        </w:rPr>
        <w:t xml:space="preserve"> znajduje swoje odzwierciedlenie w zmieniającym się (często spadającym) poziomie i jakości życia mieszkańców wielu krajów Europy, w tym Polski. Powstaje zatem pytanie, czy decyzje władz różnych szczebli podejmowane w ostatnich latach rzeczywiście zbliżają nas do realizacji trwałego i zrównoważonego rozwoju, w tym celu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:</w:t>
      </w:r>
      <w:r w:rsidRPr="000A2DBF">
        <w:rPr>
          <w:rFonts w:ascii="Times New Roman" w:hAnsi="Times New Roman" w:cs="Times New Roman"/>
          <w:sz w:val="24"/>
          <w:szCs w:val="24"/>
          <w:lang w:val="pl-PL"/>
        </w:rPr>
        <w:t xml:space="preserve"> 2. Zero głodu (SDG2), celu 3. Dobre zdrowie i jakość życia, celu 1. Koniec z ubóstwem (SDG1).</w:t>
      </w:r>
    </w:p>
    <w:p w:rsidR="000A2DBF" w:rsidRDefault="000A2DBF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Warto podkreślić, że współcześnie </w:t>
      </w:r>
      <w:r w:rsidRPr="009A505C">
        <w:rPr>
          <w:rFonts w:ascii="Times New Roman" w:hAnsi="Times New Roman" w:cs="Times New Roman"/>
          <w:sz w:val="24"/>
          <w:szCs w:val="24"/>
          <w:lang w:val="pl-PL"/>
        </w:rPr>
        <w:t>brak bezpieczeństwa żywnościowego ma bardziej podłoże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A505C">
        <w:rPr>
          <w:rFonts w:ascii="Times New Roman" w:hAnsi="Times New Roman" w:cs="Times New Roman"/>
          <w:sz w:val="24"/>
          <w:szCs w:val="24"/>
          <w:lang w:val="pl-PL"/>
        </w:rPr>
        <w:t>ekonomiczne aniżeli fizyczne.</w:t>
      </w:r>
      <w:r w:rsidRPr="00647442">
        <w:rPr>
          <w:lang w:val="pl-PL"/>
        </w:rPr>
        <w:t xml:space="preserve"> </w:t>
      </w:r>
      <w:r w:rsidRPr="00647442">
        <w:rPr>
          <w:rFonts w:ascii="Times New Roman" w:hAnsi="Times New Roman" w:cs="Times New Roman"/>
          <w:sz w:val="24"/>
          <w:szCs w:val="24"/>
          <w:lang w:val="pl-PL"/>
        </w:rPr>
        <w:t xml:space="preserve">Na świecie produkuje się wystarczającą ilość żywności, aby wyżywić </w:t>
      </w:r>
      <w:r>
        <w:rPr>
          <w:rFonts w:ascii="Times New Roman" w:hAnsi="Times New Roman" w:cs="Times New Roman"/>
          <w:sz w:val="24"/>
          <w:szCs w:val="24"/>
          <w:lang w:val="pl-PL"/>
        </w:rPr>
        <w:t>ciągle rosnącą globalną populację (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r w:rsidRPr="002972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ysunek </w:t>
      </w:r>
      <w:r w:rsidR="00624DFD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), </w:t>
      </w:r>
      <w:r w:rsidRPr="00647442">
        <w:rPr>
          <w:rFonts w:ascii="Times New Roman" w:hAnsi="Times New Roman" w:cs="Times New Roman"/>
          <w:sz w:val="24"/>
          <w:szCs w:val="24"/>
          <w:lang w:val="pl-PL"/>
        </w:rPr>
        <w:t xml:space="preserve">a mimo 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t</w:t>
      </w:r>
      <w:r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64744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rośnie liczba ludzi niedożywionych, zwłaszcza w społeczeństwach Globalnego Południa.</w:t>
      </w:r>
    </w:p>
    <w:p w:rsidR="000A2DBF" w:rsidRPr="003925ED" w:rsidRDefault="000A2DBF" w:rsidP="000A2DBF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925ED">
        <w:rPr>
          <w:rFonts w:ascii="Times New Roman" w:hAnsi="Times New Roman" w:cs="Times New Roman"/>
          <w:b/>
          <w:sz w:val="24"/>
          <w:szCs w:val="24"/>
          <w:lang w:val="pl-PL"/>
        </w:rPr>
        <w:t xml:space="preserve">Rysunek </w:t>
      </w:r>
      <w:r w:rsidR="00624DFD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 w:rsidRPr="003925ED">
        <w:rPr>
          <w:rFonts w:ascii="Times New Roman" w:hAnsi="Times New Roman" w:cs="Times New Roman"/>
          <w:b/>
          <w:sz w:val="24"/>
          <w:szCs w:val="24"/>
          <w:lang w:val="pl-PL"/>
        </w:rPr>
        <w:t>. Wielkość światowej populacji w regionach</w:t>
      </w:r>
    </w:p>
    <w:p w:rsidR="000A2DBF" w:rsidRDefault="000A2DBF" w:rsidP="000A2DBF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242E4FBA" wp14:editId="1FB55A94">
            <wp:extent cx="4996180" cy="3526715"/>
            <wp:effectExtent l="0" t="0" r="0" b="0"/>
            <wp:docPr id="2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9B4C0858-C6BA-439D-A463-E448883BF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9B4C0858-C6BA-439D-A463-E448883BF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6155" cy="354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DBF" w:rsidRPr="000D4695" w:rsidRDefault="000A2DBF" w:rsidP="000A2DBF">
      <w:pPr>
        <w:spacing w:line="276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0D4695">
        <w:rPr>
          <w:rFonts w:ascii="Times New Roman" w:hAnsi="Times New Roman" w:cs="Times New Roman"/>
          <w:sz w:val="20"/>
          <w:szCs w:val="20"/>
          <w:lang w:val="pl-PL"/>
        </w:rPr>
        <w:t xml:space="preserve">Źródło: </w:t>
      </w:r>
      <w:hyperlink r:id="rId8" w:history="1">
        <w:r w:rsidRPr="000D4695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https://ourworldindata.org/grapher/historical-and-projected-population-by-region</w:t>
        </w:r>
      </w:hyperlink>
      <w:r w:rsidRPr="000D4695">
        <w:rPr>
          <w:rFonts w:ascii="Times New Roman" w:hAnsi="Times New Roman" w:cs="Times New Roman"/>
          <w:sz w:val="20"/>
          <w:szCs w:val="20"/>
          <w:lang w:val="pl-PL"/>
        </w:rPr>
        <w:t xml:space="preserve"> (24.08.2022).</w:t>
      </w:r>
    </w:p>
    <w:p w:rsidR="000A2DBF" w:rsidRDefault="000A2DBF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Ograniczenia wprowadzane w związku z pandemią COVID-19 miały dwukierunkowy wpływ na poziom bezpieczeństwa żywnościowego, który różnił się w poszczególnych regionach świata i grupach społecznych. Najbardziej bezbronni ludzie (</w:t>
      </w:r>
      <w:r w:rsidRPr="00A30F6E">
        <w:rPr>
          <w:rFonts w:ascii="Times New Roman" w:hAnsi="Times New Roman" w:cs="Times New Roman"/>
          <w:i/>
          <w:sz w:val="24"/>
          <w:szCs w:val="24"/>
          <w:lang w:val="pl-PL"/>
        </w:rPr>
        <w:t xml:space="preserve">the most </w:t>
      </w:r>
      <w:proofErr w:type="spellStart"/>
      <w:r w:rsidRPr="00A30F6E">
        <w:rPr>
          <w:rFonts w:ascii="Times New Roman" w:hAnsi="Times New Roman" w:cs="Times New Roman"/>
          <w:i/>
          <w:sz w:val="24"/>
          <w:szCs w:val="24"/>
          <w:lang w:val="pl-PL"/>
        </w:rPr>
        <w:t>vulnerable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) ucierpieli prawdopodobnie naj</w:t>
      </w:r>
      <w:r w:rsidR="007F0F2F">
        <w:rPr>
          <w:rFonts w:ascii="Times New Roman" w:hAnsi="Times New Roman" w:cs="Times New Roman"/>
          <w:sz w:val="24"/>
          <w:szCs w:val="24"/>
          <w:lang w:val="pl-PL"/>
        </w:rPr>
        <w:t>mocnie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 na skutek zamknięcia szkół (dzieci, których jedynym posiłkiem w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ciągu dnia był obiad w szkole), wprowadzania ograniczeń w funkcjonowaniu przedsiębiorstw (np. pracownicy restauracji), promowania pracy zdalnej i wprowadzania obowiązku odbycia kwarantanny (pracownicy najniżej wykwalifikowani, pracownicy fizyczni, którzy nie mogli pracować zdalnie) i wielu innych działań będących wynikiem decyzji rządów poszczególnych państw (będących nierzadko efektem naśladownictwa). Jednocześnie wybuch pandemii COVID-19 miał pozytywne skutki w kontekście jakości diety osób, które ze względu na pracę zdalną zaczęły samodzielnie przygotowywać posiłki w domu i zdrowiej się odżywiać, także za sprawą rosnącej świadomości wobec wpływu rozmaitych czynników na stan naszego zdrowia i odporność. Byli to chyba jednak w większości ludzie o wyższym statusie społeczno-ekonomicznym. Czy zatem COVID-19 i polityka prowadzona w warunkach pandemii pogłębiła nierówności społeczne w Polsce i innych krajach?</w:t>
      </w:r>
    </w:p>
    <w:p w:rsidR="000A2DBF" w:rsidRPr="000A2DBF" w:rsidRDefault="004312DB" w:rsidP="00461645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Kolejne </w:t>
      </w:r>
      <w:r w:rsidR="000A2DBF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przyczyny </w:t>
      </w:r>
      <w:r w:rsidR="000A2DBF" w:rsidRPr="000A2DBF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wzrost</w:t>
      </w:r>
      <w:r w:rsidR="000A2DBF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u</w:t>
      </w:r>
      <w:r w:rsidR="000A2DBF" w:rsidRPr="000A2DBF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 cen żywności</w:t>
      </w:r>
    </w:p>
    <w:p w:rsidR="007B1E3A" w:rsidRDefault="002C763C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Warto podkreślić, </w:t>
      </w:r>
      <w:r w:rsidR="00476D7C">
        <w:rPr>
          <w:rFonts w:ascii="Times New Roman" w:hAnsi="Times New Roman" w:cs="Times New Roman"/>
          <w:sz w:val="24"/>
          <w:szCs w:val="24"/>
          <w:lang w:val="pl-PL"/>
        </w:rPr>
        <w:t xml:space="preserve">że ceny żywności i innych produktów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konsumpcyjnych </w:t>
      </w:r>
      <w:r w:rsidR="00476D7C">
        <w:rPr>
          <w:rFonts w:ascii="Times New Roman" w:hAnsi="Times New Roman" w:cs="Times New Roman"/>
          <w:sz w:val="24"/>
          <w:szCs w:val="24"/>
          <w:lang w:val="pl-PL"/>
        </w:rPr>
        <w:t xml:space="preserve">w Polsce i wielu innych krajach świata ciągle rosną, na co ma wpływ </w:t>
      </w:r>
      <w:r w:rsidR="00461645">
        <w:rPr>
          <w:rFonts w:ascii="Times New Roman" w:hAnsi="Times New Roman" w:cs="Times New Roman"/>
          <w:sz w:val="24"/>
          <w:szCs w:val="24"/>
          <w:lang w:val="pl-PL"/>
        </w:rPr>
        <w:t>szereg</w:t>
      </w:r>
      <w:r w:rsidR="00476D7C">
        <w:rPr>
          <w:rFonts w:ascii="Times New Roman" w:hAnsi="Times New Roman" w:cs="Times New Roman"/>
          <w:sz w:val="24"/>
          <w:szCs w:val="24"/>
          <w:lang w:val="pl-PL"/>
        </w:rPr>
        <w:t xml:space="preserve"> czynników. Rekordowe wskaźniki inflacji w Polsce i innych </w:t>
      </w:r>
      <w:r>
        <w:rPr>
          <w:rFonts w:ascii="Times New Roman" w:hAnsi="Times New Roman" w:cs="Times New Roman"/>
          <w:sz w:val="24"/>
          <w:szCs w:val="24"/>
          <w:lang w:val="pl-PL"/>
        </w:rPr>
        <w:t>państwach</w:t>
      </w:r>
      <w:r w:rsidR="00476D7C">
        <w:rPr>
          <w:rFonts w:ascii="Times New Roman" w:hAnsi="Times New Roman" w:cs="Times New Roman"/>
          <w:sz w:val="24"/>
          <w:szCs w:val="24"/>
          <w:lang w:val="pl-PL"/>
        </w:rPr>
        <w:t xml:space="preserve"> też mają wiele przyczyn, powstaje jednak pytanie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476D7C">
        <w:rPr>
          <w:rFonts w:ascii="Times New Roman" w:hAnsi="Times New Roman" w:cs="Times New Roman"/>
          <w:sz w:val="24"/>
          <w:szCs w:val="24"/>
          <w:lang w:val="pl-PL"/>
        </w:rPr>
        <w:t xml:space="preserve"> jaka jest polityka rządów wobec takiej 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sytuacji</w:t>
      </w:r>
      <w:r w:rsidR="00476D7C">
        <w:rPr>
          <w:rFonts w:ascii="Times New Roman" w:hAnsi="Times New Roman" w:cs="Times New Roman"/>
          <w:sz w:val="24"/>
          <w:szCs w:val="24"/>
          <w:lang w:val="pl-PL"/>
        </w:rPr>
        <w:t xml:space="preserve"> (w Polsce inflacja </w:t>
      </w:r>
      <w:r w:rsidR="00476D7C" w:rsidRPr="00476D7C">
        <w:rPr>
          <w:rFonts w:ascii="Times New Roman" w:hAnsi="Times New Roman" w:cs="Times New Roman"/>
          <w:sz w:val="24"/>
          <w:szCs w:val="24"/>
          <w:lang w:val="pl-PL"/>
        </w:rPr>
        <w:t xml:space="preserve">w lipcu 2022 r. </w:t>
      </w:r>
      <w:r w:rsidR="00476D7C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76D7C" w:rsidRPr="00476D7C">
        <w:rPr>
          <w:rFonts w:ascii="Times New Roman" w:hAnsi="Times New Roman" w:cs="Times New Roman"/>
          <w:sz w:val="24"/>
          <w:szCs w:val="24"/>
          <w:lang w:val="pl-PL"/>
        </w:rPr>
        <w:t xml:space="preserve"> relacji rok do roku</w:t>
      </w:r>
      <w:r w:rsidR="00476D7C">
        <w:rPr>
          <w:rFonts w:ascii="Times New Roman" w:hAnsi="Times New Roman" w:cs="Times New Roman"/>
          <w:sz w:val="24"/>
          <w:szCs w:val="24"/>
          <w:lang w:val="pl-PL"/>
        </w:rPr>
        <w:t xml:space="preserve"> wyniosła 15,5%, a z wyłączeniem cen żywności i energii – 9,3%). </w:t>
      </w:r>
      <w:r w:rsidR="008F0280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297211">
        <w:rPr>
          <w:rFonts w:ascii="Times New Roman" w:hAnsi="Times New Roman" w:cs="Times New Roman"/>
          <w:sz w:val="24"/>
          <w:szCs w:val="24"/>
          <w:lang w:val="pl-PL"/>
        </w:rPr>
        <w:t>naszym kraju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F0280">
        <w:rPr>
          <w:rFonts w:ascii="Times New Roman" w:hAnsi="Times New Roman" w:cs="Times New Roman"/>
          <w:sz w:val="24"/>
          <w:szCs w:val="24"/>
          <w:lang w:val="pl-PL"/>
        </w:rPr>
        <w:t>najbardziej wzrosły ceny koksu i ropy naftowej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>. Rosnące ceny paliw przekładają się na wzrost cen żywności i skutkują zmniejszenie</w:t>
      </w:r>
      <w:r w:rsidR="00297211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 xml:space="preserve"> poziomu bezpieczeństwa żywnościowego. Ze względu na łatwy dostęp do danych</w:t>
      </w:r>
      <w:r w:rsidR="0029721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 xml:space="preserve"> na </w:t>
      </w:r>
      <w:r w:rsidR="004B287D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r w:rsidR="009B7A4F" w:rsidRPr="002972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ysunku </w:t>
      </w:r>
      <w:r w:rsidR="00624DFD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4B287D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 xml:space="preserve"> przedstawiono zmiany w hurtowej cenie oleju napędowego EURODIESEL LOTOS w Polsce w latach 2005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>2022 (dane z początku lipca). Warto dodać, że na cenę oleju napędowego składają się: k</w:t>
      </w:r>
      <w:r w:rsidR="009B7A4F" w:rsidRPr="009B7A4F">
        <w:rPr>
          <w:rFonts w:ascii="Times New Roman" w:hAnsi="Times New Roman" w:cs="Times New Roman"/>
          <w:sz w:val="24"/>
          <w:szCs w:val="24"/>
          <w:lang w:val="pl-PL"/>
        </w:rPr>
        <w:t>oszt zakupu w rafinerii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 xml:space="preserve"> (obecnie 72% ceny), a</w:t>
      </w:r>
      <w:r w:rsidR="009B7A4F" w:rsidRPr="009B7A4F">
        <w:rPr>
          <w:rFonts w:ascii="Times New Roman" w:hAnsi="Times New Roman" w:cs="Times New Roman"/>
          <w:sz w:val="24"/>
          <w:szCs w:val="24"/>
          <w:lang w:val="pl-PL"/>
        </w:rPr>
        <w:t>kcyza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>, p</w:t>
      </w:r>
      <w:r w:rsidR="009B7A4F" w:rsidRPr="009B7A4F">
        <w:rPr>
          <w:rFonts w:ascii="Times New Roman" w:hAnsi="Times New Roman" w:cs="Times New Roman"/>
          <w:sz w:val="24"/>
          <w:szCs w:val="24"/>
          <w:lang w:val="pl-PL"/>
        </w:rPr>
        <w:t>odatek VAT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>, o</w:t>
      </w:r>
      <w:r w:rsidR="009B7A4F" w:rsidRPr="009B7A4F">
        <w:rPr>
          <w:rFonts w:ascii="Times New Roman" w:hAnsi="Times New Roman" w:cs="Times New Roman"/>
          <w:sz w:val="24"/>
          <w:szCs w:val="24"/>
          <w:lang w:val="pl-PL"/>
        </w:rPr>
        <w:t>płata paliwowa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>, o</w:t>
      </w:r>
      <w:r w:rsidR="009B7A4F" w:rsidRPr="009B7A4F">
        <w:rPr>
          <w:rFonts w:ascii="Times New Roman" w:hAnsi="Times New Roman" w:cs="Times New Roman"/>
          <w:sz w:val="24"/>
          <w:szCs w:val="24"/>
          <w:lang w:val="pl-PL"/>
        </w:rPr>
        <w:t>płata emisyjna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 xml:space="preserve"> i m</w:t>
      </w:r>
      <w:r w:rsidR="009B7A4F" w:rsidRPr="009B7A4F">
        <w:rPr>
          <w:rFonts w:ascii="Times New Roman" w:hAnsi="Times New Roman" w:cs="Times New Roman"/>
          <w:sz w:val="24"/>
          <w:szCs w:val="24"/>
          <w:lang w:val="pl-PL"/>
        </w:rPr>
        <w:t>arża detaliczna stacji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>. Opłata akcyzowa zmieniała się minimalnie w latach 2005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>2022</w:t>
      </w:r>
      <w:r w:rsidR="007538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749DE">
        <w:rPr>
          <w:rFonts w:ascii="Times New Roman" w:hAnsi="Times New Roman" w:cs="Times New Roman"/>
          <w:sz w:val="24"/>
          <w:szCs w:val="24"/>
          <w:lang w:val="pl-PL"/>
        </w:rPr>
        <w:t>i wynosiła 1048 zł za 1000 l w latach 2005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0749DE">
        <w:rPr>
          <w:rFonts w:ascii="Times New Roman" w:hAnsi="Times New Roman" w:cs="Times New Roman"/>
          <w:sz w:val="24"/>
          <w:szCs w:val="24"/>
          <w:lang w:val="pl-PL"/>
        </w:rPr>
        <w:t>2011, 1196 zł w latach 2012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0749DE">
        <w:rPr>
          <w:rFonts w:ascii="Times New Roman" w:hAnsi="Times New Roman" w:cs="Times New Roman"/>
          <w:sz w:val="24"/>
          <w:szCs w:val="24"/>
          <w:lang w:val="pl-PL"/>
        </w:rPr>
        <w:t>2014, 1171 zł w latach 2015</w:t>
      </w:r>
      <w:r w:rsidR="004B287D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="000749DE">
        <w:rPr>
          <w:rFonts w:ascii="Times New Roman" w:hAnsi="Times New Roman" w:cs="Times New Roman"/>
          <w:sz w:val="24"/>
          <w:szCs w:val="24"/>
          <w:lang w:val="pl-PL"/>
        </w:rPr>
        <w:t>2019</w:t>
      </w:r>
      <w:r w:rsidR="009B7A4F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749DE">
        <w:rPr>
          <w:rFonts w:ascii="Times New Roman" w:hAnsi="Times New Roman" w:cs="Times New Roman"/>
          <w:sz w:val="24"/>
          <w:szCs w:val="24"/>
          <w:lang w:val="pl-PL"/>
        </w:rPr>
        <w:t>1151 zł w 2020 r., 1147 zł w 2021 r. i 1104 zł w 2022 r.</w:t>
      </w:r>
    </w:p>
    <w:p w:rsidR="00321A43" w:rsidRDefault="00321A43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749DE" w:rsidRDefault="000749DE" w:rsidP="00321A43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A18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Rysunek </w:t>
      </w:r>
      <w:r w:rsidR="00624DFD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Pr="00EA18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</w:t>
      </w:r>
      <w:r w:rsidR="00EA18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Hurtowa cena oleju napędowego EURODIESEL LOTOS w Polsce w </w:t>
      </w:r>
      <w:r w:rsidR="00955E7D">
        <w:rPr>
          <w:rFonts w:ascii="Times New Roman" w:hAnsi="Times New Roman" w:cs="Times New Roman"/>
          <w:b/>
          <w:sz w:val="24"/>
          <w:szCs w:val="24"/>
          <w:lang w:val="pl-PL"/>
        </w:rPr>
        <w:t>o</w:t>
      </w:r>
      <w:r w:rsidR="00587A76">
        <w:rPr>
          <w:rFonts w:ascii="Times New Roman" w:hAnsi="Times New Roman" w:cs="Times New Roman"/>
          <w:b/>
          <w:sz w:val="24"/>
          <w:szCs w:val="24"/>
          <w:lang w:val="pl-PL"/>
        </w:rPr>
        <w:t>kresie VII.</w:t>
      </w:r>
      <w:r w:rsidR="00EA1850">
        <w:rPr>
          <w:rFonts w:ascii="Times New Roman" w:hAnsi="Times New Roman" w:cs="Times New Roman"/>
          <w:b/>
          <w:sz w:val="24"/>
          <w:szCs w:val="24"/>
          <w:lang w:val="pl-PL"/>
        </w:rPr>
        <w:t>2005</w:t>
      </w:r>
      <w:r w:rsidR="004B287D" w:rsidRPr="004B287D">
        <w:rPr>
          <w:rFonts w:ascii="Times New Roman" w:hAnsi="Times New Roman" w:cs="Times New Roman"/>
          <w:b/>
          <w:sz w:val="24"/>
          <w:szCs w:val="24"/>
          <w:lang w:val="pl-PL"/>
        </w:rPr>
        <w:t>–</w:t>
      </w:r>
      <w:r w:rsidR="00587A76">
        <w:rPr>
          <w:rFonts w:ascii="Times New Roman" w:hAnsi="Times New Roman" w:cs="Times New Roman"/>
          <w:b/>
          <w:sz w:val="24"/>
          <w:szCs w:val="24"/>
          <w:lang w:val="pl-PL"/>
        </w:rPr>
        <w:t>VII.</w:t>
      </w:r>
      <w:r w:rsidR="00EA1850">
        <w:rPr>
          <w:rFonts w:ascii="Times New Roman" w:hAnsi="Times New Roman" w:cs="Times New Roman"/>
          <w:b/>
          <w:sz w:val="24"/>
          <w:szCs w:val="24"/>
          <w:lang w:val="pl-PL"/>
        </w:rPr>
        <w:t xml:space="preserve">2022 </w:t>
      </w:r>
      <w:r w:rsidR="00587A76">
        <w:rPr>
          <w:rFonts w:ascii="Times New Roman" w:hAnsi="Times New Roman" w:cs="Times New Roman"/>
          <w:b/>
          <w:sz w:val="24"/>
          <w:szCs w:val="24"/>
          <w:lang w:val="pl-PL"/>
        </w:rPr>
        <w:t>(za 1000 l)</w:t>
      </w:r>
    </w:p>
    <w:p w:rsidR="00587A76" w:rsidRPr="00EA1850" w:rsidRDefault="00B7341B" w:rsidP="0042058A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lastRenderedPageBreak/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7211" w:rsidRPr="00297211" w:rsidRDefault="00297211" w:rsidP="0042058A">
      <w:pPr>
        <w:spacing w:line="276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297211">
        <w:rPr>
          <w:rFonts w:ascii="Times New Roman" w:hAnsi="Times New Roman" w:cs="Times New Roman"/>
          <w:sz w:val="20"/>
          <w:szCs w:val="20"/>
          <w:lang w:val="pl-PL"/>
        </w:rPr>
        <w:t xml:space="preserve">Źródło: Opracowanie własne na podstawie </w:t>
      </w:r>
      <w:hyperlink r:id="rId10" w:history="1">
        <w:r w:rsidR="00825E78" w:rsidRPr="00113F01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www.lotos.pl/145/type,oil_eurodiesel/dla_biznesu/hurtowe_ceny_paliw/archiwum_cen_paliw</w:t>
        </w:r>
      </w:hyperlink>
      <w:r w:rsidRPr="00297211">
        <w:rPr>
          <w:rFonts w:ascii="Times New Roman" w:hAnsi="Times New Roman" w:cs="Times New Roman"/>
          <w:sz w:val="20"/>
          <w:szCs w:val="20"/>
          <w:lang w:val="pl-PL"/>
        </w:rPr>
        <w:t xml:space="preserve"> (data dostępu: 25.08.2022).</w:t>
      </w:r>
    </w:p>
    <w:p w:rsidR="00B852C3" w:rsidRDefault="00461645" w:rsidP="004616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Pandemia, wojna w</w:t>
      </w:r>
      <w:r w:rsidR="00F4333D">
        <w:rPr>
          <w:rFonts w:ascii="Times New Roman" w:hAnsi="Times New Roman" w:cs="Times New Roman"/>
          <w:sz w:val="24"/>
          <w:szCs w:val="24"/>
          <w:lang w:val="pl-PL"/>
        </w:rPr>
        <w:t xml:space="preserve"> Ukrainie i postępujące zmiany klimat</w:t>
      </w:r>
      <w:r w:rsidR="007F0F2F">
        <w:rPr>
          <w:rFonts w:ascii="Times New Roman" w:hAnsi="Times New Roman" w:cs="Times New Roman"/>
          <w:sz w:val="24"/>
          <w:szCs w:val="24"/>
          <w:lang w:val="pl-PL"/>
        </w:rPr>
        <w:t>u (sprawy szeroko nagłaśniane w </w:t>
      </w:r>
      <w:r w:rsidR="00F4333D">
        <w:rPr>
          <w:rFonts w:ascii="Times New Roman" w:hAnsi="Times New Roman" w:cs="Times New Roman"/>
          <w:sz w:val="24"/>
          <w:szCs w:val="24"/>
          <w:lang w:val="pl-PL"/>
        </w:rPr>
        <w:t>mediac</w:t>
      </w:r>
      <w:r w:rsidR="00823FF3">
        <w:rPr>
          <w:rFonts w:ascii="Times New Roman" w:hAnsi="Times New Roman" w:cs="Times New Roman"/>
          <w:sz w:val="24"/>
          <w:szCs w:val="24"/>
          <w:lang w:val="pl-PL"/>
        </w:rPr>
        <w:t>h podających informacje nie zawsze poparte badaniami naukowymi</w:t>
      </w:r>
      <w:r w:rsidR="00F4333D">
        <w:rPr>
          <w:rFonts w:ascii="Times New Roman" w:hAnsi="Times New Roman" w:cs="Times New Roman"/>
          <w:sz w:val="24"/>
          <w:szCs w:val="24"/>
          <w:lang w:val="pl-PL"/>
        </w:rPr>
        <w:t>) uświadomiły nam, że z</w:t>
      </w:r>
      <w:r w:rsidR="00010791" w:rsidRPr="00653F08">
        <w:rPr>
          <w:rFonts w:ascii="Times New Roman" w:hAnsi="Times New Roman" w:cs="Times New Roman"/>
          <w:sz w:val="24"/>
          <w:szCs w:val="24"/>
          <w:lang w:val="pl-PL"/>
        </w:rPr>
        <w:t xml:space="preserve">równoważony system żywnościowy musi być przede wszystkim odporny na </w:t>
      </w:r>
      <w:r w:rsidR="00010791">
        <w:rPr>
          <w:rFonts w:ascii="Times New Roman" w:hAnsi="Times New Roman" w:cs="Times New Roman"/>
          <w:sz w:val="24"/>
          <w:szCs w:val="24"/>
          <w:lang w:val="pl-PL"/>
        </w:rPr>
        <w:t xml:space="preserve">nowe zagrożenia. </w:t>
      </w:r>
      <w:r w:rsidR="00010791" w:rsidRPr="00653F08">
        <w:rPr>
          <w:rFonts w:ascii="Times New Roman" w:hAnsi="Times New Roman" w:cs="Times New Roman"/>
          <w:sz w:val="24"/>
          <w:szCs w:val="24"/>
          <w:lang w:val="pl-PL"/>
        </w:rPr>
        <w:t>Polska jest wyjątkowo samowystarczalna</w:t>
      </w:r>
      <w:r w:rsidR="003209E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010791" w:rsidRPr="00653F08">
        <w:rPr>
          <w:rFonts w:ascii="Times New Roman" w:hAnsi="Times New Roman" w:cs="Times New Roman"/>
          <w:sz w:val="24"/>
          <w:szCs w:val="24"/>
          <w:lang w:val="pl-PL"/>
        </w:rPr>
        <w:t xml:space="preserve"> jeśli chodzi o </w:t>
      </w:r>
      <w:r w:rsidR="00010791">
        <w:rPr>
          <w:rFonts w:ascii="Times New Roman" w:hAnsi="Times New Roman" w:cs="Times New Roman"/>
          <w:sz w:val="24"/>
          <w:szCs w:val="24"/>
          <w:lang w:val="pl-PL"/>
        </w:rPr>
        <w:t xml:space="preserve">zaopatrzenie społeczeństwa w żywność, problemem jest jednak wysoka i ciągle rosnąca inflacja oraz zmienne i coraz wyższe ceny żywności. </w:t>
      </w:r>
      <w:r w:rsidR="003E0C2B">
        <w:rPr>
          <w:rFonts w:ascii="Times New Roman" w:hAnsi="Times New Roman" w:cs="Times New Roman"/>
          <w:sz w:val="24"/>
          <w:szCs w:val="24"/>
          <w:lang w:val="pl-PL"/>
        </w:rPr>
        <w:t>Sytuacja jest tym bardziej niepokojąca</w:t>
      </w:r>
      <w:r w:rsidR="003209E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852C3">
        <w:rPr>
          <w:rFonts w:ascii="Times New Roman" w:hAnsi="Times New Roman" w:cs="Times New Roman"/>
          <w:sz w:val="24"/>
          <w:szCs w:val="24"/>
          <w:lang w:val="pl-PL"/>
        </w:rPr>
        <w:t xml:space="preserve"> jeśli uzmysłowimy sobie, że w</w:t>
      </w:r>
      <w:r w:rsidR="003E0C2B" w:rsidRPr="003E0C2B">
        <w:rPr>
          <w:rFonts w:ascii="Times New Roman" w:hAnsi="Times New Roman" w:cs="Times New Roman"/>
          <w:sz w:val="24"/>
          <w:szCs w:val="24"/>
          <w:lang w:val="pl-PL"/>
        </w:rPr>
        <w:t>ydatki na żywność i napoje bezalkoholowe miały</w:t>
      </w:r>
      <w:r w:rsidR="00B852C3">
        <w:rPr>
          <w:rFonts w:ascii="Times New Roman" w:hAnsi="Times New Roman" w:cs="Times New Roman"/>
          <w:sz w:val="24"/>
          <w:szCs w:val="24"/>
          <w:lang w:val="pl-PL"/>
        </w:rPr>
        <w:t xml:space="preserve"> w 2020 r.</w:t>
      </w:r>
      <w:r w:rsidR="003E0C2B" w:rsidRPr="003E0C2B">
        <w:rPr>
          <w:rFonts w:ascii="Times New Roman" w:hAnsi="Times New Roman" w:cs="Times New Roman"/>
          <w:sz w:val="24"/>
          <w:szCs w:val="24"/>
          <w:lang w:val="pl-PL"/>
        </w:rPr>
        <w:t xml:space="preserve">, podobnie jak w latach poprzednich, najwyższy udział w strukturze wydatków ogółu gospodarstw domowych </w:t>
      </w:r>
      <w:r w:rsidR="00B852C3">
        <w:rPr>
          <w:rFonts w:ascii="Times New Roman" w:hAnsi="Times New Roman" w:cs="Times New Roman"/>
          <w:sz w:val="24"/>
          <w:szCs w:val="24"/>
          <w:lang w:val="pl-PL"/>
        </w:rPr>
        <w:t xml:space="preserve">w Polsce </w:t>
      </w:r>
      <w:r w:rsidR="003E0C2B" w:rsidRPr="003E0C2B">
        <w:rPr>
          <w:rFonts w:ascii="Times New Roman" w:hAnsi="Times New Roman" w:cs="Times New Roman"/>
          <w:sz w:val="24"/>
          <w:szCs w:val="24"/>
          <w:lang w:val="pl-PL"/>
        </w:rPr>
        <w:t>– 27,7%</w:t>
      </w:r>
      <w:r w:rsidR="00E32D05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3E0C2B" w:rsidRPr="003E0C2B">
        <w:rPr>
          <w:rFonts w:ascii="Times New Roman" w:hAnsi="Times New Roman" w:cs="Times New Roman"/>
          <w:sz w:val="24"/>
          <w:szCs w:val="24"/>
          <w:lang w:val="pl-PL"/>
        </w:rPr>
        <w:t>wyniósł on od 24,0% w gospodarstwach pracujących na własny rachunek poza gospodarstwem rolnym do 35,2% w gospodarstwach rolników</w:t>
      </w:r>
      <w:r w:rsidR="00E32D05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3E0C2B" w:rsidRPr="003E0C2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A2DBF" w:rsidRPr="004312DB" w:rsidRDefault="004312DB" w:rsidP="007F0F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 w:rsidRPr="004312DB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Nieprzewidziane i przewidziane </w:t>
      </w:r>
      <w:r w:rsidR="007F0F2F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zjawiska </w:t>
      </w:r>
      <w:r w:rsidRPr="004312DB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(konflikt zbrojny w Europie i zmiany klimatu) a poziom wyżywienia na świecie</w:t>
      </w:r>
    </w:p>
    <w:p w:rsidR="00010791" w:rsidRPr="00010791" w:rsidRDefault="00010791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53F08">
        <w:rPr>
          <w:rFonts w:ascii="Times New Roman" w:hAnsi="Times New Roman" w:cs="Times New Roman"/>
          <w:sz w:val="24"/>
          <w:szCs w:val="24"/>
          <w:lang w:val="pl-PL"/>
        </w:rPr>
        <w:t>Rosja i Ukraina s</w:t>
      </w:r>
      <w:r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53F08">
        <w:rPr>
          <w:rFonts w:ascii="Times New Roman" w:hAnsi="Times New Roman" w:cs="Times New Roman"/>
          <w:sz w:val="24"/>
          <w:szCs w:val="24"/>
          <w:lang w:val="pl-PL"/>
        </w:rPr>
        <w:t xml:space="preserve"> razem odpowiedzialne za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prawie 30% światowego eksportu pszenicy. </w:t>
      </w:r>
      <w:r w:rsidRPr="00653F08">
        <w:rPr>
          <w:rFonts w:ascii="Times New Roman" w:hAnsi="Times New Roman" w:cs="Times New Roman"/>
          <w:sz w:val="24"/>
          <w:szCs w:val="24"/>
          <w:lang w:val="pl-PL"/>
        </w:rPr>
        <w:t xml:space="preserve">Odbiorcą tych dostaw są często kraje </w:t>
      </w:r>
      <w:r>
        <w:rPr>
          <w:rFonts w:ascii="Times New Roman" w:hAnsi="Times New Roman" w:cs="Times New Roman"/>
          <w:sz w:val="24"/>
          <w:szCs w:val="24"/>
          <w:lang w:val="pl-PL"/>
        </w:rPr>
        <w:t>afrykańskie i najbiedniejsze kraje Azji Południow</w:t>
      </w:r>
      <w:r w:rsidR="00801A4B">
        <w:rPr>
          <w:rFonts w:ascii="Times New Roman" w:hAnsi="Times New Roman" w:cs="Times New Roman"/>
          <w:sz w:val="24"/>
          <w:szCs w:val="24"/>
          <w:lang w:val="pl-PL"/>
        </w:rPr>
        <w:t>ej</w:t>
      </w:r>
      <w:r>
        <w:rPr>
          <w:rFonts w:ascii="Times New Roman" w:hAnsi="Times New Roman" w:cs="Times New Roman"/>
          <w:sz w:val="24"/>
          <w:szCs w:val="24"/>
          <w:lang w:val="pl-PL"/>
        </w:rPr>
        <w:t>, które bez tego zboża nie zapewnią bezpieczeństwa żywnościowego swoim obywatelom. Są wśród nich Jemen, Sudan, Uganda, Egipt i Bangladesz. Ponad 90% pszenicy importowanej do Ugandy w 2019 r. pochodziło z Ukrainy</w:t>
      </w:r>
      <w:r w:rsidR="00E32D05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pl-PL"/>
        </w:rPr>
        <w:t>połowę pszenicy importowanej do Egiptu w 2021 r. stanowiły dostawy z Rosji, a 30% z Ukrainy. Sankcje gospodarcze wymierzone w Rosję powodują wzrost cen energii, transportu i produkcji żywności w Europie. L</w:t>
      </w:r>
      <w:r w:rsidRPr="00010791">
        <w:rPr>
          <w:rFonts w:ascii="Times New Roman" w:hAnsi="Times New Roman" w:cs="Times New Roman"/>
          <w:sz w:val="24"/>
          <w:szCs w:val="24"/>
          <w:lang w:val="pl-PL"/>
        </w:rPr>
        <w:t>imity na eksport nawozów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Rosji także zakłócają sytuację na </w:t>
      </w:r>
      <w:r w:rsidR="003D76B1">
        <w:rPr>
          <w:rFonts w:ascii="Times New Roman" w:hAnsi="Times New Roman" w:cs="Times New Roman"/>
          <w:sz w:val="24"/>
          <w:szCs w:val="24"/>
          <w:lang w:val="pl-PL"/>
        </w:rPr>
        <w:t xml:space="preserve">globalnym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rynku zbóż i innych produktów rolno-żywnościowych. </w:t>
      </w:r>
    </w:p>
    <w:p w:rsidR="00F1779B" w:rsidRDefault="00730656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Na bezpieczeństwo żywnościowe wpływają działania podejmowane </w:t>
      </w:r>
      <w:r w:rsidR="00D07B41">
        <w:rPr>
          <w:rFonts w:ascii="Times New Roman" w:hAnsi="Times New Roman" w:cs="Times New Roman"/>
          <w:sz w:val="24"/>
          <w:szCs w:val="24"/>
          <w:lang w:val="pl-PL"/>
        </w:rPr>
        <w:t>na każdym etapie łańcucha dostaw, od rolnictwa</w:t>
      </w:r>
      <w:r w:rsidR="003209E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D07B41">
        <w:rPr>
          <w:rFonts w:ascii="Times New Roman" w:hAnsi="Times New Roman" w:cs="Times New Roman"/>
          <w:sz w:val="24"/>
          <w:szCs w:val="24"/>
          <w:lang w:val="pl-PL"/>
        </w:rPr>
        <w:t xml:space="preserve"> poprzez dystrybucję, przetwórstwo, opakowalnictwo, magazynowanie, handel i gastronomię, aż do konsumpcji. </w:t>
      </w:r>
      <w:r w:rsidR="003D25B9">
        <w:rPr>
          <w:rFonts w:ascii="Times New Roman" w:hAnsi="Times New Roman" w:cs="Times New Roman"/>
          <w:sz w:val="24"/>
          <w:szCs w:val="24"/>
          <w:lang w:val="pl-PL"/>
        </w:rPr>
        <w:t xml:space="preserve">W ostatnim czasie często podejmowany jest temat </w:t>
      </w:r>
      <w:r w:rsidR="003D25B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wpływu zmian klimatu na poziom wyżywienia globalnej populacji. </w:t>
      </w:r>
      <w:r w:rsidR="00D07B41">
        <w:rPr>
          <w:rFonts w:ascii="Times New Roman" w:hAnsi="Times New Roman" w:cs="Times New Roman"/>
          <w:sz w:val="24"/>
          <w:szCs w:val="24"/>
          <w:lang w:val="pl-PL"/>
        </w:rPr>
        <w:t>Zmiany klimatu spowodowane są zarówno procesami naturalnymi, jak i działalnością człowieka. Z uwagi na fakt, iż emisje naturalne pokrywają się z emisją gazów cieplarnianych wynikającą z działań podejmowanych przez ludzi (np.</w:t>
      </w:r>
      <w:r w:rsidR="00D07B41" w:rsidRPr="00D07B41">
        <w:rPr>
          <w:lang w:val="pl-PL"/>
        </w:rPr>
        <w:t xml:space="preserve"> </w:t>
      </w:r>
      <w:r w:rsidR="00D07B41" w:rsidRPr="00D07B41">
        <w:rPr>
          <w:rFonts w:ascii="Times New Roman" w:hAnsi="Times New Roman" w:cs="Times New Roman"/>
          <w:sz w:val="24"/>
          <w:szCs w:val="24"/>
          <w:lang w:val="pl-PL"/>
        </w:rPr>
        <w:t>emisj</w:t>
      </w:r>
      <w:r w:rsidR="00226E4C">
        <w:rPr>
          <w:rFonts w:ascii="Times New Roman" w:hAnsi="Times New Roman" w:cs="Times New Roman"/>
          <w:sz w:val="24"/>
          <w:szCs w:val="24"/>
          <w:lang w:val="pl-PL"/>
        </w:rPr>
        <w:t>ą N</w:t>
      </w:r>
      <w:r w:rsidR="00226E4C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2</w:t>
      </w:r>
      <w:r w:rsidR="00226E4C">
        <w:rPr>
          <w:rFonts w:ascii="Times New Roman" w:hAnsi="Times New Roman" w:cs="Times New Roman"/>
          <w:sz w:val="24"/>
          <w:szCs w:val="24"/>
          <w:lang w:val="pl-PL"/>
        </w:rPr>
        <w:t xml:space="preserve">O </w:t>
      </w:r>
      <w:r w:rsidR="00D07B41" w:rsidRPr="00D07B41">
        <w:rPr>
          <w:rFonts w:ascii="Times New Roman" w:hAnsi="Times New Roman" w:cs="Times New Roman"/>
          <w:sz w:val="24"/>
          <w:szCs w:val="24"/>
          <w:lang w:val="pl-PL"/>
        </w:rPr>
        <w:t>z gleb)</w:t>
      </w:r>
      <w:r w:rsidR="00C859CC">
        <w:rPr>
          <w:rFonts w:ascii="Times New Roman" w:hAnsi="Times New Roman" w:cs="Times New Roman"/>
          <w:sz w:val="24"/>
          <w:szCs w:val="24"/>
          <w:lang w:val="pl-PL"/>
        </w:rPr>
        <w:t>, powstaje możliwość podwójnego liczenia emisji.</w:t>
      </w:r>
      <w:r w:rsidR="00625043">
        <w:rPr>
          <w:rFonts w:ascii="Times New Roman" w:hAnsi="Times New Roman" w:cs="Times New Roman"/>
          <w:sz w:val="24"/>
          <w:szCs w:val="24"/>
          <w:lang w:val="pl-PL"/>
        </w:rPr>
        <w:t xml:space="preserve"> Dostępne dane pozwalają jednak na określenie trendów zachodzących zmian. </w:t>
      </w:r>
    </w:p>
    <w:p w:rsidR="00117BF6" w:rsidRPr="00EE1260" w:rsidRDefault="00DB414A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B414A">
        <w:rPr>
          <w:rFonts w:ascii="Times New Roman" w:hAnsi="Times New Roman" w:cs="Times New Roman"/>
          <w:sz w:val="24"/>
          <w:szCs w:val="24"/>
          <w:lang w:val="pl-PL"/>
        </w:rPr>
        <w:t>Światowy Fundusz na rzecz Przyrody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Pr="003209EA">
        <w:rPr>
          <w:rFonts w:ascii="Times New Roman" w:hAnsi="Times New Roman" w:cs="Times New Roman"/>
          <w:sz w:val="24"/>
          <w:szCs w:val="24"/>
          <w:lang w:val="pl-PL"/>
        </w:rPr>
        <w:t xml:space="preserve">World </w:t>
      </w:r>
      <w:proofErr w:type="spellStart"/>
      <w:r w:rsidRPr="003209EA">
        <w:rPr>
          <w:rFonts w:ascii="Times New Roman" w:hAnsi="Times New Roman" w:cs="Times New Roman"/>
          <w:sz w:val="24"/>
          <w:szCs w:val="24"/>
          <w:lang w:val="pl-PL"/>
        </w:rPr>
        <w:t>Wide</w:t>
      </w:r>
      <w:proofErr w:type="spellEnd"/>
      <w:r w:rsidRPr="003209EA">
        <w:rPr>
          <w:rFonts w:ascii="Times New Roman" w:hAnsi="Times New Roman" w:cs="Times New Roman"/>
          <w:sz w:val="24"/>
          <w:szCs w:val="24"/>
          <w:lang w:val="pl-PL"/>
        </w:rPr>
        <w:t xml:space="preserve"> Fund for Nature, WWF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) podaje, że </w:t>
      </w:r>
      <w:r w:rsidR="00BA3032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BA3032" w:rsidRPr="00BA3032">
        <w:rPr>
          <w:rFonts w:ascii="Times New Roman" w:hAnsi="Times New Roman" w:cs="Times New Roman"/>
          <w:sz w:val="24"/>
          <w:szCs w:val="24"/>
          <w:lang w:val="pl-PL"/>
        </w:rPr>
        <w:t xml:space="preserve">ektor </w:t>
      </w:r>
      <w:r w:rsidR="00BA3032">
        <w:rPr>
          <w:rFonts w:ascii="Times New Roman" w:hAnsi="Times New Roman" w:cs="Times New Roman"/>
          <w:sz w:val="24"/>
          <w:szCs w:val="24"/>
          <w:lang w:val="pl-PL"/>
        </w:rPr>
        <w:t>rolno-</w:t>
      </w:r>
      <w:r w:rsidR="00BA3032" w:rsidRPr="00BA3032">
        <w:rPr>
          <w:rFonts w:ascii="Times New Roman" w:hAnsi="Times New Roman" w:cs="Times New Roman"/>
          <w:sz w:val="24"/>
          <w:szCs w:val="24"/>
          <w:lang w:val="pl-PL"/>
        </w:rPr>
        <w:t xml:space="preserve">spożywczy odpowiada za 27% globalnej </w:t>
      </w:r>
      <w:r w:rsidR="00BA3032" w:rsidRPr="00EE1260">
        <w:rPr>
          <w:rFonts w:ascii="Times New Roman" w:hAnsi="Times New Roman" w:cs="Times New Roman"/>
          <w:sz w:val="24"/>
          <w:szCs w:val="24"/>
          <w:lang w:val="pl-PL"/>
        </w:rPr>
        <w:t>emisji gazów cieplarnianych, które powodują wzrost temperatury na Ziemi, a co za tym idzie zmianę klimatu.</w:t>
      </w:r>
      <w:r w:rsidR="00B07E24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Jeśli tendencja wzrostu globalnej temperatury utrzyma się, na co wskazują</w:t>
      </w:r>
      <w:r w:rsidR="006B7EBB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24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prognozy, </w:t>
      </w:r>
      <w:r w:rsidR="006B7EBB" w:rsidRPr="00EE1260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07E24" w:rsidRPr="00EE1260">
        <w:rPr>
          <w:rFonts w:ascii="Times New Roman" w:hAnsi="Times New Roman" w:cs="Times New Roman"/>
          <w:sz w:val="24"/>
          <w:szCs w:val="24"/>
          <w:lang w:val="pl-PL"/>
        </w:rPr>
        <w:t>raz z ociepleniem atmosfery zwiększy się częstotliwość występowania niekorzystnych dla rolnictwa zjawisk pogodowych, tj. susz, gwałtown</w:t>
      </w:r>
      <w:r w:rsidR="006B7EBB" w:rsidRPr="00EE1260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B07E24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burz</w:t>
      </w:r>
      <w:r w:rsidR="006B7EBB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oraz</w:t>
      </w:r>
      <w:r w:rsidR="00B07E24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fal upałów. Ponadto zwiększy się parowanie z gruntu i roślin, co spowoduje ograniczenie dostępności wody opadowej dla roślin.</w:t>
      </w:r>
      <w:r w:rsidR="00117BF6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Szacuje się, że emisja jest większa od pochłaniania w wyniku wylesiania, odwadniania gleb organicznych i zmiany użytkowania gruntów, które tylko częściowo są kompensowane przez zalesianie oraz inne działania</w:t>
      </w:r>
      <w:r w:rsidR="007538A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17BF6" w:rsidRPr="00EE1260">
        <w:rPr>
          <w:rFonts w:ascii="Times New Roman" w:hAnsi="Times New Roman" w:cs="Times New Roman"/>
          <w:sz w:val="24"/>
          <w:szCs w:val="24"/>
          <w:lang w:val="pl-PL"/>
        </w:rPr>
        <w:t>mające na celu zwiększenie pochłaniania i magazynowania węgla.</w:t>
      </w:r>
      <w:r w:rsidR="000B0765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E1260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Jednym ze sposobów </w:t>
      </w:r>
      <w:r w:rsidR="000B0765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zwiększenia sekwestracji </w:t>
      </w:r>
      <w:r w:rsidR="00EE1260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węgla w glebie jest </w:t>
      </w:r>
      <w:r w:rsidR="000B0765" w:rsidRPr="00EE1260">
        <w:rPr>
          <w:rFonts w:ascii="Times New Roman" w:hAnsi="Times New Roman" w:cs="Times New Roman"/>
          <w:sz w:val="24"/>
          <w:szCs w:val="24"/>
          <w:lang w:val="pl-PL"/>
        </w:rPr>
        <w:t>regularne stosowanie obornika</w:t>
      </w:r>
      <w:r w:rsidR="00C16E7B" w:rsidRPr="00C16E7B">
        <w:rPr>
          <w:lang w:val="pl-PL"/>
        </w:rPr>
        <w:t xml:space="preserve"> (</w:t>
      </w:r>
      <w:r w:rsidR="00C16E7B" w:rsidRPr="00C16E7B">
        <w:rPr>
          <w:rFonts w:ascii="Times New Roman" w:hAnsi="Times New Roman" w:cs="Times New Roman"/>
          <w:sz w:val="24"/>
          <w:szCs w:val="24"/>
          <w:lang w:val="pl-PL"/>
        </w:rPr>
        <w:t>naw</w:t>
      </w:r>
      <w:r w:rsidR="00C16E7B">
        <w:rPr>
          <w:rFonts w:ascii="Times New Roman" w:hAnsi="Times New Roman" w:cs="Times New Roman"/>
          <w:sz w:val="24"/>
          <w:szCs w:val="24"/>
          <w:lang w:val="pl-PL"/>
        </w:rPr>
        <w:t xml:space="preserve">ozu naturalnego </w:t>
      </w:r>
      <w:r w:rsidR="00C16E7B" w:rsidRPr="00C16E7B">
        <w:rPr>
          <w:rFonts w:ascii="Times New Roman" w:hAnsi="Times New Roman" w:cs="Times New Roman"/>
          <w:sz w:val="24"/>
          <w:szCs w:val="24"/>
          <w:lang w:val="pl-PL"/>
        </w:rPr>
        <w:t>pochodząc</w:t>
      </w:r>
      <w:r w:rsidR="00C16E7B">
        <w:rPr>
          <w:rFonts w:ascii="Times New Roman" w:hAnsi="Times New Roman" w:cs="Times New Roman"/>
          <w:sz w:val="24"/>
          <w:szCs w:val="24"/>
          <w:lang w:val="pl-PL"/>
        </w:rPr>
        <w:t xml:space="preserve">ego </w:t>
      </w:r>
      <w:r w:rsidR="00C16E7B" w:rsidRPr="00C16E7B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C16E7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16E7B" w:rsidRPr="00C16E7B">
        <w:rPr>
          <w:rFonts w:ascii="Times New Roman" w:hAnsi="Times New Roman" w:cs="Times New Roman"/>
          <w:sz w:val="24"/>
          <w:szCs w:val="24"/>
          <w:lang w:val="pl-PL"/>
        </w:rPr>
        <w:t>chowu zwierząt gospodarskich</w:t>
      </w:r>
      <w:r w:rsidR="00C16E7B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0B0765" w:rsidRPr="00EE126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07E24" w:rsidRDefault="00B07E24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Naukowcy dochodzą do różnych </w:t>
      </w:r>
      <w:r w:rsidR="003D25B9">
        <w:rPr>
          <w:rFonts w:ascii="Times New Roman" w:hAnsi="Times New Roman" w:cs="Times New Roman"/>
          <w:sz w:val="24"/>
          <w:szCs w:val="24"/>
          <w:lang w:val="pl-PL"/>
        </w:rPr>
        <w:t xml:space="preserve">(czasem przeciwnych) </w:t>
      </w:r>
      <w:r w:rsidRPr="00EE1260">
        <w:rPr>
          <w:rFonts w:ascii="Times New Roman" w:hAnsi="Times New Roman" w:cs="Times New Roman"/>
          <w:sz w:val="24"/>
          <w:szCs w:val="24"/>
          <w:lang w:val="pl-PL"/>
        </w:rPr>
        <w:t>wniosków na temat wpływu rolnictwa na stan środowiska i zmiany klimatu oraz wpływu globa</w:t>
      </w:r>
      <w:r w:rsidR="007F0F2F">
        <w:rPr>
          <w:rFonts w:ascii="Times New Roman" w:hAnsi="Times New Roman" w:cs="Times New Roman"/>
          <w:sz w:val="24"/>
          <w:szCs w:val="24"/>
          <w:lang w:val="pl-PL"/>
        </w:rPr>
        <w:t>lnego ocieplenia na rolnictwo i </w:t>
      </w:r>
      <w:r w:rsidRPr="00EE1260">
        <w:rPr>
          <w:rFonts w:ascii="Times New Roman" w:hAnsi="Times New Roman" w:cs="Times New Roman"/>
          <w:sz w:val="24"/>
          <w:szCs w:val="24"/>
          <w:lang w:val="pl-PL"/>
        </w:rPr>
        <w:t>produkcję żywności, ceny i poziom zapewnienia bezpieczeństwa żywnościowego.</w:t>
      </w:r>
      <w:r w:rsidR="003C3B3C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Pewien badacz z Chin przewiduje, że </w:t>
      </w:r>
      <w:r w:rsidR="003C3B3C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w wyniku </w:t>
      </w:r>
      <w:r w:rsidR="003D25B9">
        <w:rPr>
          <w:rFonts w:ascii="Times New Roman" w:hAnsi="Times New Roman" w:cs="Times New Roman"/>
          <w:sz w:val="24"/>
          <w:szCs w:val="24"/>
          <w:lang w:val="pl-PL"/>
        </w:rPr>
        <w:t xml:space="preserve">globalnego ocieplania </w:t>
      </w:r>
      <w:r w:rsidR="007F0F2F">
        <w:rPr>
          <w:rFonts w:ascii="Times New Roman" w:hAnsi="Times New Roman" w:cs="Times New Roman"/>
          <w:sz w:val="24"/>
          <w:szCs w:val="24"/>
          <w:lang w:val="pl-PL"/>
        </w:rPr>
        <w:t>plony pszenicy wzrosną w </w:t>
      </w:r>
      <w:r w:rsidRPr="00EE1260">
        <w:rPr>
          <w:rFonts w:ascii="Times New Roman" w:hAnsi="Times New Roman" w:cs="Times New Roman"/>
          <w:sz w:val="24"/>
          <w:szCs w:val="24"/>
          <w:lang w:val="pl-PL"/>
        </w:rPr>
        <w:t>krajach eksportujących ją</w:t>
      </w:r>
      <w:r w:rsidR="00E32D05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13132E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1260">
        <w:rPr>
          <w:rFonts w:ascii="Times New Roman" w:hAnsi="Times New Roman" w:cs="Times New Roman"/>
          <w:sz w:val="24"/>
          <w:szCs w:val="24"/>
          <w:lang w:val="pl-PL"/>
        </w:rPr>
        <w:t>położonych na dużych szerokościach geograficznych</w:t>
      </w:r>
      <w:r w:rsidR="0013132E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(Chinach, Indiach, Stanach Zjednoczonych, </w:t>
      </w:r>
      <w:r w:rsidR="003D25B9">
        <w:rPr>
          <w:rFonts w:ascii="Times New Roman" w:hAnsi="Times New Roman" w:cs="Times New Roman"/>
          <w:sz w:val="24"/>
          <w:szCs w:val="24"/>
          <w:lang w:val="pl-PL"/>
        </w:rPr>
        <w:t xml:space="preserve">Kanadzie, </w:t>
      </w:r>
      <w:r w:rsidR="0013132E" w:rsidRPr="00EE1260">
        <w:rPr>
          <w:rFonts w:ascii="Times New Roman" w:hAnsi="Times New Roman" w:cs="Times New Roman"/>
          <w:sz w:val="24"/>
          <w:szCs w:val="24"/>
          <w:lang w:val="pl-PL"/>
        </w:rPr>
        <w:t>Rosji itd.)</w:t>
      </w:r>
      <w:r w:rsidRPr="00EE1260">
        <w:rPr>
          <w:rFonts w:ascii="Times New Roman" w:hAnsi="Times New Roman" w:cs="Times New Roman"/>
          <w:sz w:val="24"/>
          <w:szCs w:val="24"/>
          <w:lang w:val="pl-PL"/>
        </w:rPr>
        <w:t>, ale znacznie zmniejszą się w</w:t>
      </w:r>
      <w:r w:rsidR="00896539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E1260">
        <w:rPr>
          <w:rFonts w:ascii="Times New Roman" w:hAnsi="Times New Roman" w:cs="Times New Roman"/>
          <w:sz w:val="24"/>
          <w:szCs w:val="24"/>
          <w:lang w:val="pl-PL"/>
        </w:rPr>
        <w:t>krajach importujących pszenicę, na niskich szerokościach geograficznych (np. w Afryce</w:t>
      </w:r>
      <w:r w:rsidR="00896539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czy </w:t>
      </w:r>
      <w:r w:rsidR="003C3B3C" w:rsidRPr="00EE1260">
        <w:rPr>
          <w:rFonts w:ascii="Times New Roman" w:hAnsi="Times New Roman" w:cs="Times New Roman"/>
          <w:sz w:val="24"/>
          <w:szCs w:val="24"/>
          <w:lang w:val="pl-PL"/>
        </w:rPr>
        <w:t>Azji Południow</w:t>
      </w:r>
      <w:r w:rsidR="003D25B9">
        <w:rPr>
          <w:rFonts w:ascii="Times New Roman" w:hAnsi="Times New Roman" w:cs="Times New Roman"/>
          <w:sz w:val="24"/>
          <w:szCs w:val="24"/>
          <w:lang w:val="pl-PL"/>
        </w:rPr>
        <w:t>ej</w:t>
      </w:r>
      <w:r w:rsidRPr="00EE1260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="003C3B3C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Analizy wykazały, że tzw. efekt nawożenia CO</w:t>
      </w:r>
      <w:r w:rsidR="003C3B3C" w:rsidRPr="00EE1260">
        <w:rPr>
          <w:rFonts w:ascii="Times New Roman" w:hAnsi="Times New Roman" w:cs="Times New Roman"/>
          <w:sz w:val="24"/>
          <w:szCs w:val="24"/>
          <w:vertAlign w:val="subscript"/>
          <w:lang w:val="pl-PL"/>
        </w:rPr>
        <w:t>2</w:t>
      </w:r>
      <w:r w:rsidR="003C3B3C" w:rsidRPr="00EE1260">
        <w:rPr>
          <w:rFonts w:ascii="Times New Roman" w:hAnsi="Times New Roman" w:cs="Times New Roman"/>
          <w:sz w:val="24"/>
          <w:szCs w:val="24"/>
          <w:lang w:val="pl-PL"/>
        </w:rPr>
        <w:t>, czyli</w:t>
      </w:r>
      <w:r w:rsidR="007F0F2F">
        <w:rPr>
          <w:rFonts w:ascii="Times New Roman" w:hAnsi="Times New Roman" w:cs="Times New Roman"/>
          <w:sz w:val="24"/>
          <w:szCs w:val="24"/>
          <w:lang w:val="pl-PL"/>
        </w:rPr>
        <w:t xml:space="preserve"> zjawisko wynikające z </w:t>
      </w:r>
      <w:r w:rsidR="003C3B3C" w:rsidRPr="00EE1260">
        <w:rPr>
          <w:rFonts w:ascii="Times New Roman" w:hAnsi="Times New Roman" w:cs="Times New Roman"/>
          <w:sz w:val="24"/>
          <w:szCs w:val="24"/>
          <w:lang w:val="pl-PL"/>
        </w:rPr>
        <w:t>tego, że ekosystemy pochłaniają ok. 25% całego emitowanego przez nas dwutlenku węgla, pozwala nieco zniwelować stres temperaturowy w uprawach, co w rezultacie przekłada się na nieco większe plony pszenicy. Niestety wzrost globalnych plonów niekoniecznie prowadzi do niższych cen na rynkach. Wyniki modelowania sugerują, że skoki cen pszenicy staną się częstsze i większe w miarę ocieplania się klimatu</w:t>
      </w:r>
      <w:r w:rsidR="003209EA">
        <w:rPr>
          <w:rFonts w:ascii="Times New Roman" w:hAnsi="Times New Roman" w:cs="Times New Roman"/>
          <w:sz w:val="24"/>
          <w:szCs w:val="24"/>
          <w:lang w:val="pl-PL"/>
        </w:rPr>
        <w:t xml:space="preserve"> i będą wywierały</w:t>
      </w:r>
      <w:r w:rsidR="003C3B3C" w:rsidRPr="00EE1260">
        <w:rPr>
          <w:rFonts w:ascii="Times New Roman" w:hAnsi="Times New Roman" w:cs="Times New Roman"/>
          <w:sz w:val="24"/>
          <w:szCs w:val="24"/>
          <w:lang w:val="pl-PL"/>
        </w:rPr>
        <w:t xml:space="preserve"> dodatkową presję ekonomiczną na społeczeństwa. Większy popyt na </w:t>
      </w:r>
      <w:r w:rsidR="00135FA8" w:rsidRPr="00EE1260">
        <w:rPr>
          <w:rFonts w:ascii="Times New Roman" w:hAnsi="Times New Roman" w:cs="Times New Roman"/>
          <w:sz w:val="24"/>
          <w:szCs w:val="24"/>
          <w:lang w:val="pl-PL"/>
        </w:rPr>
        <w:t>pszenicę</w:t>
      </w:r>
      <w:r w:rsidR="007F0F2F">
        <w:rPr>
          <w:rFonts w:ascii="Times New Roman" w:hAnsi="Times New Roman" w:cs="Times New Roman"/>
          <w:sz w:val="24"/>
          <w:szCs w:val="24"/>
          <w:lang w:val="pl-PL"/>
        </w:rPr>
        <w:t xml:space="preserve"> i wzrost cen konsumpcyjnych w </w:t>
      </w:r>
      <w:r w:rsidR="003C3B3C" w:rsidRPr="00EE1260">
        <w:rPr>
          <w:rFonts w:ascii="Times New Roman" w:hAnsi="Times New Roman" w:cs="Times New Roman"/>
          <w:sz w:val="24"/>
          <w:szCs w:val="24"/>
          <w:lang w:val="pl-PL"/>
        </w:rPr>
        <w:t>krajach importujących</w:t>
      </w:r>
      <w:r w:rsidR="00135FA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C3B3C" w:rsidRPr="003C3B3C">
        <w:rPr>
          <w:rFonts w:ascii="Times New Roman" w:hAnsi="Times New Roman" w:cs="Times New Roman"/>
          <w:sz w:val="24"/>
          <w:szCs w:val="24"/>
          <w:lang w:val="pl-PL"/>
        </w:rPr>
        <w:t>pogłębi tradycyjne podziały</w:t>
      </w:r>
      <w:r w:rsidR="00135FA8">
        <w:rPr>
          <w:rFonts w:ascii="Times New Roman" w:hAnsi="Times New Roman" w:cs="Times New Roman"/>
          <w:sz w:val="24"/>
          <w:szCs w:val="24"/>
          <w:lang w:val="pl-PL"/>
        </w:rPr>
        <w:t xml:space="preserve"> i nierówności. Trudno </w:t>
      </w:r>
      <w:r w:rsidR="00E32D05">
        <w:rPr>
          <w:rFonts w:ascii="Times New Roman" w:hAnsi="Times New Roman" w:cs="Times New Roman"/>
          <w:sz w:val="24"/>
          <w:szCs w:val="24"/>
          <w:lang w:val="pl-PL"/>
        </w:rPr>
        <w:t xml:space="preserve">dzisiaj </w:t>
      </w:r>
      <w:r w:rsidR="00135FA8">
        <w:rPr>
          <w:rFonts w:ascii="Times New Roman" w:hAnsi="Times New Roman" w:cs="Times New Roman"/>
          <w:sz w:val="24"/>
          <w:szCs w:val="24"/>
          <w:lang w:val="pl-PL"/>
        </w:rPr>
        <w:t>ocenić</w:t>
      </w:r>
      <w:r w:rsidR="003209E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35FA8">
        <w:rPr>
          <w:rFonts w:ascii="Times New Roman" w:hAnsi="Times New Roman" w:cs="Times New Roman"/>
          <w:sz w:val="24"/>
          <w:szCs w:val="24"/>
          <w:lang w:val="pl-PL"/>
        </w:rPr>
        <w:t xml:space="preserve"> czy wyniki tych badań </w:t>
      </w:r>
      <w:r w:rsidR="00B10E5E">
        <w:rPr>
          <w:rFonts w:ascii="Times New Roman" w:hAnsi="Times New Roman" w:cs="Times New Roman"/>
          <w:sz w:val="24"/>
          <w:szCs w:val="24"/>
          <w:lang w:val="pl-PL"/>
        </w:rPr>
        <w:t>zostaną potwierdzone</w:t>
      </w:r>
      <w:r w:rsidR="00135FA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312DB" w:rsidRPr="004312DB" w:rsidRDefault="004312DB" w:rsidP="007F0F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 w:rsidRPr="004312DB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Co jest zatem pewne?</w:t>
      </w:r>
    </w:p>
    <w:p w:rsidR="00C9534E" w:rsidRDefault="00135FA8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Pewne jest, że </w:t>
      </w:r>
      <w:r w:rsidR="00BA3032" w:rsidRPr="00BA3032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3209E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A3032" w:rsidRPr="00BA3032">
        <w:rPr>
          <w:rFonts w:ascii="Times New Roman" w:hAnsi="Times New Roman" w:cs="Times New Roman"/>
          <w:sz w:val="24"/>
          <w:szCs w:val="24"/>
          <w:lang w:val="pl-PL"/>
        </w:rPr>
        <w:t xml:space="preserve"> co </w:t>
      </w:r>
      <w:r>
        <w:rPr>
          <w:rFonts w:ascii="Times New Roman" w:hAnsi="Times New Roman" w:cs="Times New Roman"/>
          <w:sz w:val="24"/>
          <w:szCs w:val="24"/>
          <w:lang w:val="pl-PL"/>
        </w:rPr>
        <w:t>kupujemy i spożywamy</w:t>
      </w:r>
      <w:r w:rsidR="003209EA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BA3032" w:rsidRPr="00BA3032">
        <w:rPr>
          <w:rFonts w:ascii="Times New Roman" w:hAnsi="Times New Roman" w:cs="Times New Roman"/>
          <w:sz w:val="24"/>
          <w:szCs w:val="24"/>
          <w:lang w:val="pl-PL"/>
        </w:rPr>
        <w:t xml:space="preserve"> wpływa bezpośrednio na nasze życie i przyszłość planety. </w:t>
      </w:r>
      <w:r w:rsidR="00625043">
        <w:rPr>
          <w:rFonts w:ascii="Times New Roman" w:hAnsi="Times New Roman" w:cs="Times New Roman"/>
          <w:sz w:val="24"/>
          <w:szCs w:val="24"/>
          <w:lang w:val="pl-PL"/>
        </w:rPr>
        <w:t>Liczne badania wykazują, że produkcję zwierzęcą charakteryzuje znacznie wyższy ślad węglowy niż produkcję roślinną. Promuje się zatem „dietę planetarną”</w:t>
      </w:r>
      <w:r w:rsidR="00F000A9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3209EA">
        <w:rPr>
          <w:rFonts w:ascii="Times New Roman" w:hAnsi="Times New Roman" w:cs="Times New Roman"/>
          <w:b/>
          <w:sz w:val="24"/>
          <w:szCs w:val="24"/>
          <w:lang w:val="pl-PL"/>
        </w:rPr>
        <w:t>R</w:t>
      </w:r>
      <w:r w:rsidR="00F000A9" w:rsidRPr="00297211">
        <w:rPr>
          <w:rFonts w:ascii="Times New Roman" w:hAnsi="Times New Roman" w:cs="Times New Roman"/>
          <w:b/>
          <w:sz w:val="24"/>
          <w:szCs w:val="24"/>
          <w:lang w:val="pl-PL"/>
        </w:rPr>
        <w:t xml:space="preserve">ysunek </w:t>
      </w:r>
      <w:r w:rsidR="003648AD" w:rsidRPr="00297211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="003209EA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F000A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245142">
        <w:rPr>
          <w:rFonts w:ascii="Times New Roman" w:hAnsi="Times New Roman" w:cs="Times New Roman"/>
          <w:sz w:val="24"/>
          <w:szCs w:val="24"/>
          <w:lang w:val="pl-PL"/>
        </w:rPr>
        <w:t>, która sprzyja zdrowiu ludzi i jest przyjazna dla planety.</w:t>
      </w:r>
    </w:p>
    <w:p w:rsidR="00321A43" w:rsidRDefault="00321A43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321A43" w:rsidRDefault="00321A43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9534E" w:rsidRPr="003648AD" w:rsidRDefault="00C9534E" w:rsidP="0042058A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648A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Rysunek </w:t>
      </w:r>
      <w:r w:rsidR="003648AD" w:rsidRPr="003648AD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 w:rsidRPr="003648AD">
        <w:rPr>
          <w:rFonts w:ascii="Times New Roman" w:hAnsi="Times New Roman" w:cs="Times New Roman"/>
          <w:b/>
          <w:sz w:val="24"/>
          <w:szCs w:val="24"/>
          <w:lang w:val="pl-PL"/>
        </w:rPr>
        <w:t>. Dieta planetarna opracowana przez Komisję EAT-Lancet</w:t>
      </w:r>
      <w:r w:rsidR="004672D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(opublikowana w 2019 r.</w:t>
      </w:r>
      <w:r w:rsidR="00113DAF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C9534E" w:rsidRDefault="00C9534E" w:rsidP="0042058A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9534E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3308991" cy="3227705"/>
            <wp:effectExtent l="0" t="0" r="5715" b="0"/>
            <wp:docPr id="7" name="Obraz 7" descr="dieta planetarna talerz – Aleksandra Rodzie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eta planetarna talerz – Aleksandra Rodziewicz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95" cy="325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34E" w:rsidRDefault="00C9534E" w:rsidP="0042058A">
      <w:pPr>
        <w:spacing w:line="276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5D1D52">
        <w:rPr>
          <w:rFonts w:ascii="Times New Roman" w:hAnsi="Times New Roman" w:cs="Times New Roman"/>
          <w:sz w:val="20"/>
          <w:szCs w:val="20"/>
          <w:lang w:val="pl-PL"/>
        </w:rPr>
        <w:t xml:space="preserve">Źródło: </w:t>
      </w:r>
      <w:hyperlink r:id="rId12" w:history="1">
        <w:r w:rsidR="001E5620" w:rsidRPr="005D1D52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https://eatforum.org/eat-lancet-commission/the-planetary-health-diet-and-you/</w:t>
        </w:r>
      </w:hyperlink>
      <w:r w:rsidR="001E5620" w:rsidRPr="005D1D52">
        <w:rPr>
          <w:rFonts w:ascii="Times New Roman" w:hAnsi="Times New Roman" w:cs="Times New Roman"/>
          <w:sz w:val="20"/>
          <w:szCs w:val="20"/>
          <w:lang w:val="pl-PL"/>
        </w:rPr>
        <w:t xml:space="preserve"> (data dostępu: 24.08.2022).</w:t>
      </w:r>
    </w:p>
    <w:p w:rsidR="00245142" w:rsidRDefault="00245142" w:rsidP="007F0F2F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Ten sposób odżywiania się op</w:t>
      </w:r>
      <w:r w:rsidR="00E32D05">
        <w:rPr>
          <w:rFonts w:ascii="Times New Roman" w:hAnsi="Times New Roman" w:cs="Times New Roman"/>
          <w:sz w:val="24"/>
          <w:szCs w:val="24"/>
          <w:lang w:val="pl-PL"/>
        </w:rPr>
        <w:t>arty jest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kilku zasadach:</w:t>
      </w:r>
    </w:p>
    <w:p w:rsidR="00245142" w:rsidRPr="00121139" w:rsidRDefault="00245142" w:rsidP="0042058A">
      <w:pPr>
        <w:pStyle w:val="Akapitzlist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1139">
        <w:rPr>
          <w:rFonts w:ascii="Times New Roman" w:hAnsi="Times New Roman" w:cs="Times New Roman"/>
          <w:sz w:val="24"/>
          <w:szCs w:val="24"/>
          <w:lang w:val="pl-PL"/>
        </w:rPr>
        <w:t>jemy sezonowo i lokalnie – zimą jemy kiszonki, (domowe) przetwory, owoce krajowe, a wiosną – nowalijki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45142" w:rsidRPr="00121139" w:rsidRDefault="00245142" w:rsidP="0042058A">
      <w:pPr>
        <w:pStyle w:val="Akapitzlist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1139">
        <w:rPr>
          <w:rFonts w:ascii="Times New Roman" w:hAnsi="Times New Roman" w:cs="Times New Roman"/>
          <w:sz w:val="24"/>
          <w:szCs w:val="24"/>
          <w:lang w:val="pl-PL"/>
        </w:rPr>
        <w:t>ograniczamy mięso – bardzo dużą część paszy dla zwierząt stanowią przetworzone nasiona soi, której uprawa odpowiedzialna jest za wylesianie lasów deszczowych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 podobnie jak tereny pod intensywną hodowlę bydła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>; relatywnie wysoka emisja z hodowli z</w:t>
      </w:r>
      <w:r w:rsidR="007F0F2F">
        <w:rPr>
          <w:rFonts w:ascii="Times New Roman" w:hAnsi="Times New Roman" w:cs="Times New Roman"/>
          <w:sz w:val="24"/>
          <w:szCs w:val="24"/>
          <w:lang w:val="pl-PL"/>
        </w:rPr>
        <w:t>wierząt wynika z 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>fermentacji jelitowej (produkcji metanu) oraz z gospodarki odchodami zwierzęcymi; czerwone mięso to źródło niezdrowych tłuszczów nasyconych (choć jednocześnie źródł</w:t>
      </w:r>
      <w:r w:rsidR="00E32D05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 żelaza, ważnego do prawidłowej pracy mózgu)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45142" w:rsidRPr="00121139" w:rsidRDefault="00245142" w:rsidP="0042058A">
      <w:pPr>
        <w:pStyle w:val="Akapitzlist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zamiast mięsa jemy więcej: warzyw 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– </w:t>
      </w:r>
      <w:r w:rsidRPr="00121139">
        <w:rPr>
          <w:rFonts w:ascii="Times New Roman" w:hAnsi="Times New Roman" w:cs="Times New Roman"/>
          <w:sz w:val="24"/>
          <w:szCs w:val="24"/>
          <w:lang w:val="pl-PL"/>
        </w:rPr>
        <w:t>zwłaszcza strączkowych, owoców, kasz, orzechów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 (ważne źródło białka)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45142" w:rsidRPr="00121139" w:rsidRDefault="00245142" w:rsidP="0042058A">
      <w:pPr>
        <w:pStyle w:val="Akapitzlist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1139">
        <w:rPr>
          <w:rFonts w:ascii="Times New Roman" w:hAnsi="Times New Roman" w:cs="Times New Roman"/>
          <w:sz w:val="24"/>
          <w:szCs w:val="24"/>
          <w:lang w:val="pl-PL"/>
        </w:rPr>
        <w:t>jemy jak najmniej produktów przetworzonych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45142" w:rsidRPr="00121139" w:rsidRDefault="00245142" w:rsidP="0042058A">
      <w:pPr>
        <w:pStyle w:val="Akapitzlist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gotujemy z 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tego, co mamy jeszcze w lodówce, </w:t>
      </w:r>
      <w:r w:rsidR="00BE57DA">
        <w:rPr>
          <w:rFonts w:ascii="Times New Roman" w:hAnsi="Times New Roman" w:cs="Times New Roman"/>
          <w:sz w:val="24"/>
          <w:szCs w:val="24"/>
          <w:lang w:val="pl-PL"/>
        </w:rPr>
        <w:t>starannie</w:t>
      </w:r>
      <w:r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 planujemy zakupy i posiłki – tak, aby jak najmniej 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>jedzenia marnować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245142" w:rsidRPr="00121139" w:rsidRDefault="00245142" w:rsidP="0042058A">
      <w:pPr>
        <w:pStyle w:val="Akapitzlist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1139">
        <w:rPr>
          <w:rFonts w:ascii="Times New Roman" w:hAnsi="Times New Roman" w:cs="Times New Roman"/>
          <w:sz w:val="24"/>
          <w:szCs w:val="24"/>
          <w:lang w:val="pl-PL"/>
        </w:rPr>
        <w:t>wybieramy pełnoziarniste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 produkty zbożowe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625043" w:rsidRDefault="00245142" w:rsidP="0042058A">
      <w:pPr>
        <w:pStyle w:val="Akapitzlist"/>
        <w:numPr>
          <w:ilvl w:val="0"/>
          <w:numId w:val="1"/>
        </w:num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21139">
        <w:rPr>
          <w:rFonts w:ascii="Times New Roman" w:hAnsi="Times New Roman" w:cs="Times New Roman"/>
          <w:sz w:val="24"/>
          <w:szCs w:val="24"/>
          <w:lang w:val="pl-PL"/>
        </w:rPr>
        <w:t>zmniejszamy iloś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 nabiału oraz jajek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 (relatywnie wysoki ślad węglowy)</w:t>
      </w:r>
      <w:r w:rsidRPr="00121139">
        <w:rPr>
          <w:rFonts w:ascii="Times New Roman" w:hAnsi="Times New Roman" w:cs="Times New Roman"/>
          <w:sz w:val="24"/>
          <w:szCs w:val="24"/>
          <w:lang w:val="pl-PL"/>
        </w:rPr>
        <w:t xml:space="preserve">, wybieramy </w:t>
      </w:r>
      <w:r w:rsidR="00DB414A" w:rsidRPr="00121139">
        <w:rPr>
          <w:rFonts w:ascii="Times New Roman" w:hAnsi="Times New Roman" w:cs="Times New Roman"/>
          <w:sz w:val="24"/>
          <w:szCs w:val="24"/>
          <w:lang w:val="pl-PL"/>
        </w:rPr>
        <w:t>oleje i inne tłu</w:t>
      </w:r>
      <w:r w:rsidRPr="00121139">
        <w:rPr>
          <w:rFonts w:ascii="Times New Roman" w:hAnsi="Times New Roman" w:cs="Times New Roman"/>
          <w:sz w:val="24"/>
          <w:szCs w:val="24"/>
          <w:lang w:val="pl-PL"/>
        </w:rPr>
        <w:t>szcze roślinne.</w:t>
      </w:r>
    </w:p>
    <w:p w:rsidR="004312DB" w:rsidRPr="004312DB" w:rsidRDefault="004312DB" w:rsidP="007F0F2F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</w:pPr>
      <w:r w:rsidRPr="004312DB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Co jest niepewne</w:t>
      </w:r>
      <w:r w:rsidR="00E710C9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 xml:space="preserve"> w kontekście zapewnienia bezpieczeństwa żywnościowego</w:t>
      </w:r>
      <w:r w:rsidRPr="004312DB">
        <w:rPr>
          <w:rFonts w:ascii="Times New Roman" w:hAnsi="Times New Roman" w:cs="Times New Roman"/>
          <w:b/>
          <w:color w:val="0070C0"/>
          <w:sz w:val="24"/>
          <w:szCs w:val="24"/>
          <w:lang w:val="pl-PL"/>
        </w:rPr>
        <w:t>?</w:t>
      </w:r>
    </w:p>
    <w:p w:rsidR="003D25B9" w:rsidRDefault="00BA4151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Antyreklama mięsa produkowanego w tradycyjn</w:t>
      </w:r>
      <w:r w:rsidR="001B53AF">
        <w:rPr>
          <w:rFonts w:ascii="Times New Roman" w:hAnsi="Times New Roman" w:cs="Times New Roman"/>
          <w:sz w:val="24"/>
          <w:szCs w:val="24"/>
          <w:lang w:val="pl-PL"/>
        </w:rPr>
        <w:t>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sposób, a jednocześnie promowanie 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 xml:space="preserve">tzw. </w:t>
      </w:r>
      <w:r>
        <w:rPr>
          <w:rFonts w:ascii="Times New Roman" w:hAnsi="Times New Roman" w:cs="Times New Roman"/>
          <w:sz w:val="24"/>
          <w:szCs w:val="24"/>
          <w:lang w:val="pl-PL"/>
        </w:rPr>
        <w:t>sztucznego mięs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(produkowanego w probówce, czyli mięsa </w:t>
      </w:r>
      <w:r w:rsidRPr="00BA4151">
        <w:rPr>
          <w:rFonts w:ascii="Times New Roman" w:hAnsi="Times New Roman" w:cs="Times New Roman"/>
          <w:i/>
          <w:sz w:val="24"/>
          <w:szCs w:val="24"/>
          <w:lang w:val="pl-PL"/>
        </w:rPr>
        <w:t>in vitro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czy inaczej mięsa laboratoryjnego) może mieć dalekosiężne skutki dla zdrowia ludzi, dobrostanu zwierząt, </w:t>
      </w: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dochodowości rodzinnych gospodarstw rolnych i jakości życia członków tych rodzin, środowiska i gospodarki.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 xml:space="preserve"> Mimo nagłaśniania licznych zalet produkcji mięsa laboratoryjnego (zmniejszenie negatywnego wpływu 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 xml:space="preserve">produkcji zwierzęcej 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>na środowisko, zapewnienie bezpieczeństwa żywności</w:t>
      </w:r>
      <w:r w:rsidR="001B53AF">
        <w:rPr>
          <w:rFonts w:ascii="Times New Roman" w:hAnsi="Times New Roman" w:cs="Times New Roman"/>
          <w:sz w:val="24"/>
          <w:szCs w:val="24"/>
          <w:lang w:val="pl-PL"/>
        </w:rPr>
        <w:t xml:space="preserve">, zmniejszenie cierpienia zwierząt 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 xml:space="preserve">itd.), okazuje się, że </w:t>
      </w:r>
      <w:r w:rsidR="00257E3C">
        <w:rPr>
          <w:rFonts w:ascii="Times New Roman" w:hAnsi="Times New Roman" w:cs="Times New Roman"/>
          <w:sz w:val="24"/>
          <w:szCs w:val="24"/>
          <w:lang w:val="pl-PL"/>
        </w:rPr>
        <w:t xml:space="preserve">produkcja ta ma też 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 xml:space="preserve">słabe strony. </w:t>
      </w:r>
      <w:r w:rsidR="001B53AF">
        <w:rPr>
          <w:rFonts w:ascii="Times New Roman" w:hAnsi="Times New Roman" w:cs="Times New Roman"/>
          <w:sz w:val="24"/>
          <w:szCs w:val="24"/>
          <w:lang w:val="pl-PL"/>
        </w:rPr>
        <w:t xml:space="preserve">Pierwszą z nich jest 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 xml:space="preserve">bardzo </w:t>
      </w:r>
      <w:r w:rsidR="001B53AF">
        <w:rPr>
          <w:rFonts w:ascii="Times New Roman" w:hAnsi="Times New Roman" w:cs="Times New Roman"/>
          <w:sz w:val="24"/>
          <w:szCs w:val="24"/>
          <w:lang w:val="pl-PL"/>
        </w:rPr>
        <w:t>wysok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 xml:space="preserve">i koszt wytworzenia </w:t>
      </w:r>
      <w:r w:rsidR="001B53AF">
        <w:rPr>
          <w:rFonts w:ascii="Times New Roman" w:hAnsi="Times New Roman" w:cs="Times New Roman"/>
          <w:sz w:val="24"/>
          <w:szCs w:val="24"/>
          <w:lang w:val="pl-PL"/>
        </w:rPr>
        <w:t>mięsa laboratoryjnego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1B53A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>Ponadto k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 xml:space="preserve">omórki mają swoje wymagania co do warunków wzrostu, 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 xml:space="preserve">zwłaszcza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co do tzw.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pożywki, z której będą czerpać składniki odżywcze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i stymulatory w postaci hormonów oraz czynników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wzrostu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 xml:space="preserve">. Hodowla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 xml:space="preserve">komórek </w:t>
      </w:r>
      <w:r w:rsidR="00A63A28">
        <w:rPr>
          <w:rFonts w:ascii="Times New Roman" w:hAnsi="Times New Roman" w:cs="Times New Roman"/>
          <w:sz w:val="24"/>
          <w:szCs w:val="24"/>
          <w:lang w:val="pl-PL"/>
        </w:rPr>
        <w:t xml:space="preserve">ma określone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zapotrzebowani</w:t>
      </w:r>
      <w:r w:rsidR="00A63A28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 xml:space="preserve"> na wsparcie ze strony produktów pozyskanych ze zwierząt</w:t>
      </w:r>
      <w:r w:rsidR="00A63A28">
        <w:rPr>
          <w:rFonts w:ascii="Times New Roman" w:hAnsi="Times New Roman" w:cs="Times New Roman"/>
          <w:sz w:val="24"/>
          <w:szCs w:val="24"/>
          <w:lang w:val="pl-PL"/>
        </w:rPr>
        <w:t>. O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prócz kolagenu jest to także płodowa surowica bydlęca</w:t>
      </w:r>
      <w:r w:rsidR="00A63A28">
        <w:rPr>
          <w:rFonts w:ascii="Times New Roman" w:hAnsi="Times New Roman" w:cs="Times New Roman"/>
          <w:sz w:val="24"/>
          <w:szCs w:val="24"/>
          <w:lang w:val="pl-PL"/>
        </w:rPr>
        <w:t>. O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ba materiały są niezwykle kosztowne i trudne do</w:t>
      </w:r>
      <w:r w:rsidR="00A63A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 xml:space="preserve">zaakceptowania </w:t>
      </w:r>
      <w:r w:rsidR="00257E3C">
        <w:rPr>
          <w:rFonts w:ascii="Times New Roman" w:hAnsi="Times New Roman" w:cs="Times New Roman"/>
          <w:sz w:val="24"/>
          <w:szCs w:val="24"/>
          <w:lang w:val="pl-PL"/>
        </w:rPr>
        <w:t>ze względów etycznych</w:t>
      </w:r>
      <w:r w:rsidR="00A63A28">
        <w:rPr>
          <w:rFonts w:ascii="Times New Roman" w:hAnsi="Times New Roman" w:cs="Times New Roman"/>
          <w:sz w:val="24"/>
          <w:szCs w:val="24"/>
          <w:lang w:val="pl-PL"/>
        </w:rPr>
        <w:t>. S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urowicę pozyskuje się z zabijanych płodów cieląt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257E3C">
        <w:rPr>
          <w:rFonts w:ascii="Times New Roman" w:hAnsi="Times New Roman" w:cs="Times New Roman"/>
          <w:sz w:val="24"/>
          <w:szCs w:val="24"/>
          <w:lang w:val="pl-PL"/>
        </w:rPr>
        <w:t>Według szacunków n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a pierwszego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hamburgera prof. Prosta</w:t>
      </w:r>
      <w:r w:rsidR="00257E3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użyto surowicy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 xml:space="preserve"> z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 xml:space="preserve"> ponad 100 płodów cielęcych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>. Co więcej</w:t>
      </w:r>
      <w:r w:rsidR="00647766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imo sterylności pracy laboratoryjnej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 xml:space="preserve"> i wzrostu w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 xml:space="preserve">kontrolowanych warunkach, hodowla </w:t>
      </w:r>
      <w:r w:rsidR="00572159">
        <w:rPr>
          <w:rFonts w:ascii="Times New Roman" w:hAnsi="Times New Roman" w:cs="Times New Roman"/>
          <w:sz w:val="24"/>
          <w:szCs w:val="24"/>
          <w:lang w:val="pl-PL"/>
        </w:rPr>
        <w:t xml:space="preserve">często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 xml:space="preserve">ulega zakażeniom bakteryjnym czy grzybiczym, więc niezbędne jest dodawanie antybiotyków do pożywki. Sporo </w:t>
      </w:r>
      <w:r w:rsidR="002037BF">
        <w:rPr>
          <w:rFonts w:ascii="Times New Roman" w:hAnsi="Times New Roman" w:cs="Times New Roman"/>
          <w:sz w:val="24"/>
          <w:szCs w:val="24"/>
          <w:lang w:val="pl-PL"/>
        </w:rPr>
        <w:t xml:space="preserve">może być zatem </w:t>
      </w:r>
      <w:r w:rsidR="00572159" w:rsidRPr="00572159">
        <w:rPr>
          <w:rFonts w:ascii="Times New Roman" w:hAnsi="Times New Roman" w:cs="Times New Roman"/>
          <w:sz w:val="24"/>
          <w:szCs w:val="24"/>
          <w:lang w:val="pl-PL"/>
        </w:rPr>
        <w:t>chemii w tej hodowli.</w:t>
      </w:r>
    </w:p>
    <w:p w:rsidR="00BA4151" w:rsidRDefault="00BA4151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0F2F">
        <w:rPr>
          <w:rFonts w:ascii="Times New Roman" w:hAnsi="Times New Roman" w:cs="Times New Roman"/>
          <w:sz w:val="24"/>
          <w:szCs w:val="24"/>
          <w:lang w:val="pl-PL"/>
        </w:rPr>
        <w:t>W opracowaniu pokazałam zawiłoś</w:t>
      </w:r>
      <w:r w:rsidR="00647766" w:rsidRPr="007F0F2F">
        <w:rPr>
          <w:rFonts w:ascii="Times New Roman" w:hAnsi="Times New Roman" w:cs="Times New Roman"/>
          <w:sz w:val="24"/>
          <w:szCs w:val="24"/>
          <w:lang w:val="pl-PL"/>
        </w:rPr>
        <w:t>ci</w:t>
      </w:r>
      <w:r w:rsidRPr="007F0F2F">
        <w:rPr>
          <w:rFonts w:ascii="Times New Roman" w:hAnsi="Times New Roman" w:cs="Times New Roman"/>
          <w:sz w:val="24"/>
          <w:szCs w:val="24"/>
          <w:lang w:val="pl-PL"/>
        </w:rPr>
        <w:t xml:space="preserve"> kształtowania sytuacji w obszarze zapewnienia bezpieczeństwa żywnościowego w Polsce, Europie i na świecie. Wskazałam też kierunki dalszych badań </w:t>
      </w:r>
      <w:r w:rsidR="00477F9E" w:rsidRPr="007F0F2F">
        <w:rPr>
          <w:rFonts w:ascii="Times New Roman" w:hAnsi="Times New Roman" w:cs="Times New Roman"/>
          <w:sz w:val="24"/>
          <w:szCs w:val="24"/>
          <w:lang w:val="pl-PL"/>
        </w:rPr>
        <w:t>tym</w:t>
      </w:r>
      <w:r w:rsidRPr="007F0F2F">
        <w:rPr>
          <w:rFonts w:ascii="Times New Roman" w:hAnsi="Times New Roman" w:cs="Times New Roman"/>
          <w:sz w:val="24"/>
          <w:szCs w:val="24"/>
          <w:lang w:val="pl-PL"/>
        </w:rPr>
        <w:t>, których interesuje temat zrównoważonego systemu żywnościowego</w:t>
      </w:r>
      <w:r w:rsidR="002037BF" w:rsidRPr="007F0F2F">
        <w:rPr>
          <w:rFonts w:ascii="Times New Roman" w:hAnsi="Times New Roman" w:cs="Times New Roman"/>
          <w:sz w:val="24"/>
          <w:szCs w:val="24"/>
          <w:lang w:val="pl-PL"/>
        </w:rPr>
        <w:t xml:space="preserve"> oraz funkcjonowania gospodarki żywnościowej we współczesnym świecie</w:t>
      </w:r>
      <w:r w:rsidRPr="007F0F2F">
        <w:rPr>
          <w:rFonts w:ascii="Times New Roman" w:hAnsi="Times New Roman" w:cs="Times New Roman"/>
          <w:sz w:val="24"/>
          <w:szCs w:val="24"/>
          <w:lang w:val="pl-PL"/>
        </w:rPr>
        <w:t xml:space="preserve"> i którzy zapragną związać swoją przyszłość z nauką.</w:t>
      </w:r>
    </w:p>
    <w:p w:rsidR="007F0F2F" w:rsidRDefault="007F0F2F" w:rsidP="007F0F2F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7F0F2F" w:rsidRPr="00A96852" w:rsidRDefault="007F0F2F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F0F2F">
        <w:rPr>
          <w:rFonts w:ascii="Times New Roman" w:hAnsi="Times New Roman" w:cs="Times New Roman"/>
          <w:b/>
          <w:sz w:val="24"/>
          <w:szCs w:val="24"/>
          <w:lang w:val="pl-PL"/>
        </w:rPr>
        <w:t>Dr hab. Aleksandra Kowalska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, prof. UMCS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profesor uczelni w Katedrze Mikroekonomii i Ekonomii Stosowanej na Wydziale Ekonomicznym UMCS. Reprezentuje dwie dyscypliny: ekonomia i finanse oraz nauki o zarządzaniu i jakości, pracuje w międzynarodowych interdyscyplinarnych zespołach łączących badaczy wpisujących się w dyscyplinę geografia społeczno-ekonomiczna i gospodarka przestrzenna, </w:t>
      </w:r>
      <w:r w:rsidRPr="004D3888">
        <w:rPr>
          <w:rFonts w:ascii="Times New Roman" w:hAnsi="Times New Roman" w:cs="Times New Roman"/>
          <w:sz w:val="24"/>
          <w:szCs w:val="24"/>
          <w:lang w:val="pl-PL"/>
        </w:rPr>
        <w:t>rolnictwo i ogrodnictwo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4D3888">
        <w:rPr>
          <w:rFonts w:ascii="Times New Roman" w:hAnsi="Times New Roman" w:cs="Times New Roman"/>
          <w:sz w:val="24"/>
          <w:szCs w:val="24"/>
          <w:lang w:val="pl-PL"/>
        </w:rPr>
        <w:t>technologia żywności i żywienia</w:t>
      </w:r>
      <w:r>
        <w:rPr>
          <w:rFonts w:ascii="Times New Roman" w:hAnsi="Times New Roman" w:cs="Times New Roman"/>
          <w:sz w:val="24"/>
          <w:szCs w:val="24"/>
          <w:lang w:val="pl-PL"/>
        </w:rPr>
        <w:t>, nauki prawne i matematyka, a także praktyków gospodarczych. Ekspertka</w:t>
      </w:r>
      <w:r w:rsidRPr="00461645">
        <w:rPr>
          <w:rFonts w:ascii="Times New Roman" w:hAnsi="Times New Roman" w:cs="Times New Roman"/>
          <w:sz w:val="24"/>
          <w:szCs w:val="24"/>
          <w:lang w:val="pl-PL"/>
        </w:rPr>
        <w:t xml:space="preserve"> z problematyki oszustw i fałszowania żywności. </w:t>
      </w:r>
      <w:r>
        <w:rPr>
          <w:rFonts w:ascii="Times New Roman" w:hAnsi="Times New Roman" w:cs="Times New Roman"/>
          <w:sz w:val="24"/>
          <w:szCs w:val="24"/>
          <w:lang w:val="pl-PL"/>
        </w:rPr>
        <w:t>Jej pasją jest rozwiązywanie problemów naukowych patrząc na nie szeroko i korzystając z metod badawczych st</w:t>
      </w:r>
      <w:r w:rsidR="002D7C17">
        <w:rPr>
          <w:rFonts w:ascii="Times New Roman" w:hAnsi="Times New Roman" w:cs="Times New Roman"/>
          <w:sz w:val="24"/>
          <w:szCs w:val="24"/>
          <w:lang w:val="pl-PL"/>
        </w:rPr>
        <w:t>osowanych w naukach społecznych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t xml:space="preserve">.  </w:t>
      </w:r>
    </w:p>
    <w:p w:rsidR="007F0F2F" w:rsidRPr="007F0F2F" w:rsidRDefault="007F0F2F" w:rsidP="007F0F2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B38E6" w:rsidRPr="00F53066" w:rsidRDefault="00F650FE" w:rsidP="0042058A">
      <w:pPr>
        <w:spacing w:line="276" w:lineRule="auto"/>
        <w:ind w:firstLine="567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F53066">
        <w:rPr>
          <w:rFonts w:ascii="Times New Roman" w:hAnsi="Times New Roman" w:cs="Times New Roman"/>
          <w:b/>
          <w:sz w:val="20"/>
          <w:szCs w:val="20"/>
          <w:lang w:val="en-US"/>
        </w:rPr>
        <w:t>Bibliografia</w:t>
      </w:r>
      <w:proofErr w:type="spellEnd"/>
    </w:p>
    <w:p w:rsidR="007D1E8D" w:rsidRPr="005C2901" w:rsidRDefault="007D1E8D" w:rsidP="0042058A">
      <w:pPr>
        <w:spacing w:line="276" w:lineRule="auto"/>
        <w:ind w:firstLine="567"/>
        <w:rPr>
          <w:rFonts w:ascii="Times New Roman" w:hAnsi="Times New Roman" w:cs="Times New Roman"/>
          <w:sz w:val="20"/>
          <w:szCs w:val="20"/>
          <w:lang w:val="pl-PL"/>
        </w:rPr>
      </w:pP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Bentley, A.R., Donovan, J.,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en-US"/>
        </w:rPr>
        <w:t>Sonder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, K. et al. (2022). Near- to long-term measures to stabilize global wheat supplies and food security. </w:t>
      </w:r>
      <w:r w:rsidRPr="005C2901">
        <w:rPr>
          <w:rFonts w:ascii="Times New Roman" w:hAnsi="Times New Roman" w:cs="Times New Roman"/>
          <w:i/>
          <w:sz w:val="20"/>
          <w:szCs w:val="20"/>
          <w:lang w:val="pl-PL"/>
        </w:rPr>
        <w:t>Nature</w:t>
      </w:r>
      <w:r w:rsidR="00957CC3">
        <w:rPr>
          <w:rFonts w:ascii="Times New Roman" w:hAnsi="Times New Roman" w:cs="Times New Roman"/>
          <w:i/>
          <w:sz w:val="20"/>
          <w:szCs w:val="20"/>
          <w:lang w:val="pl-PL"/>
        </w:rPr>
        <w:t xml:space="preserve"> Food</w:t>
      </w:r>
      <w:r w:rsidRPr="005C2901">
        <w:rPr>
          <w:rFonts w:ascii="Times New Roman" w:hAnsi="Times New Roman" w:cs="Times New Roman"/>
          <w:i/>
          <w:sz w:val="20"/>
          <w:szCs w:val="20"/>
          <w:lang w:val="pl-PL"/>
        </w:rPr>
        <w:t>, 3</w:t>
      </w:r>
      <w:r w:rsidRPr="005C2901">
        <w:rPr>
          <w:rFonts w:ascii="Times New Roman" w:hAnsi="Times New Roman" w:cs="Times New Roman"/>
          <w:sz w:val="20"/>
          <w:szCs w:val="20"/>
          <w:lang w:val="pl-PL"/>
        </w:rPr>
        <w:t>, 483–486.</w:t>
      </w:r>
    </w:p>
    <w:p w:rsidR="00D61E24" w:rsidRPr="005C2901" w:rsidRDefault="00D61E24" w:rsidP="0042058A">
      <w:pPr>
        <w:spacing w:line="276" w:lineRule="auto"/>
        <w:ind w:firstLine="567"/>
        <w:rPr>
          <w:rFonts w:ascii="Times New Roman" w:hAnsi="Times New Roman" w:cs="Times New Roman"/>
          <w:sz w:val="20"/>
          <w:szCs w:val="20"/>
          <w:lang w:val="pl-PL"/>
        </w:rPr>
      </w:pPr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Czechowicz, K. (2022). Zmiany klimatu poważnie zagrażają bezpieczeństwu żywnościowemu. Pobrane z </w:t>
      </w:r>
      <w:hyperlink r:id="rId13" w:history="1">
        <w:r w:rsidRPr="00F53066">
          <w:rPr>
            <w:rStyle w:val="Hipercze"/>
            <w:rFonts w:ascii="Times New Roman" w:hAnsi="Times New Roman" w:cs="Times New Roman"/>
            <w:sz w:val="20"/>
            <w:szCs w:val="20"/>
            <w:lang w:val="pl-PL"/>
          </w:rPr>
          <w:t>https://naukawpolsce.pl/aktualnosci/news%2C93415%2Czmiany-klimatu-powaznie-zagrazaja-bezpieczenstwu-zywnosciowemu.html</w:t>
        </w:r>
      </w:hyperlink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 (data dostępu: 25.08.2022).</w:t>
      </w:r>
    </w:p>
    <w:p w:rsidR="00C04C0C" w:rsidRPr="00F53066" w:rsidRDefault="00D86E58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GUS. (2022). </w:t>
      </w:r>
      <w:r w:rsidRPr="00F53066">
        <w:rPr>
          <w:rFonts w:ascii="Times New Roman" w:hAnsi="Times New Roman" w:cs="Times New Roman"/>
          <w:i/>
          <w:sz w:val="20"/>
          <w:szCs w:val="20"/>
          <w:lang w:val="pl-PL"/>
        </w:rPr>
        <w:t>Sytuacja gospodarstw domowych w 2020 r. w świetle wyników badania budżetów gospodarstw domowych.</w:t>
      </w:r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 Pobrane z https://stat.gov.pl ›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pl-PL"/>
        </w:rPr>
        <w:t>files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 ›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pl-PL"/>
        </w:rPr>
        <w:t>gfx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 ›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pl-PL"/>
        </w:rPr>
        <w:t>defaultaktualnosci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 (data dostęp</w:t>
      </w:r>
      <w:r w:rsidR="005D1ABB" w:rsidRPr="00F53066">
        <w:rPr>
          <w:rFonts w:ascii="Times New Roman" w:hAnsi="Times New Roman" w:cs="Times New Roman"/>
          <w:sz w:val="20"/>
          <w:szCs w:val="20"/>
          <w:lang w:val="pl-PL"/>
        </w:rPr>
        <w:t>u</w:t>
      </w:r>
      <w:r w:rsidRPr="00F53066">
        <w:rPr>
          <w:rFonts w:ascii="Times New Roman" w:hAnsi="Times New Roman" w:cs="Times New Roman"/>
          <w:sz w:val="20"/>
          <w:szCs w:val="20"/>
          <w:lang w:val="pl-PL"/>
        </w:rPr>
        <w:t>: 25.08.2022).</w:t>
      </w:r>
    </w:p>
    <w:p w:rsidR="005D1ABB" w:rsidRPr="005C2901" w:rsidRDefault="005D1ABB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3066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Hepburn, J.,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en-US"/>
        </w:rPr>
        <w:t>Laborde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, D., Parent, M., </w:t>
      </w:r>
      <w:r w:rsidR="001D1839"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&amp; </w:t>
      </w: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Smaller, C. (2020). </w:t>
      </w:r>
      <w:r w:rsidRPr="00F53066">
        <w:rPr>
          <w:rFonts w:ascii="Times New Roman" w:hAnsi="Times New Roman" w:cs="Times New Roman"/>
          <w:i/>
          <w:sz w:val="20"/>
          <w:szCs w:val="20"/>
          <w:lang w:val="en-US"/>
        </w:rPr>
        <w:t>COVID-19 and Food Export Restrictions: Comparing today’s situation to the 2007-08 price spikes</w:t>
      </w:r>
      <w:r w:rsidR="00A90890"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International Institute for Sustainable Development. </w:t>
      </w:r>
      <w:proofErr w:type="spellStart"/>
      <w:r w:rsidRPr="005C2901">
        <w:rPr>
          <w:rFonts w:ascii="Times New Roman" w:hAnsi="Times New Roman" w:cs="Times New Roman"/>
          <w:sz w:val="20"/>
          <w:szCs w:val="20"/>
          <w:lang w:val="en-US"/>
        </w:rPr>
        <w:t>Pobrane</w:t>
      </w:r>
      <w:proofErr w:type="spellEnd"/>
      <w:r w:rsidRPr="005C2901">
        <w:rPr>
          <w:rFonts w:ascii="Times New Roman" w:hAnsi="Times New Roman" w:cs="Times New Roman"/>
          <w:sz w:val="20"/>
          <w:szCs w:val="20"/>
          <w:lang w:val="en-US"/>
        </w:rPr>
        <w:t xml:space="preserve"> z https://www.iisd.org/publications/covid-19-food-export-restrictions (data </w:t>
      </w:r>
      <w:proofErr w:type="spellStart"/>
      <w:r w:rsidRPr="005C2901">
        <w:rPr>
          <w:rFonts w:ascii="Times New Roman" w:hAnsi="Times New Roman" w:cs="Times New Roman"/>
          <w:sz w:val="20"/>
          <w:szCs w:val="20"/>
          <w:lang w:val="en-US"/>
        </w:rPr>
        <w:t>dostępu</w:t>
      </w:r>
      <w:proofErr w:type="spellEnd"/>
      <w:r w:rsidRPr="005C2901">
        <w:rPr>
          <w:rFonts w:ascii="Times New Roman" w:hAnsi="Times New Roman" w:cs="Times New Roman"/>
          <w:sz w:val="20"/>
          <w:szCs w:val="20"/>
          <w:lang w:val="en-US"/>
        </w:rPr>
        <w:t>: 10.03.2022).</w:t>
      </w:r>
    </w:p>
    <w:p w:rsidR="008126CE" w:rsidRPr="00F53066" w:rsidRDefault="008126CE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F53066">
        <w:rPr>
          <w:rFonts w:ascii="Times New Roman" w:hAnsi="Times New Roman" w:cs="Times New Roman"/>
          <w:sz w:val="20"/>
          <w:szCs w:val="20"/>
          <w:lang w:val="pl-PL"/>
        </w:rPr>
        <w:t>Karaczun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, Z.M., &amp; Kozyra, J. (2020). </w:t>
      </w:r>
      <w:r w:rsidRPr="00F53066">
        <w:rPr>
          <w:rFonts w:ascii="Times New Roman" w:hAnsi="Times New Roman" w:cs="Times New Roman"/>
          <w:i/>
          <w:sz w:val="20"/>
          <w:szCs w:val="20"/>
          <w:lang w:val="pl-PL"/>
        </w:rPr>
        <w:t>Wpływ zmiany klimatu w zmiany klimatu na bezpiecze</w:t>
      </w:r>
      <w:r w:rsidR="007C3DEB">
        <w:rPr>
          <w:rFonts w:ascii="Times New Roman" w:hAnsi="Times New Roman" w:cs="Times New Roman"/>
          <w:i/>
          <w:sz w:val="20"/>
          <w:szCs w:val="20"/>
          <w:lang w:val="pl-PL"/>
        </w:rPr>
        <w:t>ń</w:t>
      </w:r>
      <w:r w:rsidRPr="00F53066">
        <w:rPr>
          <w:rFonts w:ascii="Times New Roman" w:hAnsi="Times New Roman" w:cs="Times New Roman"/>
          <w:i/>
          <w:sz w:val="20"/>
          <w:szCs w:val="20"/>
          <w:lang w:val="pl-PL"/>
        </w:rPr>
        <w:t>stwo żywnościowe Polski.</w:t>
      </w:r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Warszawa: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en-US"/>
        </w:rPr>
        <w:t>Wydawnictwo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 SGGW.</w:t>
      </w:r>
    </w:p>
    <w:p w:rsidR="005D1ABB" w:rsidRPr="00F53066" w:rsidRDefault="005D1ABB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C2901">
        <w:rPr>
          <w:rFonts w:ascii="Times New Roman" w:hAnsi="Times New Roman" w:cs="Times New Roman"/>
          <w:sz w:val="20"/>
          <w:szCs w:val="20"/>
          <w:lang w:val="en-US"/>
        </w:rPr>
        <w:t xml:space="preserve">Kowalska, A., </w:t>
      </w:r>
      <w:proofErr w:type="spellStart"/>
      <w:r w:rsidRPr="005C2901">
        <w:rPr>
          <w:rFonts w:ascii="Times New Roman" w:hAnsi="Times New Roman" w:cs="Times New Roman"/>
          <w:sz w:val="20"/>
          <w:szCs w:val="20"/>
          <w:lang w:val="en-US"/>
        </w:rPr>
        <w:t>Budzyńska</w:t>
      </w:r>
      <w:proofErr w:type="spellEnd"/>
      <w:r w:rsidRPr="005C2901">
        <w:rPr>
          <w:rFonts w:ascii="Times New Roman" w:hAnsi="Times New Roman" w:cs="Times New Roman"/>
          <w:sz w:val="20"/>
          <w:szCs w:val="20"/>
          <w:lang w:val="en-US"/>
        </w:rPr>
        <w:t xml:space="preserve">, A., </w:t>
      </w:r>
      <w:r w:rsidR="001D1839" w:rsidRPr="005C2901">
        <w:rPr>
          <w:rFonts w:ascii="Times New Roman" w:hAnsi="Times New Roman" w:cs="Times New Roman"/>
          <w:sz w:val="20"/>
          <w:szCs w:val="20"/>
          <w:lang w:val="en-US"/>
        </w:rPr>
        <w:t xml:space="preserve">&amp; </w:t>
      </w:r>
      <w:proofErr w:type="spellStart"/>
      <w:r w:rsidRPr="005C2901">
        <w:rPr>
          <w:rFonts w:ascii="Times New Roman" w:hAnsi="Times New Roman" w:cs="Times New Roman"/>
          <w:sz w:val="20"/>
          <w:szCs w:val="20"/>
          <w:lang w:val="en-US"/>
        </w:rPr>
        <w:t>Białowąs</w:t>
      </w:r>
      <w:proofErr w:type="spellEnd"/>
      <w:r w:rsidRPr="005C2901">
        <w:rPr>
          <w:rFonts w:ascii="Times New Roman" w:hAnsi="Times New Roman" w:cs="Times New Roman"/>
          <w:sz w:val="20"/>
          <w:szCs w:val="20"/>
          <w:lang w:val="en-US"/>
        </w:rPr>
        <w:t>, T.</w:t>
      </w:r>
      <w:r w:rsidR="007D1E8D" w:rsidRPr="005C2901">
        <w:rPr>
          <w:rFonts w:ascii="Times New Roman" w:hAnsi="Times New Roman" w:cs="Times New Roman"/>
          <w:sz w:val="20"/>
          <w:szCs w:val="20"/>
          <w:lang w:val="en-US"/>
        </w:rPr>
        <w:t xml:space="preserve"> (2022).</w:t>
      </w:r>
      <w:r w:rsidRPr="005C290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53066">
        <w:rPr>
          <w:rFonts w:ascii="Times New Roman" w:hAnsi="Times New Roman" w:cs="Times New Roman"/>
          <w:i/>
          <w:sz w:val="20"/>
          <w:szCs w:val="20"/>
          <w:lang w:val="en-US"/>
        </w:rPr>
        <w:t>Food export restrictions in COVID-19 pandemic: real and potential effects on food security. International Journal of Management and Economics</w:t>
      </w: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, w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en-US"/>
        </w:rPr>
        <w:t>procesie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en-US"/>
        </w:rPr>
        <w:t>wydawniczym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84866" w:rsidRPr="00F53066" w:rsidRDefault="00884866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Kowalska, A.,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en-US"/>
        </w:rPr>
        <w:t>Lingham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, S., Maye, D., </w:t>
      </w:r>
      <w:r w:rsidR="001D1839"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&amp; </w:t>
      </w: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Manning, L. </w:t>
      </w:r>
      <w:r w:rsidR="007D1E8D"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(2022). </w:t>
      </w: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Lessons from the COVID-19 pandemic: mechanisms to promote </w:t>
      </w:r>
      <w:proofErr w:type="spellStart"/>
      <w:r w:rsidRPr="00F53066">
        <w:rPr>
          <w:rFonts w:ascii="Times New Roman" w:hAnsi="Times New Roman" w:cs="Times New Roman"/>
          <w:sz w:val="20"/>
          <w:szCs w:val="20"/>
          <w:lang w:val="en-US"/>
        </w:rPr>
        <w:t>leagility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 in food supply chains</w:t>
      </w:r>
      <w:r w:rsidR="005D1ABB"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F53066">
        <w:rPr>
          <w:rFonts w:ascii="Times New Roman" w:hAnsi="Times New Roman" w:cs="Times New Roman"/>
          <w:i/>
          <w:sz w:val="20"/>
          <w:szCs w:val="20"/>
          <w:lang w:val="en-US"/>
        </w:rPr>
        <w:t>Comprehensive Reviews in Food Science and Food Safety</w:t>
      </w:r>
      <w:r w:rsidR="005D1ABB"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, w </w:t>
      </w:r>
      <w:proofErr w:type="spellStart"/>
      <w:r w:rsidR="005D1ABB" w:rsidRPr="00F53066">
        <w:rPr>
          <w:rFonts w:ascii="Times New Roman" w:hAnsi="Times New Roman" w:cs="Times New Roman"/>
          <w:sz w:val="20"/>
          <w:szCs w:val="20"/>
          <w:lang w:val="en-US"/>
        </w:rPr>
        <w:t>procesie</w:t>
      </w:r>
      <w:proofErr w:type="spellEnd"/>
      <w:r w:rsidR="005D1ABB"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D1ABB" w:rsidRPr="00F53066">
        <w:rPr>
          <w:rFonts w:ascii="Times New Roman" w:hAnsi="Times New Roman" w:cs="Times New Roman"/>
          <w:sz w:val="20"/>
          <w:szCs w:val="20"/>
          <w:lang w:val="en-US"/>
        </w:rPr>
        <w:t>wydawniczym</w:t>
      </w:r>
      <w:proofErr w:type="spellEnd"/>
      <w:r w:rsidR="005D1ABB" w:rsidRPr="00F53066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5C0396" w:rsidRPr="00F53066" w:rsidRDefault="005C0396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Kowalski, J., </w:t>
      </w:r>
      <w:r w:rsidR="001D1839"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&amp; </w:t>
      </w: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Kowalska, A. (2022). The realization of the human right to food: preliminary remarks on assessing food security. </w:t>
      </w:r>
      <w:proofErr w:type="spellStart"/>
      <w:r w:rsidRPr="00F53066">
        <w:rPr>
          <w:rFonts w:ascii="Times New Roman" w:hAnsi="Times New Roman" w:cs="Times New Roman"/>
          <w:i/>
          <w:sz w:val="20"/>
          <w:szCs w:val="20"/>
          <w:lang w:val="en-US"/>
        </w:rPr>
        <w:t>Przegląd</w:t>
      </w:r>
      <w:proofErr w:type="spellEnd"/>
      <w:r w:rsidRPr="00F53066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F53066">
        <w:rPr>
          <w:rFonts w:ascii="Times New Roman" w:hAnsi="Times New Roman" w:cs="Times New Roman"/>
          <w:i/>
          <w:sz w:val="20"/>
          <w:szCs w:val="20"/>
          <w:lang w:val="en-US"/>
        </w:rPr>
        <w:t>Prawno-Ekonomiczny</w:t>
      </w:r>
      <w:proofErr w:type="spellEnd"/>
      <w:r w:rsidRPr="00F53066">
        <w:rPr>
          <w:rFonts w:ascii="Times New Roman" w:hAnsi="Times New Roman" w:cs="Times New Roman"/>
          <w:i/>
          <w:sz w:val="20"/>
          <w:szCs w:val="20"/>
          <w:lang w:val="en-US"/>
        </w:rPr>
        <w:t>, 1</w:t>
      </w:r>
      <w:r w:rsidRPr="00F53066">
        <w:rPr>
          <w:rFonts w:ascii="Times New Roman" w:hAnsi="Times New Roman" w:cs="Times New Roman"/>
          <w:sz w:val="20"/>
          <w:szCs w:val="20"/>
          <w:lang w:val="en-US"/>
        </w:rPr>
        <w:t>, 9-32.</w:t>
      </w:r>
    </w:p>
    <w:p w:rsidR="001D1839" w:rsidRPr="00F53066" w:rsidRDefault="001D1839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Kowalska, A., &amp; Manning, L. (2021). Using the rapid alert system for food and feed: potential benefits and problems on data interpretation. </w:t>
      </w:r>
      <w:r w:rsidRPr="00F53066">
        <w:rPr>
          <w:rFonts w:ascii="Times New Roman" w:hAnsi="Times New Roman" w:cs="Times New Roman"/>
          <w:i/>
          <w:sz w:val="20"/>
          <w:szCs w:val="20"/>
          <w:lang w:val="en-US"/>
        </w:rPr>
        <w:t>Critical Reviews in Food Science and Nutrition, 61</w:t>
      </w:r>
      <w:r w:rsidRPr="00F53066">
        <w:rPr>
          <w:rFonts w:ascii="Times New Roman" w:hAnsi="Times New Roman" w:cs="Times New Roman"/>
          <w:sz w:val="20"/>
          <w:szCs w:val="20"/>
          <w:lang w:val="en-US"/>
        </w:rPr>
        <w:t xml:space="preserve"> (6), 906-919.</w:t>
      </w:r>
    </w:p>
    <w:p w:rsidR="007D1E8D" w:rsidRPr="00F53066" w:rsidRDefault="007D1E8D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5C2901">
        <w:rPr>
          <w:rFonts w:ascii="Times New Roman" w:hAnsi="Times New Roman" w:cs="Times New Roman"/>
          <w:sz w:val="20"/>
          <w:szCs w:val="20"/>
          <w:lang w:val="en-US"/>
        </w:rPr>
        <w:t>Krysztofiak</w:t>
      </w:r>
      <w:proofErr w:type="spellEnd"/>
      <w:r w:rsidRPr="005C2901">
        <w:rPr>
          <w:rFonts w:ascii="Times New Roman" w:hAnsi="Times New Roman" w:cs="Times New Roman"/>
          <w:sz w:val="20"/>
          <w:szCs w:val="20"/>
          <w:lang w:val="en-US"/>
        </w:rPr>
        <w:t xml:space="preserve">, J., &amp; </w:t>
      </w:r>
      <w:proofErr w:type="spellStart"/>
      <w:r w:rsidRPr="005C2901">
        <w:rPr>
          <w:rFonts w:ascii="Times New Roman" w:hAnsi="Times New Roman" w:cs="Times New Roman"/>
          <w:sz w:val="20"/>
          <w:szCs w:val="20"/>
          <w:lang w:val="en-US"/>
        </w:rPr>
        <w:t>Pawlak</w:t>
      </w:r>
      <w:proofErr w:type="spellEnd"/>
      <w:r w:rsidRPr="005C2901">
        <w:rPr>
          <w:rFonts w:ascii="Times New Roman" w:hAnsi="Times New Roman" w:cs="Times New Roman"/>
          <w:sz w:val="20"/>
          <w:szCs w:val="20"/>
          <w:lang w:val="en-US"/>
        </w:rPr>
        <w:t xml:space="preserve">, K. (2017). </w:t>
      </w:r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Ekonomiczna dostępność żywności w gospodarstwach domowych krajów Unii Europejskiej. </w:t>
      </w:r>
      <w:r w:rsidRPr="00F53066">
        <w:rPr>
          <w:rFonts w:ascii="Times New Roman" w:hAnsi="Times New Roman" w:cs="Times New Roman"/>
          <w:i/>
          <w:sz w:val="20"/>
          <w:szCs w:val="20"/>
          <w:lang w:val="pl-PL"/>
        </w:rPr>
        <w:t>Zeszyty Naukowe Polskiego Towarzystwa Ekonomicznego w Zielonej Górze, 7</w:t>
      </w:r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, 192-208. </w:t>
      </w:r>
    </w:p>
    <w:p w:rsidR="00DC0120" w:rsidRPr="00F53066" w:rsidRDefault="00DC0120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Wiśniewska, M.Z., </w:t>
      </w:r>
      <w:r w:rsidR="007D1E8D"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&amp; </w:t>
      </w:r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Wyrwa, J. (2022), </w:t>
      </w:r>
      <w:r w:rsidRPr="00F53066">
        <w:rPr>
          <w:rFonts w:ascii="Times New Roman" w:hAnsi="Times New Roman" w:cs="Times New Roman"/>
          <w:i/>
          <w:sz w:val="20"/>
          <w:szCs w:val="20"/>
          <w:lang w:val="pl-PL"/>
        </w:rPr>
        <w:t>Bezpieczeństwo żywności i żywnościowe w okresie pandemii. Ujęcie interdyscyplinarne.</w:t>
      </w:r>
      <w:r w:rsidRPr="00F53066">
        <w:rPr>
          <w:rFonts w:ascii="Times New Roman" w:hAnsi="Times New Roman" w:cs="Times New Roman"/>
          <w:sz w:val="20"/>
          <w:szCs w:val="20"/>
          <w:lang w:val="pl-PL"/>
        </w:rPr>
        <w:t xml:space="preserve"> Zielona Góra: Polskie Towarzystwo Ekonomiczne.</w:t>
      </w:r>
    </w:p>
    <w:p w:rsidR="00D86E58" w:rsidRPr="00F53066" w:rsidRDefault="00D843C7" w:rsidP="007F0F2F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F53066">
        <w:rPr>
          <w:rFonts w:ascii="Times New Roman" w:hAnsi="Times New Roman" w:cs="Times New Roman"/>
          <w:sz w:val="20"/>
          <w:szCs w:val="20"/>
          <w:lang w:val="pl-PL"/>
        </w:rPr>
        <w:t>Zarzyńska</w:t>
      </w:r>
      <w:proofErr w:type="spellEnd"/>
      <w:r w:rsidRPr="00F53066">
        <w:rPr>
          <w:rFonts w:ascii="Times New Roman" w:hAnsi="Times New Roman" w:cs="Times New Roman"/>
          <w:sz w:val="20"/>
          <w:szCs w:val="20"/>
          <w:lang w:val="pl-PL"/>
        </w:rPr>
        <w:t>, J., &amp; Zabielski, R. (2022). Czy sztuczne mięso może uratować ludzkość?</w:t>
      </w:r>
      <w:r w:rsidRPr="00F53066">
        <w:rPr>
          <w:sz w:val="20"/>
          <w:szCs w:val="20"/>
          <w:lang w:val="pl-PL"/>
        </w:rPr>
        <w:t xml:space="preserve"> </w:t>
      </w:r>
      <w:r w:rsidRPr="00F53066">
        <w:rPr>
          <w:rFonts w:ascii="Times New Roman" w:hAnsi="Times New Roman" w:cs="Times New Roman"/>
          <w:i/>
          <w:sz w:val="20"/>
          <w:szCs w:val="20"/>
          <w:lang w:val="pl-PL"/>
        </w:rPr>
        <w:t>Życie Weterynaryjne</w:t>
      </w:r>
      <w:r w:rsidRPr="00F53066">
        <w:rPr>
          <w:rFonts w:ascii="Times New Roman" w:hAnsi="Times New Roman" w:cs="Times New Roman"/>
          <w:sz w:val="20"/>
          <w:szCs w:val="20"/>
          <w:lang w:val="pl-PL"/>
        </w:rPr>
        <w:t>, 97 (6), 371-378.</w:t>
      </w:r>
    </w:p>
    <w:sectPr w:rsidR="00D86E58" w:rsidRPr="00F53066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864" w:rsidRDefault="001F0864" w:rsidP="00FF1AC7">
      <w:pPr>
        <w:spacing w:after="0" w:line="240" w:lineRule="auto"/>
      </w:pPr>
      <w:r>
        <w:separator/>
      </w:r>
    </w:p>
  </w:endnote>
  <w:endnote w:type="continuationSeparator" w:id="0">
    <w:p w:rsidR="001F0864" w:rsidRDefault="001F0864" w:rsidP="00FF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9398822"/>
      <w:docPartObj>
        <w:docPartGallery w:val="Page Numbers (Bottom of Page)"/>
        <w:docPartUnique/>
      </w:docPartObj>
    </w:sdtPr>
    <w:sdtEndPr/>
    <w:sdtContent>
      <w:p w:rsidR="002B013E" w:rsidRDefault="002B0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C17" w:rsidRPr="002D7C17">
          <w:rPr>
            <w:noProof/>
            <w:lang w:val="pl-PL"/>
          </w:rPr>
          <w:t>8</w:t>
        </w:r>
        <w:r>
          <w:fldChar w:fldCharType="end"/>
        </w:r>
      </w:p>
    </w:sdtContent>
  </w:sdt>
  <w:p w:rsidR="002B013E" w:rsidRDefault="002B0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864" w:rsidRDefault="001F0864" w:rsidP="00FF1AC7">
      <w:pPr>
        <w:spacing w:after="0" w:line="240" w:lineRule="auto"/>
      </w:pPr>
      <w:r>
        <w:separator/>
      </w:r>
    </w:p>
  </w:footnote>
  <w:footnote w:type="continuationSeparator" w:id="0">
    <w:p w:rsidR="001F0864" w:rsidRDefault="001F0864" w:rsidP="00FF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50B75"/>
    <w:multiLevelType w:val="hybridMultilevel"/>
    <w:tmpl w:val="6EE858B6"/>
    <w:lvl w:ilvl="0" w:tplc="B5E6CF0C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A2"/>
    <w:rsid w:val="00010791"/>
    <w:rsid w:val="00023008"/>
    <w:rsid w:val="000427B8"/>
    <w:rsid w:val="00053684"/>
    <w:rsid w:val="000749DE"/>
    <w:rsid w:val="0008458C"/>
    <w:rsid w:val="000A2DBF"/>
    <w:rsid w:val="000B0765"/>
    <w:rsid w:val="000D3AEB"/>
    <w:rsid w:val="000D4695"/>
    <w:rsid w:val="000E62AC"/>
    <w:rsid w:val="000E70AB"/>
    <w:rsid w:val="0010509D"/>
    <w:rsid w:val="00113DAF"/>
    <w:rsid w:val="00117BF6"/>
    <w:rsid w:val="00121139"/>
    <w:rsid w:val="00122AE4"/>
    <w:rsid w:val="0013132E"/>
    <w:rsid w:val="00135FA8"/>
    <w:rsid w:val="00154C97"/>
    <w:rsid w:val="00165A6C"/>
    <w:rsid w:val="00181E97"/>
    <w:rsid w:val="001858A2"/>
    <w:rsid w:val="00185B89"/>
    <w:rsid w:val="001A199F"/>
    <w:rsid w:val="001B2068"/>
    <w:rsid w:val="001B53AF"/>
    <w:rsid w:val="001D1839"/>
    <w:rsid w:val="001D4209"/>
    <w:rsid w:val="001E5620"/>
    <w:rsid w:val="001F0864"/>
    <w:rsid w:val="001F7153"/>
    <w:rsid w:val="002037BF"/>
    <w:rsid w:val="00205105"/>
    <w:rsid w:val="00213BD6"/>
    <w:rsid w:val="00226E4C"/>
    <w:rsid w:val="002411F5"/>
    <w:rsid w:val="00245142"/>
    <w:rsid w:val="00257E3C"/>
    <w:rsid w:val="00266AD8"/>
    <w:rsid w:val="00274EA5"/>
    <w:rsid w:val="0027588A"/>
    <w:rsid w:val="00286F4E"/>
    <w:rsid w:val="002904D3"/>
    <w:rsid w:val="002964F4"/>
    <w:rsid w:val="00297211"/>
    <w:rsid w:val="002B013E"/>
    <w:rsid w:val="002C763C"/>
    <w:rsid w:val="002D7C17"/>
    <w:rsid w:val="00303E18"/>
    <w:rsid w:val="003154F4"/>
    <w:rsid w:val="003209EA"/>
    <w:rsid w:val="00321A43"/>
    <w:rsid w:val="00345879"/>
    <w:rsid w:val="003505CD"/>
    <w:rsid w:val="003648AD"/>
    <w:rsid w:val="00371AC2"/>
    <w:rsid w:val="003810CE"/>
    <w:rsid w:val="0038274F"/>
    <w:rsid w:val="00390193"/>
    <w:rsid w:val="003925ED"/>
    <w:rsid w:val="00393DE1"/>
    <w:rsid w:val="00394523"/>
    <w:rsid w:val="003C3B3C"/>
    <w:rsid w:val="003D25B9"/>
    <w:rsid w:val="003D76B1"/>
    <w:rsid w:val="003E0C2B"/>
    <w:rsid w:val="0042058A"/>
    <w:rsid w:val="004312DB"/>
    <w:rsid w:val="004327EE"/>
    <w:rsid w:val="0045424F"/>
    <w:rsid w:val="00461645"/>
    <w:rsid w:val="004672DC"/>
    <w:rsid w:val="00476D7C"/>
    <w:rsid w:val="00477F9E"/>
    <w:rsid w:val="00490D3B"/>
    <w:rsid w:val="004B287D"/>
    <w:rsid w:val="004D3888"/>
    <w:rsid w:val="004E4675"/>
    <w:rsid w:val="00532970"/>
    <w:rsid w:val="00572159"/>
    <w:rsid w:val="00581AD3"/>
    <w:rsid w:val="00586B30"/>
    <w:rsid w:val="00587A76"/>
    <w:rsid w:val="0059144D"/>
    <w:rsid w:val="005B55ED"/>
    <w:rsid w:val="005C0396"/>
    <w:rsid w:val="005C2901"/>
    <w:rsid w:val="005D1ABB"/>
    <w:rsid w:val="005D1D52"/>
    <w:rsid w:val="00614E62"/>
    <w:rsid w:val="00624DFD"/>
    <w:rsid w:val="00625043"/>
    <w:rsid w:val="00647442"/>
    <w:rsid w:val="00647766"/>
    <w:rsid w:val="00653F08"/>
    <w:rsid w:val="00664156"/>
    <w:rsid w:val="00665857"/>
    <w:rsid w:val="0067237F"/>
    <w:rsid w:val="00693132"/>
    <w:rsid w:val="006A2B64"/>
    <w:rsid w:val="006B1138"/>
    <w:rsid w:val="006B1F2A"/>
    <w:rsid w:val="006B590D"/>
    <w:rsid w:val="006B5D32"/>
    <w:rsid w:val="006B7EBB"/>
    <w:rsid w:val="006E6DC1"/>
    <w:rsid w:val="006F250B"/>
    <w:rsid w:val="007043BE"/>
    <w:rsid w:val="00730656"/>
    <w:rsid w:val="00730A4F"/>
    <w:rsid w:val="007366A8"/>
    <w:rsid w:val="007538A3"/>
    <w:rsid w:val="0077072E"/>
    <w:rsid w:val="007C3DEB"/>
    <w:rsid w:val="007D1E8D"/>
    <w:rsid w:val="007E2970"/>
    <w:rsid w:val="007F0F2F"/>
    <w:rsid w:val="00801A4B"/>
    <w:rsid w:val="008126CE"/>
    <w:rsid w:val="00815F7D"/>
    <w:rsid w:val="00823FF3"/>
    <w:rsid w:val="00825E78"/>
    <w:rsid w:val="008454CB"/>
    <w:rsid w:val="0086365B"/>
    <w:rsid w:val="00884866"/>
    <w:rsid w:val="00887B55"/>
    <w:rsid w:val="00896539"/>
    <w:rsid w:val="008B518A"/>
    <w:rsid w:val="008C0182"/>
    <w:rsid w:val="008F0280"/>
    <w:rsid w:val="0090335E"/>
    <w:rsid w:val="009038DF"/>
    <w:rsid w:val="00911113"/>
    <w:rsid w:val="009115D4"/>
    <w:rsid w:val="009373B7"/>
    <w:rsid w:val="00940285"/>
    <w:rsid w:val="00951686"/>
    <w:rsid w:val="00955E7D"/>
    <w:rsid w:val="00957CC3"/>
    <w:rsid w:val="00970668"/>
    <w:rsid w:val="00985D0A"/>
    <w:rsid w:val="009862C0"/>
    <w:rsid w:val="009A505C"/>
    <w:rsid w:val="009B7A4F"/>
    <w:rsid w:val="009C1EF1"/>
    <w:rsid w:val="009C3F07"/>
    <w:rsid w:val="009C7628"/>
    <w:rsid w:val="009E2187"/>
    <w:rsid w:val="009E7A91"/>
    <w:rsid w:val="009F721A"/>
    <w:rsid w:val="00A30F6E"/>
    <w:rsid w:val="00A63A28"/>
    <w:rsid w:val="00A80405"/>
    <w:rsid w:val="00A83B7E"/>
    <w:rsid w:val="00A90890"/>
    <w:rsid w:val="00A9621C"/>
    <w:rsid w:val="00A96852"/>
    <w:rsid w:val="00AC1711"/>
    <w:rsid w:val="00AD26F4"/>
    <w:rsid w:val="00B07E24"/>
    <w:rsid w:val="00B107CE"/>
    <w:rsid w:val="00B10E5E"/>
    <w:rsid w:val="00B12C70"/>
    <w:rsid w:val="00B242F2"/>
    <w:rsid w:val="00B4198F"/>
    <w:rsid w:val="00B7341B"/>
    <w:rsid w:val="00B852C3"/>
    <w:rsid w:val="00B915F9"/>
    <w:rsid w:val="00BA3032"/>
    <w:rsid w:val="00BA4151"/>
    <w:rsid w:val="00BA7065"/>
    <w:rsid w:val="00BE57DA"/>
    <w:rsid w:val="00C04C0C"/>
    <w:rsid w:val="00C076E0"/>
    <w:rsid w:val="00C16E7B"/>
    <w:rsid w:val="00C536A2"/>
    <w:rsid w:val="00C53862"/>
    <w:rsid w:val="00C67870"/>
    <w:rsid w:val="00C75EBE"/>
    <w:rsid w:val="00C859CC"/>
    <w:rsid w:val="00C9534E"/>
    <w:rsid w:val="00CC7FEC"/>
    <w:rsid w:val="00CD0223"/>
    <w:rsid w:val="00CF10DF"/>
    <w:rsid w:val="00CF6CC4"/>
    <w:rsid w:val="00D07B41"/>
    <w:rsid w:val="00D22D2A"/>
    <w:rsid w:val="00D37329"/>
    <w:rsid w:val="00D3772B"/>
    <w:rsid w:val="00D61E24"/>
    <w:rsid w:val="00D8331B"/>
    <w:rsid w:val="00D843C7"/>
    <w:rsid w:val="00D86E58"/>
    <w:rsid w:val="00D877D6"/>
    <w:rsid w:val="00DA1140"/>
    <w:rsid w:val="00DB38E6"/>
    <w:rsid w:val="00DB414A"/>
    <w:rsid w:val="00DC0120"/>
    <w:rsid w:val="00DE13C4"/>
    <w:rsid w:val="00E00CC7"/>
    <w:rsid w:val="00E20F22"/>
    <w:rsid w:val="00E32D05"/>
    <w:rsid w:val="00E60C91"/>
    <w:rsid w:val="00E710C9"/>
    <w:rsid w:val="00E77D15"/>
    <w:rsid w:val="00E80DB8"/>
    <w:rsid w:val="00E94E24"/>
    <w:rsid w:val="00EA1850"/>
    <w:rsid w:val="00EE1260"/>
    <w:rsid w:val="00F000A9"/>
    <w:rsid w:val="00F1357E"/>
    <w:rsid w:val="00F16C1B"/>
    <w:rsid w:val="00F1779B"/>
    <w:rsid w:val="00F4333D"/>
    <w:rsid w:val="00F464B1"/>
    <w:rsid w:val="00F5192F"/>
    <w:rsid w:val="00F53066"/>
    <w:rsid w:val="00F62991"/>
    <w:rsid w:val="00F650FE"/>
    <w:rsid w:val="00F75519"/>
    <w:rsid w:val="00F75DF1"/>
    <w:rsid w:val="00F77A46"/>
    <w:rsid w:val="00F91054"/>
    <w:rsid w:val="00F979BF"/>
    <w:rsid w:val="00FA3A2B"/>
    <w:rsid w:val="00FD647E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6D32A"/>
  <w15:chartTrackingRefBased/>
  <w15:docId w15:val="{BB457031-9720-4B6C-A764-9CA101F5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1A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1AC7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1A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211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62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56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B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13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B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13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grapher/historical-and-projected-population-by-region" TargetMode="External"/><Relationship Id="rId13" Type="http://schemas.openxmlformats.org/officeDocument/2006/relationships/hyperlink" Target="https://naukawpolsce.pl/aktualnosci/news%2C93415%2Czmiany-klimatu-powaznie-zagrazaja-bezpieczenstwu-zywnosciowemu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atforum.org/eat-lancet-commission/the-planetary-health-diet-and-yo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otos.pl/145/type,oil_eurodiesel/dla_biznesu/hurtowe_ceny_paliw/archiwum_cen_paliw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Cena 1000 l oleju napędowego w zł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solidFill>
                  <a:srgbClr val="C00000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1574074074074073E-2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041-4466-B449-E3C997B8A06A}"/>
                </c:ext>
              </c:extLst>
            </c:dLbl>
            <c:dLbl>
              <c:idx val="1"/>
              <c:layout>
                <c:manualLayout>
                  <c:x val="-4.3981481481481503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041-4466-B449-E3C997B8A06A}"/>
                </c:ext>
              </c:extLst>
            </c:dLbl>
            <c:dLbl>
              <c:idx val="2"/>
              <c:layout>
                <c:manualLayout>
                  <c:x val="-1.3888888888888931E-2"/>
                  <c:y val="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041-4466-B449-E3C997B8A06A}"/>
                </c:ext>
              </c:extLst>
            </c:dLbl>
            <c:dLbl>
              <c:idx val="3"/>
              <c:layout>
                <c:manualLayout>
                  <c:x val="-1.1574074074074117E-2"/>
                  <c:y val="-3.5714285714285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041-4466-B449-E3C997B8A06A}"/>
                </c:ext>
              </c:extLst>
            </c:dLbl>
            <c:dLbl>
              <c:idx val="4"/>
              <c:layout>
                <c:manualLayout>
                  <c:x val="-6.9444444444444441E-3"/>
                  <c:y val="2.38095238095236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041-4466-B449-E3C997B8A06A}"/>
                </c:ext>
              </c:extLst>
            </c:dLbl>
            <c:dLbl>
              <c:idx val="5"/>
              <c:layout>
                <c:manualLayout>
                  <c:x val="2.3148148148148147E-3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041-4466-B449-E3C997B8A06A}"/>
                </c:ext>
              </c:extLst>
            </c:dLbl>
            <c:dLbl>
              <c:idx val="7"/>
              <c:layout>
                <c:manualLayout>
                  <c:x val="-1.8518518518518517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041-4466-B449-E3C997B8A06A}"/>
                </c:ext>
              </c:extLst>
            </c:dLbl>
            <c:dLbl>
              <c:idx val="8"/>
              <c:layout>
                <c:manualLayout>
                  <c:x val="-2.3148148148148234E-2"/>
                  <c:y val="4.7619047619047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041-4466-B449-E3C997B8A06A}"/>
                </c:ext>
              </c:extLst>
            </c:dLbl>
            <c:dLbl>
              <c:idx val="10"/>
              <c:layout>
                <c:manualLayout>
                  <c:x val="6.9444444444444441E-3"/>
                  <c:y val="-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041-4466-B449-E3C997B8A06A}"/>
                </c:ext>
              </c:extLst>
            </c:dLbl>
            <c:dLbl>
              <c:idx val="11"/>
              <c:layout>
                <c:manualLayout>
                  <c:x val="-8.4875562720133283E-17"/>
                  <c:y val="5.9523809523809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041-4466-B449-E3C997B8A06A}"/>
                </c:ext>
              </c:extLst>
            </c:dLbl>
            <c:dLbl>
              <c:idx val="12"/>
              <c:layout>
                <c:manualLayout>
                  <c:x val="6.9444444444443599E-3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041-4466-B449-E3C997B8A06A}"/>
                </c:ext>
              </c:extLst>
            </c:dLbl>
            <c:dLbl>
              <c:idx val="13"/>
              <c:layout>
                <c:manualLayout>
                  <c:x val="4.6296296296296294E-3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041-4466-B449-E3C997B8A06A}"/>
                </c:ext>
              </c:extLst>
            </c:dLbl>
            <c:dLbl>
              <c:idx val="15"/>
              <c:layout>
                <c:manualLayout>
                  <c:x val="-4.6296296296297994E-3"/>
                  <c:y val="4.76190476190476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041-4466-B449-E3C997B8A06A}"/>
                </c:ext>
              </c:extLst>
            </c:dLbl>
            <c:dLbl>
              <c:idx val="17"/>
              <c:layout>
                <c:manualLayout>
                  <c:x val="-2.3148148148148147E-3"/>
                  <c:y val="-4.7619047619047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041-4466-B449-E3C997B8A0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Arkusz1!$A$2:$A$19</c:f>
              <c:numCache>
                <c:formatCode>General</c:formatCode>
                <c:ptCount val="18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  <c:pt idx="15">
                  <c:v>2020</c:v>
                </c:pt>
                <c:pt idx="16">
                  <c:v>2021</c:v>
                </c:pt>
                <c:pt idx="17">
                  <c:v>2022</c:v>
                </c:pt>
              </c:numCache>
            </c:num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2871</c:v>
                </c:pt>
                <c:pt idx="1">
                  <c:v>3155</c:v>
                </c:pt>
                <c:pt idx="2">
                  <c:v>2874</c:v>
                </c:pt>
                <c:pt idx="3">
                  <c:v>3597</c:v>
                </c:pt>
                <c:pt idx="4">
                  <c:v>2971</c:v>
                </c:pt>
                <c:pt idx="5">
                  <c:v>3429</c:v>
                </c:pt>
                <c:pt idx="6">
                  <c:v>3790</c:v>
                </c:pt>
                <c:pt idx="7">
                  <c:v>4252</c:v>
                </c:pt>
                <c:pt idx="8">
                  <c:v>4318</c:v>
                </c:pt>
                <c:pt idx="9">
                  <c:v>4197</c:v>
                </c:pt>
                <c:pt idx="10">
                  <c:v>3722</c:v>
                </c:pt>
                <c:pt idx="11">
                  <c:v>3399</c:v>
                </c:pt>
                <c:pt idx="12">
                  <c:v>3329</c:v>
                </c:pt>
                <c:pt idx="13">
                  <c:v>4077</c:v>
                </c:pt>
                <c:pt idx="14">
                  <c:v>3982</c:v>
                </c:pt>
                <c:pt idx="15">
                  <c:v>3373</c:v>
                </c:pt>
                <c:pt idx="16">
                  <c:v>4254</c:v>
                </c:pt>
                <c:pt idx="17">
                  <c:v>7043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041-4466-B449-E3C997B8A0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03529504"/>
        <c:axId val="1610574496"/>
      </c:lineChart>
      <c:catAx>
        <c:axId val="160352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10574496"/>
        <c:crosses val="autoZero"/>
        <c:auto val="1"/>
        <c:lblAlgn val="ctr"/>
        <c:lblOffset val="100"/>
        <c:noMultiLvlLbl val="0"/>
      </c:catAx>
      <c:valAx>
        <c:axId val="1610574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l-PL" sz="9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Cena</a:t>
                </a:r>
                <a:r>
                  <a:rPr lang="pl-PL" sz="900" b="1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w zł</a:t>
                </a:r>
                <a:endParaRPr lang="pl-PL" sz="900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l-P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1603529504"/>
        <c:crosses val="autoZero"/>
        <c:crossBetween val="between"/>
      </c:valAx>
      <c:spPr>
        <a:gradFill flip="none" rotWithShape="1">
          <a:gsLst>
            <a:gs pos="0">
              <a:schemeClr val="accent4">
                <a:lumMod val="5000"/>
                <a:lumOff val="95000"/>
              </a:schemeClr>
            </a:gs>
            <a:gs pos="74000">
              <a:schemeClr val="accent4">
                <a:lumMod val="45000"/>
                <a:lumOff val="55000"/>
              </a:schemeClr>
            </a:gs>
            <a:gs pos="83000">
              <a:schemeClr val="accent4">
                <a:lumMod val="45000"/>
                <a:lumOff val="55000"/>
              </a:schemeClr>
            </a:gs>
            <a:gs pos="100000">
              <a:schemeClr val="accent4">
                <a:lumMod val="30000"/>
                <a:lumOff val="70000"/>
              </a:schemeClr>
            </a:gs>
          </a:gsLst>
          <a:lin ang="5400000" scaled="1"/>
          <a:tileRect/>
        </a:gra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2768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Skałecka</cp:lastModifiedBy>
  <cp:revision>5</cp:revision>
  <dcterms:created xsi:type="dcterms:W3CDTF">2022-08-29T10:12:00Z</dcterms:created>
  <dcterms:modified xsi:type="dcterms:W3CDTF">2022-08-30T07:59:00Z</dcterms:modified>
</cp:coreProperties>
</file>