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14F40ADC" w:rsidR="001843FB" w:rsidRPr="003D1DA3" w:rsidRDefault="00075CED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mgr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Piotr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Wetoszka</w:t>
            </w:r>
            <w:proofErr w:type="spellEnd"/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6F872FFD" w:rsidR="00754C7B" w:rsidRPr="003D1DA3" w:rsidRDefault="000F5616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NIE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71D62419" w:rsidR="001843FB" w:rsidRPr="003D1DA3" w:rsidRDefault="000F5616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TAK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7777777" w:rsidR="001843FB" w:rsidRPr="00754C7B" w:rsidRDefault="001843FB" w:rsidP="00754C7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032F8754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Semestr roku 202</w:t>
            </w:r>
            <w:r w:rsidR="009A258A">
              <w:rPr>
                <w:rFonts w:cstheme="minorHAnsi"/>
                <w:b/>
                <w:sz w:val="20"/>
                <w:szCs w:val="20"/>
              </w:rPr>
              <w:t>2</w:t>
            </w:r>
            <w:r w:rsidRPr="00754C7B">
              <w:rPr>
                <w:rFonts w:cstheme="minorHAnsi"/>
                <w:b/>
                <w:sz w:val="20"/>
                <w:szCs w:val="20"/>
              </w:rPr>
              <w:t>/202</w:t>
            </w:r>
            <w:r w:rsidR="009A258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0164C8D1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754C7B">
              <w:rPr>
                <w:rFonts w:cstheme="minorHAnsi"/>
                <w:bCs/>
                <w:sz w:val="20"/>
                <w:szCs w:val="20"/>
              </w:rPr>
              <w:t>zimowy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1843FB" w:rsidRPr="003D1DA3" w:rsidRDefault="001843FB" w:rsidP="0076227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56A0690D" w:rsidR="001843FB" w:rsidRPr="003D1DA3" w:rsidRDefault="00AC0068" w:rsidP="00762272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Political economy</w:t>
            </w:r>
          </w:p>
        </w:tc>
      </w:tr>
      <w:tr w:rsidR="00DD1534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677F1894" w:rsidR="00DD1534" w:rsidRPr="003D1DA3" w:rsidRDefault="00AC0068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DD1534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552BDD88" w:rsidR="00C16322" w:rsidRPr="00C16322" w:rsidRDefault="00B72C3F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A635E9">
              <w:rPr>
                <w:rFonts w:cstheme="minorHAnsi"/>
                <w:bCs/>
                <w:sz w:val="20"/>
                <w:szCs w:val="20"/>
              </w:rPr>
              <w:t>https://www.umcs.pl/en/courses-in-english,21103.htm</w:t>
            </w:r>
            <w:r w:rsidR="00C16322" w:rsidRPr="00C16322">
              <w:rPr>
                <w:rStyle w:val="Hipercze"/>
                <w:rFonts w:cstheme="minorHAnsi"/>
                <w:bCs/>
                <w:sz w:val="20"/>
                <w:szCs w:val="20"/>
              </w:rPr>
              <w:t xml:space="preserve"> </w:t>
            </w:r>
            <w:r w:rsidR="00C16322"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DD1534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17109532" w:rsidR="00DD1534" w:rsidRPr="003D1DA3" w:rsidRDefault="00DD1534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DD1534" w:rsidRPr="00074CD7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DD1534" w:rsidRPr="003D1DA3" w:rsidRDefault="00DD1534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1DE902ED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 w:rsidR="00F159C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251DDC2D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 w:rsidR="00F159C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6F4BCF06" w:rsidR="00A4414B" w:rsidRPr="003D1DA3" w:rsidRDefault="00A4414B" w:rsidP="00A4414B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 w:rsidR="00F159C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 w:rsidR="00F159C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 w:rsidR="00F159C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non-contact hours:</w:t>
            </w:r>
            <w:r w:rsidR="00F159C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1,5</w:t>
            </w:r>
          </w:p>
          <w:p w14:paraId="552A100D" w14:textId="7CE955E3" w:rsidR="00DD1534" w:rsidRPr="003D1DA3" w:rsidRDefault="00A4414B" w:rsidP="00A4414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 w:rsidR="00F159C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B817B1" w:rsidRPr="00074CD7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B94" w14:textId="77777777" w:rsidR="006929C7" w:rsidRDefault="006929C7" w:rsidP="006929C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</w:p>
          <w:p w14:paraId="552A1013" w14:textId="6B54904F" w:rsidR="00B817B1" w:rsidRPr="00021703" w:rsidRDefault="006929C7" w:rsidP="006929C7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Mini-quizzes and short revisory questions througho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  <w:lang w:val="en-US"/>
              </w:rPr>
              <w:t>ut the course</w:t>
            </w:r>
          </w:p>
        </w:tc>
      </w:tr>
      <w:tr w:rsidR="00B817B1" w:rsidRPr="00074CD7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6" w14:textId="575C47E1" w:rsidR="00B54E74" w:rsidRPr="00157224" w:rsidRDefault="00B817B1" w:rsidP="00082A2E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02170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module covers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key issues discussed within the political economy</w:t>
            </w:r>
            <w:r w:rsidR="00271D6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– a </w:t>
            </w:r>
            <w:r w:rsidR="006815D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research field at the intersection of economy and politics</w:t>
            </w:r>
            <w:r w:rsidR="00271D62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  <w:r w:rsidR="0022689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It involves</w:t>
            </w:r>
            <w:r w:rsidR="0015722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research on inequalities across many different subfields of normative economics, including labour market, migration, ecologic and educational policy. It deals with </w:t>
            </w:r>
            <w:r w:rsidR="00A95A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questions of how and why</w:t>
            </w:r>
            <w:r w:rsidR="0015722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A95A1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governments intervene in economies, why they often fail (government failure) and how they can correct</w:t>
            </w:r>
            <w:r w:rsidR="0030581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existing market inefficiencies. Another important issue</w:t>
            </w:r>
            <w:r w:rsidR="000645B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are possibilities for cooperation across sectors: state, private sector and social economy institutions.</w:t>
            </w:r>
          </w:p>
        </w:tc>
      </w:tr>
      <w:tr w:rsidR="00B817B1" w:rsidRPr="00074CD7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B817B1" w:rsidRPr="003D1DA3" w:rsidRDefault="00B817B1" w:rsidP="00B817B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2301" w14:textId="77777777" w:rsidR="00712027" w:rsidRPr="008D4EA5" w:rsidRDefault="00712027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0AC1300D" w14:textId="1910A25A" w:rsidR="00D947DE" w:rsidRDefault="00D947DE" w:rsidP="00D947DE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The Economy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</w:t>
            </w:r>
          </w:p>
          <w:p w14:paraId="0FCDE270" w14:textId="2CCCEFB9" w:rsidR="00712027" w:rsidRPr="00D947DE" w:rsidRDefault="00712027" w:rsidP="00D947DE">
            <w:pPr>
              <w:pStyle w:val="Akapitzlist"/>
              <w:numPr>
                <w:ilvl w:val="0"/>
                <w:numId w:val="26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 w:rsidRPr="00D947DE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Economy, Society, and Public Policy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 w:rsid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.2020].</w:t>
            </w:r>
          </w:p>
          <w:p w14:paraId="6874ACF0" w14:textId="77777777" w:rsidR="00712027" w:rsidRPr="00025C7D" w:rsidRDefault="00712027" w:rsidP="00025C7D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1D" w14:textId="1D755AFB" w:rsidR="00B817B1" w:rsidRPr="008D4EA5" w:rsidRDefault="00712027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Additional resources and provided by the teacher (these may include research papers on policies adopted in</w:t>
            </w:r>
            <w:r w:rsid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participants’ countries).</w:t>
            </w:r>
          </w:p>
        </w:tc>
      </w:tr>
      <w:tr w:rsidR="00025C7D" w:rsidRPr="00074CD7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025C7D" w:rsidRPr="003D1DA3" w:rsidRDefault="00025C7D" w:rsidP="00025C7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02C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KNOWLEDGE</w:t>
            </w:r>
          </w:p>
          <w:p w14:paraId="40900F9E" w14:textId="3CC0988D" w:rsidR="00025C7D" w:rsidRPr="0036697E" w:rsidRDefault="00025C7D" w:rsidP="0036697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know </w:t>
            </w:r>
            <w:r w:rsidR="006F6856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variety of political and economic institutions that shape modern economies and </w:t>
            </w:r>
            <w:r w:rsidR="004643D6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cause or help appease social</w:t>
            </w:r>
            <w:r w:rsidR="006F6856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inequalities, especially on the labour market.</w:t>
            </w:r>
          </w:p>
          <w:p w14:paraId="71B3ECBF" w14:textId="77777777" w:rsidR="00025C7D" w:rsidRPr="00025C7D" w:rsidRDefault="00025C7D" w:rsidP="00025C7D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1E8E5F1D" w14:textId="047F80D5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SKILLS</w:t>
            </w:r>
          </w:p>
          <w:p w14:paraId="24277C10" w14:textId="316655AF" w:rsidR="006F6856" w:rsidRDefault="00025C7D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6F685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evaluate </w:t>
            </w:r>
            <w:r w:rsidR="006F6856" w:rsidRPr="006F685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solutions ad</w:t>
            </w:r>
            <w:r w:rsidR="004643D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o</w:t>
            </w:r>
            <w:r w:rsidR="006F6856" w:rsidRPr="006F6856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pted by various countries/regions/cities and classify them as good or bad examples of institutions.</w:t>
            </w:r>
          </w:p>
          <w:p w14:paraId="56E39B99" w14:textId="6083A888" w:rsidR="00025C7D" w:rsidRDefault="006F6856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make arguments on the adequacy of policies.</w:t>
            </w:r>
          </w:p>
          <w:p w14:paraId="7548F5E4" w14:textId="114C6567" w:rsidR="006F6856" w:rsidRPr="006F6856" w:rsidRDefault="006F6856" w:rsidP="008D4EA5">
            <w:pPr>
              <w:pStyle w:val="Akapitzlist"/>
              <w:numPr>
                <w:ilvl w:val="0"/>
                <w:numId w:val="22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Students </w:t>
            </w:r>
            <w:r w:rsidR="00221DC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collect and evaluate statistical data on inequalities and institutional performance.</w:t>
            </w:r>
          </w:p>
          <w:p w14:paraId="74D52208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2F878ADD" w14:textId="77777777" w:rsidR="00025C7D" w:rsidRPr="008D4EA5" w:rsidRDefault="00025C7D" w:rsidP="008D4EA5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ATTITUDES</w:t>
            </w:r>
          </w:p>
          <w:p w14:paraId="552A1022" w14:textId="3E4EEFF1" w:rsidR="00025C7D" w:rsidRPr="0036697E" w:rsidRDefault="00025C7D" w:rsidP="0036697E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adopt an open and critical attitude towards evaluating public policies</w:t>
            </w:r>
            <w:r w:rsidR="00221DC3"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025C7D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025C7D" w:rsidRPr="003D1DA3" w:rsidRDefault="00025C7D" w:rsidP="00025C7D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025C7D" w:rsidRPr="003D1DA3" w:rsidRDefault="00025C7D" w:rsidP="00025C7D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552A1029" w14:textId="43BC4607" w:rsidR="00DD1534" w:rsidRPr="004643D6" w:rsidRDefault="00754C7B" w:rsidP="00646E99">
      <w:pPr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cstheme="minorHAnsi"/>
          <w:lang w:val="en-US"/>
        </w:rPr>
        <w:lastRenderedPageBreak/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FA6F83" w:rsidRPr="00C16322" w14:paraId="552A102C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2165D08D" w:rsidR="00FA6F83" w:rsidRPr="00C16322" w:rsidRDefault="00B72C3F" w:rsidP="00FA6F83">
            <w:pPr>
              <w:rPr>
                <w:rFonts w:cstheme="minorHAnsi"/>
                <w:sz w:val="20"/>
                <w:szCs w:val="20"/>
              </w:rPr>
            </w:pPr>
            <w:r w:rsidRPr="0036697E">
              <w:rPr>
                <w:rFonts w:cstheme="minorHAnsi"/>
                <w:sz w:val="20"/>
                <w:szCs w:val="20"/>
              </w:rPr>
              <w:t>https://www.umcs.pl/en/courses-in-english,21103.htm</w:t>
            </w:r>
            <w:r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9D26E4" w:rsidRPr="00074CD7" w14:paraId="552A102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04CA" w14:textId="3B706AD0" w:rsidR="009D26E4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  <w:r w:rsid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AA13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(on MS Teams)</w:t>
            </w:r>
          </w:p>
          <w:p w14:paraId="552A102E" w14:textId="0BBB7982" w:rsidR="008D076A" w:rsidRPr="00A76008" w:rsidRDefault="002D3F28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Mini-quizzes and short revisory questions throughout the course</w:t>
            </w:r>
          </w:p>
        </w:tc>
      </w:tr>
      <w:tr w:rsidR="009D26E4" w:rsidRPr="00A76008" w14:paraId="552A1032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28D748B2" w:rsidR="009D26E4" w:rsidRPr="00A76008" w:rsidRDefault="00646E99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</w:tr>
      <w:tr w:rsidR="009D26E4" w:rsidRPr="00074CD7" w14:paraId="552A1039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8B4" w14:textId="77777777" w:rsidR="00A262EA" w:rsidRPr="008D4EA5" w:rsidRDefault="00A262EA" w:rsidP="00A262EA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Basic reading:</w:t>
            </w:r>
          </w:p>
          <w:p w14:paraId="13E39E6A" w14:textId="77777777" w:rsidR="00A262EA" w:rsidRDefault="00A262EA" w:rsidP="00A262E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The Economy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AB4E4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</w:t>
            </w:r>
          </w:p>
          <w:p w14:paraId="1E410700" w14:textId="77777777" w:rsidR="00A262EA" w:rsidRPr="00D947DE" w:rsidRDefault="00A262EA" w:rsidP="00A262E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Core Team, </w:t>
            </w:r>
            <w:r w:rsidRPr="00D947DE">
              <w:rPr>
                <w:rFonts w:eastAsia="Times New Roman" w:cstheme="minorHAnsi"/>
                <w:bCs/>
                <w:i/>
                <w:iCs/>
                <w:sz w:val="20"/>
                <w:szCs w:val="20"/>
                <w:lang w:val="en-GB"/>
              </w:rPr>
              <w:t>Economy, Society, and Public Policy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, https://www.core-econ.org/espp/index.html [02.0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D947D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.2020].</w:t>
            </w:r>
          </w:p>
          <w:p w14:paraId="3FB65135" w14:textId="77777777" w:rsidR="00A262EA" w:rsidRPr="00025C7D" w:rsidRDefault="00A262EA" w:rsidP="00A262EA">
            <w:pPr>
              <w:pStyle w:val="Akapitzlist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</w:p>
          <w:p w14:paraId="552A1038" w14:textId="50563FA9" w:rsidR="009D26E4" w:rsidRPr="009D26E4" w:rsidRDefault="00A262EA" w:rsidP="00A262E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Additional resources and provided by the teacher (these may include research papers on policies adopted in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</w:t>
            </w:r>
            <w:r w:rsidRPr="008D4EA5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participants’ countries).</w:t>
            </w:r>
          </w:p>
        </w:tc>
      </w:tr>
      <w:tr w:rsidR="009D26E4" w:rsidRPr="00074CD7" w14:paraId="552A103E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81C" w14:textId="77777777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1E0F7D16" w14:textId="77777777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</w:p>
          <w:p w14:paraId="533E7056" w14:textId="77777777" w:rsidR="009D26E4" w:rsidRPr="003D1DA3" w:rsidRDefault="009D26E4" w:rsidP="009D26E4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Number of ECTS points for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60</w:t>
            </w:r>
          </w:p>
          <w:p w14:paraId="552A103D" w14:textId="1D6867B0" w:rsidR="009D26E4" w:rsidRPr="009D26E4" w:rsidRDefault="009D26E4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D26E4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Total number of ECTS points for the module: 6</w:t>
            </w:r>
          </w:p>
        </w:tc>
      </w:tr>
      <w:tr w:rsidR="009D26E4" w:rsidRPr="00074CD7" w14:paraId="552A1047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88A" w14:textId="286A7DCE" w:rsidR="009D26E4" w:rsidRPr="0036697E" w:rsidRDefault="009D26E4" w:rsidP="0036697E">
            <w:pPr>
              <w:pStyle w:val="Akapitzlist"/>
              <w:numPr>
                <w:ilvl w:val="0"/>
                <w:numId w:val="23"/>
              </w:num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6697E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Why and how are politics and economics related to each other?</w:t>
            </w:r>
          </w:p>
          <w:p w14:paraId="50D4153A" w14:textId="219402F8" w:rsidR="009D26E4" w:rsidRPr="00CE7AFE" w:rsidRDefault="00A67EE7" w:rsidP="009D26E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Types of economic regimes</w:t>
            </w:r>
          </w:p>
          <w:p w14:paraId="733F3A85" w14:textId="637584C5" w:rsidR="009D26E4" w:rsidRDefault="00B1599B" w:rsidP="009D26E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Good and bad </w:t>
            </w:r>
            <w:r w:rsidR="00A67EE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Institutions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 Trust and t</w:t>
            </w:r>
            <w:r w:rsidR="00A67EE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he concept of social capital</w:t>
            </w:r>
          </w:p>
          <w:p w14:paraId="6D608233" w14:textId="698F3060" w:rsidR="00A67EE7" w:rsidRDefault="00A67EE7" w:rsidP="00A67EE7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The case study of </w:t>
            </w:r>
            <w:proofErr w:type="spellStart"/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Mezzogiorno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(Italy)</w:t>
            </w:r>
          </w:p>
          <w:p w14:paraId="353FC42B" w14:textId="4F20DCCD" w:rsidR="00EF17FD" w:rsidRPr="00A67EE7" w:rsidRDefault="003872E2" w:rsidP="00A67EE7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Should Catalonia go independent? A political economy debate</w:t>
            </w:r>
          </w:p>
          <w:p w14:paraId="5BB4F919" w14:textId="77777777" w:rsidR="009D26E4" w:rsidRDefault="009D26E4" w:rsidP="009D26E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FB082C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Government failure and the problem of agency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.</w:t>
            </w:r>
          </w:p>
          <w:p w14:paraId="436263EE" w14:textId="7B433B16" w:rsidR="009D26E4" w:rsidRDefault="003F6F67" w:rsidP="009D26E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Institutions of labour market: a simulation of collective bargaining </w:t>
            </w:r>
          </w:p>
          <w:p w14:paraId="3443DA38" w14:textId="77777777" w:rsidR="009D26E4" w:rsidRPr="005C50B9" w:rsidRDefault="009D26E4" w:rsidP="009D26E4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9D26E4">
              <w:rPr>
                <w:rFonts w:eastAsia="Times New Roman" w:cstheme="minorHAnsi"/>
                <w:bCs/>
                <w:sz w:val="20"/>
                <w:szCs w:val="20"/>
                <w:lang w:val="en-US"/>
              </w:rPr>
              <w:t>The political economy of migration</w:t>
            </w:r>
          </w:p>
          <w:p w14:paraId="552A1046" w14:textId="7F8C22DB" w:rsidR="005C50B9" w:rsidRPr="002C69BD" w:rsidRDefault="00EB08C9" w:rsidP="002C69BD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Good governance in urban policy. Partic</w:t>
            </w:r>
            <w:r w:rsidR="00640789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ipatory budgets – examples of good institutions?</w:t>
            </w:r>
          </w:p>
        </w:tc>
      </w:tr>
      <w:tr w:rsidR="009D26E4" w:rsidRPr="00074CD7" w14:paraId="552A104A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CDAB" w14:textId="3498F9E6" w:rsidR="009D26E4" w:rsidRDefault="00D05C70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Problem-solving lecture</w:t>
            </w:r>
          </w:p>
          <w:p w14:paraId="552A1049" w14:textId="6639636A" w:rsidR="008871F2" w:rsidRPr="00A76008" w:rsidRDefault="002C69BD" w:rsidP="009D26E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Group work with case studies</w:t>
            </w:r>
          </w:p>
        </w:tc>
      </w:tr>
      <w:tr w:rsidR="009D26E4" w:rsidRPr="00074CD7" w14:paraId="552A104F" w14:textId="7777777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9D26E4" w:rsidRPr="003D1DA3" w:rsidRDefault="009D26E4" w:rsidP="009D26E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463" w14:textId="4F9B31FC" w:rsidR="009D26E4" w:rsidRDefault="008871F2" w:rsidP="008871F2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817B1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Written exam at the end of the course</w:t>
            </w:r>
            <w:r w:rsidR="002C69BD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 (on MS Teams)</w:t>
            </w:r>
          </w:p>
          <w:p w14:paraId="552A104E" w14:textId="7F6CD1B3" w:rsidR="00FF786F" w:rsidRPr="006929C7" w:rsidRDefault="002C69BD" w:rsidP="008871F2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I</w:t>
            </w:r>
            <w:r w:rsidR="00FF786F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ndividual and group activity throughout the course</w:t>
            </w:r>
          </w:p>
        </w:tc>
      </w:tr>
    </w:tbl>
    <w:p w14:paraId="552A1050" w14:textId="77777777" w:rsidR="00D055F6" w:rsidRPr="006929C7" w:rsidRDefault="00D055F6">
      <w:pPr>
        <w:rPr>
          <w:rFonts w:cstheme="minorHAnsi"/>
          <w:sz w:val="20"/>
          <w:szCs w:val="20"/>
          <w:lang w:val="en-GB"/>
        </w:rPr>
      </w:pPr>
    </w:p>
    <w:sectPr w:rsidR="00D055F6" w:rsidRPr="006929C7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C8289" w14:textId="77777777" w:rsidR="002D57F0" w:rsidRDefault="002D57F0" w:rsidP="006E7390">
      <w:pPr>
        <w:spacing w:after="0" w:line="240" w:lineRule="auto"/>
      </w:pPr>
      <w:r>
        <w:separator/>
      </w:r>
    </w:p>
  </w:endnote>
  <w:endnote w:type="continuationSeparator" w:id="0">
    <w:p w14:paraId="676101EA" w14:textId="77777777" w:rsidR="002D57F0" w:rsidRDefault="002D57F0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67D4" w14:textId="77777777" w:rsidR="002D57F0" w:rsidRDefault="002D57F0" w:rsidP="006E7390">
      <w:pPr>
        <w:spacing w:after="0" w:line="240" w:lineRule="auto"/>
      </w:pPr>
      <w:r>
        <w:separator/>
      </w:r>
    </w:p>
  </w:footnote>
  <w:footnote w:type="continuationSeparator" w:id="0">
    <w:p w14:paraId="570AD6B3" w14:textId="77777777" w:rsidR="002D57F0" w:rsidRDefault="002D57F0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F0A21"/>
    <w:multiLevelType w:val="hybridMultilevel"/>
    <w:tmpl w:val="6DB88C08"/>
    <w:lvl w:ilvl="0" w:tplc="9FD663A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2495"/>
    <w:multiLevelType w:val="hybridMultilevel"/>
    <w:tmpl w:val="1618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26851"/>
    <w:multiLevelType w:val="hybridMultilevel"/>
    <w:tmpl w:val="F53C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5653F3"/>
    <w:multiLevelType w:val="hybridMultilevel"/>
    <w:tmpl w:val="C0BA2F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153BE"/>
    <w:multiLevelType w:val="hybridMultilevel"/>
    <w:tmpl w:val="364A1A6E"/>
    <w:lvl w:ilvl="0" w:tplc="DA768FC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961244"/>
    <w:multiLevelType w:val="hybridMultilevel"/>
    <w:tmpl w:val="36409804"/>
    <w:lvl w:ilvl="0" w:tplc="A510E39A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56460F"/>
    <w:multiLevelType w:val="hybridMultilevel"/>
    <w:tmpl w:val="ACE082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CC4EAD"/>
    <w:multiLevelType w:val="hybridMultilevel"/>
    <w:tmpl w:val="5100C9A4"/>
    <w:lvl w:ilvl="0" w:tplc="AA7A9C5E">
      <w:start w:val="1"/>
      <w:numFmt w:val="decimal"/>
      <w:lvlText w:val="%1."/>
      <w:lvlJc w:val="left"/>
      <w:pPr>
        <w:ind w:left="227" w:hanging="227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0"/>
  </w:num>
  <w:num w:numId="4">
    <w:abstractNumId w:val="2"/>
  </w:num>
  <w:num w:numId="5">
    <w:abstractNumId w:val="23"/>
  </w:num>
  <w:num w:numId="6">
    <w:abstractNumId w:val="18"/>
  </w:num>
  <w:num w:numId="7">
    <w:abstractNumId w:val="11"/>
  </w:num>
  <w:num w:numId="8">
    <w:abstractNumId w:val="16"/>
  </w:num>
  <w:num w:numId="9">
    <w:abstractNumId w:val="7"/>
  </w:num>
  <w:num w:numId="10">
    <w:abstractNumId w:val="5"/>
  </w:num>
  <w:num w:numId="11">
    <w:abstractNumId w:val="26"/>
  </w:num>
  <w:num w:numId="12">
    <w:abstractNumId w:val="3"/>
  </w:num>
  <w:num w:numId="13">
    <w:abstractNumId w:val="15"/>
  </w:num>
  <w:num w:numId="14">
    <w:abstractNumId w:val="0"/>
  </w:num>
  <w:num w:numId="15">
    <w:abstractNumId w:val="9"/>
  </w:num>
  <w:num w:numId="16">
    <w:abstractNumId w:val="10"/>
  </w:num>
  <w:num w:numId="17">
    <w:abstractNumId w:val="12"/>
  </w:num>
  <w:num w:numId="18">
    <w:abstractNumId w:val="19"/>
  </w:num>
  <w:num w:numId="19">
    <w:abstractNumId w:val="4"/>
  </w:num>
  <w:num w:numId="20">
    <w:abstractNumId w:val="14"/>
  </w:num>
  <w:num w:numId="21">
    <w:abstractNumId w:val="13"/>
  </w:num>
  <w:num w:numId="22">
    <w:abstractNumId w:val="8"/>
  </w:num>
  <w:num w:numId="23">
    <w:abstractNumId w:val="2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34"/>
    <w:rsid w:val="00021703"/>
    <w:rsid w:val="00022347"/>
    <w:rsid w:val="00025C7D"/>
    <w:rsid w:val="000278C8"/>
    <w:rsid w:val="00050FC2"/>
    <w:rsid w:val="00061BB8"/>
    <w:rsid w:val="000645BC"/>
    <w:rsid w:val="000674E9"/>
    <w:rsid w:val="00072949"/>
    <w:rsid w:val="00074CD7"/>
    <w:rsid w:val="00075CED"/>
    <w:rsid w:val="00082A2E"/>
    <w:rsid w:val="000A338D"/>
    <w:rsid w:val="000C2FD8"/>
    <w:rsid w:val="000E6206"/>
    <w:rsid w:val="000F5616"/>
    <w:rsid w:val="00100D97"/>
    <w:rsid w:val="00152327"/>
    <w:rsid w:val="00156121"/>
    <w:rsid w:val="00157224"/>
    <w:rsid w:val="001843FB"/>
    <w:rsid w:val="001C2D1A"/>
    <w:rsid w:val="001E424A"/>
    <w:rsid w:val="001E6315"/>
    <w:rsid w:val="00216ADF"/>
    <w:rsid w:val="00221DC3"/>
    <w:rsid w:val="00226893"/>
    <w:rsid w:val="00240DE1"/>
    <w:rsid w:val="00271D62"/>
    <w:rsid w:val="002811AD"/>
    <w:rsid w:val="002C69BD"/>
    <w:rsid w:val="002D3F28"/>
    <w:rsid w:val="002D57F0"/>
    <w:rsid w:val="002E3EE7"/>
    <w:rsid w:val="0030581A"/>
    <w:rsid w:val="003111F6"/>
    <w:rsid w:val="003233B4"/>
    <w:rsid w:val="0036697E"/>
    <w:rsid w:val="00371E04"/>
    <w:rsid w:val="00374460"/>
    <w:rsid w:val="003872E2"/>
    <w:rsid w:val="003D0391"/>
    <w:rsid w:val="003D1DA3"/>
    <w:rsid w:val="003E5E2B"/>
    <w:rsid w:val="003F6F67"/>
    <w:rsid w:val="00405B7A"/>
    <w:rsid w:val="00431633"/>
    <w:rsid w:val="004643D6"/>
    <w:rsid w:val="004D7065"/>
    <w:rsid w:val="0050630E"/>
    <w:rsid w:val="00544B72"/>
    <w:rsid w:val="00560D3B"/>
    <w:rsid w:val="005862CA"/>
    <w:rsid w:val="005C50B9"/>
    <w:rsid w:val="005F1CAD"/>
    <w:rsid w:val="00640789"/>
    <w:rsid w:val="00646E99"/>
    <w:rsid w:val="00670459"/>
    <w:rsid w:val="006815DA"/>
    <w:rsid w:val="006929C7"/>
    <w:rsid w:val="00693951"/>
    <w:rsid w:val="006A6A42"/>
    <w:rsid w:val="006D36F2"/>
    <w:rsid w:val="006E7390"/>
    <w:rsid w:val="006F6856"/>
    <w:rsid w:val="00712027"/>
    <w:rsid w:val="00716989"/>
    <w:rsid w:val="00735AA7"/>
    <w:rsid w:val="00742AF5"/>
    <w:rsid w:val="00754C7B"/>
    <w:rsid w:val="00765D8F"/>
    <w:rsid w:val="007A11DD"/>
    <w:rsid w:val="007A495E"/>
    <w:rsid w:val="007B6DDA"/>
    <w:rsid w:val="007F229D"/>
    <w:rsid w:val="00800B7B"/>
    <w:rsid w:val="00806345"/>
    <w:rsid w:val="008822E4"/>
    <w:rsid w:val="008871F2"/>
    <w:rsid w:val="008D076A"/>
    <w:rsid w:val="008D113F"/>
    <w:rsid w:val="008D4EA5"/>
    <w:rsid w:val="00927E4F"/>
    <w:rsid w:val="00950134"/>
    <w:rsid w:val="009A258A"/>
    <w:rsid w:val="009C378A"/>
    <w:rsid w:val="009D26E4"/>
    <w:rsid w:val="009E034D"/>
    <w:rsid w:val="00A01276"/>
    <w:rsid w:val="00A1631D"/>
    <w:rsid w:val="00A262EA"/>
    <w:rsid w:val="00A4414B"/>
    <w:rsid w:val="00A55BB8"/>
    <w:rsid w:val="00A56656"/>
    <w:rsid w:val="00A635E9"/>
    <w:rsid w:val="00A67EE7"/>
    <w:rsid w:val="00A72518"/>
    <w:rsid w:val="00A76008"/>
    <w:rsid w:val="00A95A15"/>
    <w:rsid w:val="00AA13DE"/>
    <w:rsid w:val="00AC0068"/>
    <w:rsid w:val="00AD176F"/>
    <w:rsid w:val="00B03010"/>
    <w:rsid w:val="00B1599B"/>
    <w:rsid w:val="00B44BFA"/>
    <w:rsid w:val="00B54E74"/>
    <w:rsid w:val="00B72AFF"/>
    <w:rsid w:val="00B72C3F"/>
    <w:rsid w:val="00B817B1"/>
    <w:rsid w:val="00BA02F8"/>
    <w:rsid w:val="00C16322"/>
    <w:rsid w:val="00C22A51"/>
    <w:rsid w:val="00C31C17"/>
    <w:rsid w:val="00C6593B"/>
    <w:rsid w:val="00C753B5"/>
    <w:rsid w:val="00CE7AFE"/>
    <w:rsid w:val="00D055F6"/>
    <w:rsid w:val="00D05C70"/>
    <w:rsid w:val="00D52B9B"/>
    <w:rsid w:val="00D66D2B"/>
    <w:rsid w:val="00D724DB"/>
    <w:rsid w:val="00D774FD"/>
    <w:rsid w:val="00D947DE"/>
    <w:rsid w:val="00DB1F45"/>
    <w:rsid w:val="00DD1534"/>
    <w:rsid w:val="00DE7B01"/>
    <w:rsid w:val="00DE7F40"/>
    <w:rsid w:val="00DF4932"/>
    <w:rsid w:val="00E022BE"/>
    <w:rsid w:val="00E46FCA"/>
    <w:rsid w:val="00E575F2"/>
    <w:rsid w:val="00E66C06"/>
    <w:rsid w:val="00E724EC"/>
    <w:rsid w:val="00E83F9E"/>
    <w:rsid w:val="00E90CF6"/>
    <w:rsid w:val="00E90F5B"/>
    <w:rsid w:val="00EB08C9"/>
    <w:rsid w:val="00ED4704"/>
    <w:rsid w:val="00EE607D"/>
    <w:rsid w:val="00EF17FD"/>
    <w:rsid w:val="00F01226"/>
    <w:rsid w:val="00F053C7"/>
    <w:rsid w:val="00F159C6"/>
    <w:rsid w:val="00F41852"/>
    <w:rsid w:val="00F567DB"/>
    <w:rsid w:val="00FA6F83"/>
    <w:rsid w:val="00FB082C"/>
    <w:rsid w:val="00FF2368"/>
    <w:rsid w:val="00FF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1C39-4939-48E4-BBFB-68D5B25F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Agnieszka Gryglicka</cp:lastModifiedBy>
  <cp:revision>91</cp:revision>
  <dcterms:created xsi:type="dcterms:W3CDTF">2021-02-26T11:17:00Z</dcterms:created>
  <dcterms:modified xsi:type="dcterms:W3CDTF">2022-06-28T05:53:00Z</dcterms:modified>
</cp:coreProperties>
</file>