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2D1E25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2D1E25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2D1E25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46886505" w:rsidR="001843FB" w:rsidRPr="002D1E25" w:rsidRDefault="007C3D7C" w:rsidP="00754C7B">
            <w:pPr>
              <w:rPr>
                <w:rFonts w:cstheme="minorHAnsi"/>
                <w:bCs/>
                <w:sz w:val="20"/>
                <w:szCs w:val="20"/>
              </w:rPr>
            </w:pPr>
            <w:r w:rsidRPr="002D1E25">
              <w:rPr>
                <w:rFonts w:cstheme="minorHAnsi"/>
                <w:bCs/>
                <w:sz w:val="20"/>
                <w:szCs w:val="20"/>
              </w:rPr>
              <w:t>Dr Piotr Maleszyk, mgr Piotr Wetoszka</w:t>
            </w:r>
          </w:p>
        </w:tc>
      </w:tr>
      <w:tr w:rsidR="00754C7B" w:rsidRPr="002D1E25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2D1E25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2D1E25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73806728" w:rsidR="00754C7B" w:rsidRPr="002D1E25" w:rsidRDefault="00754C7B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D1E25">
              <w:rPr>
                <w:rFonts w:cstheme="minorHAnsi"/>
                <w:bCs/>
                <w:sz w:val="20"/>
                <w:szCs w:val="20"/>
                <w:lang w:val="en-US"/>
              </w:rPr>
              <w:t>NIE</w:t>
            </w:r>
          </w:p>
        </w:tc>
      </w:tr>
      <w:tr w:rsidR="001843FB" w:rsidRPr="002D1E25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2D1E25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2D1E25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2D1E25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189EF776" w:rsidR="001843FB" w:rsidRPr="002D1E25" w:rsidRDefault="001843FB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D1E25">
              <w:rPr>
                <w:rFonts w:cstheme="minorHAnsi"/>
                <w:bCs/>
                <w:sz w:val="20"/>
                <w:szCs w:val="20"/>
                <w:lang w:val="en-US"/>
              </w:rPr>
              <w:t>TAK</w:t>
            </w:r>
          </w:p>
        </w:tc>
      </w:tr>
      <w:tr w:rsidR="001843FB" w:rsidRPr="002D1E25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9789805" w:rsidR="001843FB" w:rsidRPr="002D1E25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2D1E25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2D1E25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2D1E25">
              <w:rPr>
                <w:rFonts w:cstheme="minorHAnsi"/>
                <w:b/>
                <w:sz w:val="20"/>
                <w:szCs w:val="20"/>
              </w:rPr>
              <w:t>dla PJO</w:t>
            </w:r>
            <w:r w:rsidR="00961677" w:rsidRPr="002D1E25">
              <w:rPr>
                <w:rFonts w:cstheme="minorHAnsi"/>
                <w:b/>
                <w:sz w:val="20"/>
                <w:szCs w:val="20"/>
              </w:rPr>
              <w:t xml:space="preserve"> (*obowiązkowe)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77777777" w:rsidR="001843FB" w:rsidRPr="002D1E25" w:rsidRDefault="001843FB" w:rsidP="00754C7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843FB" w:rsidRPr="002D1E25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21A828A8" w:rsidR="001843FB" w:rsidRPr="002D1E25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2D1E25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D503FD" w:rsidRPr="002D1E25">
              <w:rPr>
                <w:rFonts w:cstheme="minorHAnsi"/>
                <w:b/>
                <w:sz w:val="20"/>
                <w:szCs w:val="20"/>
              </w:rPr>
              <w:t>2</w:t>
            </w:r>
            <w:r w:rsidRPr="002D1E25">
              <w:rPr>
                <w:rFonts w:cstheme="minorHAnsi"/>
                <w:b/>
                <w:sz w:val="20"/>
                <w:szCs w:val="20"/>
              </w:rPr>
              <w:t>/202</w:t>
            </w:r>
            <w:r w:rsidR="00D503FD" w:rsidRPr="002D1E2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20B23B5B" w:rsidR="001843FB" w:rsidRPr="002D1E25" w:rsidRDefault="00754C7B" w:rsidP="00754C7B">
            <w:pPr>
              <w:rPr>
                <w:rFonts w:cstheme="minorHAnsi"/>
                <w:bCs/>
                <w:sz w:val="20"/>
                <w:szCs w:val="20"/>
              </w:rPr>
            </w:pPr>
            <w:r w:rsidRPr="002D1E25">
              <w:rPr>
                <w:rFonts w:cstheme="minorHAnsi"/>
                <w:bCs/>
                <w:sz w:val="20"/>
                <w:szCs w:val="20"/>
              </w:rPr>
              <w:t>zimowy</w:t>
            </w:r>
          </w:p>
        </w:tc>
      </w:tr>
    </w:tbl>
    <w:p w14:paraId="6EAB3A9D" w14:textId="462B53FF" w:rsidR="001843FB" w:rsidRPr="002D1E25" w:rsidRDefault="00754C7B">
      <w:pPr>
        <w:rPr>
          <w:rFonts w:cstheme="minorHAnsi"/>
          <w:sz w:val="20"/>
          <w:szCs w:val="20"/>
        </w:rPr>
      </w:pPr>
      <w:r w:rsidRPr="002D1E25">
        <w:rPr>
          <w:rFonts w:cstheme="minorHAnsi"/>
          <w:sz w:val="20"/>
          <w:szCs w:val="20"/>
        </w:rPr>
        <w:t>* PJO – przedmiot w języku obcym dla studentów polskich / PJOE – przedmiot w języku obcym dla studentów Erasmus+</w:t>
      </w:r>
      <w:r w:rsidRPr="002D1E25">
        <w:rPr>
          <w:rFonts w:cstheme="minorHAnsi"/>
          <w:sz w:val="20"/>
          <w:szCs w:val="20"/>
        </w:rPr>
        <w:br/>
        <w:t>** zostawić właściwe</w:t>
      </w:r>
    </w:p>
    <w:p w14:paraId="1311EC97" w14:textId="6395F15A" w:rsidR="00754C7B" w:rsidRPr="002D1E25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2D1E25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14"/>
        <w:gridCol w:w="7382"/>
      </w:tblGrid>
      <w:tr w:rsidR="001843FB" w:rsidRPr="002D1E25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1843FB" w:rsidRPr="002D1E25" w:rsidRDefault="001843FB" w:rsidP="007622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D1E25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0320353A" w:rsidR="001843FB" w:rsidRPr="002D1E25" w:rsidRDefault="00A85B1F" w:rsidP="0076227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D1E25">
              <w:rPr>
                <w:rFonts w:cstheme="minorHAnsi"/>
                <w:bCs/>
                <w:sz w:val="20"/>
                <w:szCs w:val="20"/>
                <w:lang w:val="en-US"/>
              </w:rPr>
              <w:t>Migration research and policy</w:t>
            </w:r>
          </w:p>
        </w:tc>
      </w:tr>
      <w:tr w:rsidR="00DD1534" w:rsidRPr="002D1E25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2D1E25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D1E25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51276065" w:rsidR="00DD1534" w:rsidRPr="002D1E25" w:rsidRDefault="00C21EDE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D1E25">
              <w:rPr>
                <w:rFonts w:cstheme="minorHAns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DD1534" w:rsidRPr="002D1E25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2D1E25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D1E25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DD1534" w:rsidRPr="002D1E25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2D1E25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2D1E25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D1E25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3618D27C" w:rsidR="00DD1534" w:rsidRPr="002D1E25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D80AC8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2D1E25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D1E25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3DF8FDAB" w:rsidR="00C16322" w:rsidRPr="002D1E25" w:rsidRDefault="00D503FD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  <w:lang w:val="en-US"/>
              </w:rPr>
            </w:pPr>
            <w:r w:rsidRPr="002D1E25">
              <w:rPr>
                <w:rFonts w:cstheme="minorHAnsi"/>
                <w:sz w:val="20"/>
                <w:szCs w:val="20"/>
                <w:lang w:val="en-US"/>
              </w:rPr>
              <w:t>https://www.umcs.pl/en/courses-in-english-2021-2022,21582.htm</w:t>
            </w:r>
          </w:p>
        </w:tc>
      </w:tr>
      <w:tr w:rsidR="00DD1534" w:rsidRPr="002D1E25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DD1534" w:rsidRPr="002D1E25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D1E25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17109532" w:rsidR="00DD1534" w:rsidRPr="002D1E25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D80AC8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DD1534" w:rsidRPr="002D1E25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D1E25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50E1" w14:textId="77777777" w:rsidR="00A916C3" w:rsidRPr="002D1E25" w:rsidRDefault="00A916C3" w:rsidP="00A916C3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2D1E2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Contact hours (work with an academic teacher): 30</w:t>
            </w:r>
          </w:p>
          <w:p w14:paraId="5DD8810F" w14:textId="77777777" w:rsidR="00A916C3" w:rsidRPr="002D1E25" w:rsidRDefault="00A916C3" w:rsidP="00A916C3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2D1E2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Total number of hours with an academic teacher: 30</w:t>
            </w:r>
          </w:p>
          <w:p w14:paraId="55DBF490" w14:textId="77777777" w:rsidR="00A916C3" w:rsidRPr="002D1E25" w:rsidRDefault="00A916C3" w:rsidP="00A916C3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2D1E2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Number of ECTS points with an academic teacher: 3</w:t>
            </w:r>
            <w:r w:rsidRPr="002D1E2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>Non-contact hours (students' own work): 30</w:t>
            </w:r>
            <w:r w:rsidRPr="002D1E2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>Total number of non-contact hours: 30</w:t>
            </w:r>
            <w:r w:rsidRPr="002D1E2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>Number of ECTS points for non-contact hours:3</w:t>
            </w:r>
          </w:p>
          <w:p w14:paraId="552A100D" w14:textId="72422987" w:rsidR="00DD1534" w:rsidRPr="002D1E25" w:rsidRDefault="00A916C3" w:rsidP="00A916C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D1E2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Total number of ECTS points for the module: 6</w:t>
            </w:r>
          </w:p>
        </w:tc>
      </w:tr>
      <w:tr w:rsidR="00DD1534" w:rsidRPr="00D80AC8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DD1534" w:rsidRPr="002D1E25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D1E25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BC2A" w14:textId="77777777" w:rsidR="00DD1534" w:rsidRDefault="002D1E25" w:rsidP="00400B5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D1E25">
              <w:rPr>
                <w:rFonts w:cstheme="minorHAnsi"/>
                <w:sz w:val="20"/>
                <w:szCs w:val="20"/>
                <w:lang w:val="en-US"/>
              </w:rPr>
              <w:t>Oral exam</w:t>
            </w:r>
            <w:r w:rsidR="00400B50" w:rsidRPr="002D1E25">
              <w:rPr>
                <w:rFonts w:cstheme="minorHAnsi"/>
                <w:sz w:val="20"/>
                <w:szCs w:val="20"/>
                <w:lang w:val="en-US"/>
              </w:rPr>
              <w:t xml:space="preserve"> at the end of the course</w:t>
            </w:r>
          </w:p>
          <w:p w14:paraId="4DD2C486" w14:textId="4747927E" w:rsidR="00091FD2" w:rsidRDefault="006F41E2" w:rsidP="00400B5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Preparation and presentation of </w:t>
            </w:r>
            <w:r w:rsidR="00B47F9D">
              <w:rPr>
                <w:rFonts w:cstheme="minorHAnsi"/>
                <w:bCs/>
                <w:sz w:val="20"/>
                <w:szCs w:val="20"/>
                <w:lang w:val="en-US"/>
              </w:rPr>
              <w:t xml:space="preserve">individual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a</w:t>
            </w:r>
            <w:r w:rsidR="00B47F9D">
              <w:rPr>
                <w:rFonts w:cstheme="minorHAnsi"/>
                <w:bCs/>
                <w:sz w:val="20"/>
                <w:szCs w:val="20"/>
                <w:lang w:val="en-US"/>
              </w:rPr>
              <w:t>nd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group project</w:t>
            </w:r>
            <w:r w:rsidR="00B47F9D">
              <w:rPr>
                <w:rFonts w:cstheme="minorHAnsi"/>
                <w:bCs/>
                <w:sz w:val="20"/>
                <w:szCs w:val="20"/>
                <w:lang w:val="en-US"/>
              </w:rPr>
              <w:t>s</w:t>
            </w:r>
          </w:p>
          <w:p w14:paraId="552A1013" w14:textId="3E4DE83A" w:rsidR="00B47F9D" w:rsidRPr="002D1E25" w:rsidRDefault="00B47F9D" w:rsidP="00400B5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D80AC8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DD1534" w:rsidRPr="00A16DDE" w:rsidRDefault="00DD1534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A16DD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7C00" w14:textId="648A1082" w:rsidR="00BB4EFC" w:rsidRPr="00D80AC8" w:rsidRDefault="00A16DDE" w:rsidP="00765BCD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 w:rsidRPr="00A16DD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The module covers </w:t>
            </w:r>
            <w:r w:rsidR="006327C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theoretical and practical, research-oriented topics in the field of migration</w:t>
            </w:r>
            <w:r w:rsidR="00D93E11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, with a focus on migration</w:t>
            </w:r>
            <w:r w:rsidR="006327C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economics</w:t>
            </w:r>
            <w:r w:rsidR="00092BA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. By the end of the course, students should </w:t>
            </w:r>
            <w:r w:rsidR="0063336A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understand and explain drivers of different types of migration</w:t>
            </w:r>
            <w:r w:rsidR="006827E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, their</w:t>
            </w:r>
            <w:r w:rsidR="0063336A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socioeconomic consequences </w:t>
            </w:r>
            <w:r w:rsidR="006827E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and </w:t>
            </w:r>
            <w:r w:rsidR="00BC2C8A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the</w:t>
            </w:r>
            <w:r w:rsidR="00101A86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actions</w:t>
            </w:r>
            <w:r w:rsidR="0004609F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taken by governments and </w:t>
            </w:r>
            <w:r w:rsidR="002F48F0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NGOs</w:t>
            </w:r>
            <w:r w:rsidR="0004609F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to man</w:t>
            </w:r>
            <w:r w:rsidR="006827E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age migration flows. </w:t>
            </w:r>
            <w:r w:rsidR="006827EC" w:rsidRPr="00D80AC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Also,</w:t>
            </w:r>
            <w:r w:rsidR="00AF1477" w:rsidRPr="00D80AC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students will</w:t>
            </w:r>
            <w:r w:rsidR="00AF1477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be able to browse, analyze and interpret migration data, and conduct basic migration research.</w:t>
            </w:r>
          </w:p>
          <w:p w14:paraId="552A1016" w14:textId="46DB5557" w:rsidR="00DD1534" w:rsidRPr="00A16DDE" w:rsidRDefault="00DD1534" w:rsidP="00F053C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</w:tc>
      </w:tr>
      <w:tr w:rsidR="00BB4EFC" w:rsidRPr="00D80AC8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BB4EFC" w:rsidRPr="002D1E25" w:rsidRDefault="00BB4EFC" w:rsidP="00BB4E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D1E25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7255" w14:textId="24AB1AC9" w:rsidR="007E5D50" w:rsidRDefault="007E5D50" w:rsidP="00BB4EFC">
            <w:pPr>
              <w:spacing w:after="160"/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BASIC READING:</w:t>
            </w:r>
          </w:p>
          <w:p w14:paraId="49FF8F73" w14:textId="16FD6D9A" w:rsidR="00342526" w:rsidRDefault="00BB4EFC" w:rsidP="00BB4EFC">
            <w:pPr>
              <w:spacing w:after="160"/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Casarico</w:t>
            </w:r>
            <w:proofErr w:type="spellEnd"/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, A., </w:t>
            </w:r>
            <w:proofErr w:type="spellStart"/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Übelmesser</w:t>
            </w:r>
            <w:proofErr w:type="spellEnd"/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, S. (2018)</w:t>
            </w:r>
            <w:r w:rsidR="0050749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 Migration Policies and the Highly Skilled</w:t>
            </w:r>
            <w:r w:rsidR="0050749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IFO, Munich, 1 (16), 28-33.</w:t>
            </w:r>
          </w:p>
          <w:p w14:paraId="25C1B41B" w14:textId="7E66D4D3" w:rsidR="00BB4EFC" w:rsidRPr="005835E4" w:rsidRDefault="00BB4EFC" w:rsidP="00BB4EFC">
            <w:pPr>
              <w:spacing w:after="160"/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Edo, E. (2019)</w:t>
            </w:r>
            <w:r w:rsidR="0050749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The impact of immigration on the </w:t>
            </w:r>
            <w:proofErr w:type="spellStart"/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labor</w:t>
            </w:r>
            <w:proofErr w:type="spellEnd"/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market</w:t>
            </w:r>
            <w:r w:rsidR="0050749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507492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GB"/>
              </w:rPr>
              <w:t>Journal of Economic Surveys</w:t>
            </w:r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, 3 (33), 922-948.</w:t>
            </w:r>
          </w:p>
          <w:p w14:paraId="13274169" w14:textId="3608A8DC" w:rsidR="00BB4EFC" w:rsidRPr="005835E4" w:rsidRDefault="00BB4EFC" w:rsidP="00BB4EFC">
            <w:pPr>
              <w:spacing w:after="160"/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Hinte, H. (2014), What determines the net fiscal effects of migration? </w:t>
            </w:r>
            <w:r w:rsidRPr="000201A8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GB"/>
              </w:rPr>
              <w:t xml:space="preserve">IZA World of </w:t>
            </w:r>
            <w:proofErr w:type="spellStart"/>
            <w:r w:rsidRPr="000201A8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GB"/>
              </w:rPr>
              <w:t>Labor</w:t>
            </w:r>
            <w:proofErr w:type="spellEnd"/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, 78, https://wol.iza.org/uploads/articles/78/pdfs/what-determines-the-net-fiscal-effects-of-migration.pdf?v=1 </w:t>
            </w:r>
            <w:r w:rsidR="000201A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[25.03.2022].</w:t>
            </w:r>
          </w:p>
          <w:p w14:paraId="64050533" w14:textId="04051568" w:rsidR="00BB4EFC" w:rsidRPr="005835E4" w:rsidRDefault="00BB4EFC" w:rsidP="00BB4EFC">
            <w:pPr>
              <w:spacing w:after="160"/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Lofstrom, M., Wang, C. (2019)</w:t>
            </w:r>
            <w:r w:rsidR="000201A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Immigrants and entrepreneurship</w:t>
            </w:r>
            <w:r w:rsidR="000201A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7F0D1F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</w:r>
            <w:r w:rsidRPr="000201A8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GB"/>
              </w:rPr>
              <w:t xml:space="preserve">IZA World of </w:t>
            </w:r>
            <w:proofErr w:type="spellStart"/>
            <w:r w:rsidRPr="000201A8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GB"/>
              </w:rPr>
              <w:t>Labor</w:t>
            </w:r>
            <w:proofErr w:type="spellEnd"/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, 85, https://wol.iza.org/uploads/articles/490/pdfs/immigrants-and-entrepreneurship.pdf </w:t>
            </w:r>
            <w:r w:rsidR="000201A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[25.03.2022].</w:t>
            </w:r>
          </w:p>
          <w:p w14:paraId="2FA56E3D" w14:textId="19FA5116" w:rsidR="00BB4EFC" w:rsidRPr="005835E4" w:rsidRDefault="00BB4EFC" w:rsidP="00BB4EFC">
            <w:pPr>
              <w:spacing w:after="160"/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Max, N. (2014)</w:t>
            </w:r>
            <w:r w:rsidR="007F0D1F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The wider economic impacts of high-skilled migrants: a survey of the literature or receiving countries</w:t>
            </w:r>
            <w:r w:rsidR="007F0D1F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7F0D1F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GB"/>
              </w:rPr>
              <w:t>IZA Journal of Migration</w:t>
            </w:r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,  3-4, 1-20.</w:t>
            </w:r>
          </w:p>
          <w:p w14:paraId="6C0FE585" w14:textId="77777777" w:rsidR="00342526" w:rsidRDefault="00BB4EFC" w:rsidP="00342526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O’Reily, K. (2015)</w:t>
            </w:r>
            <w:r w:rsidR="007F0D1F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Migration theories: a critical overview, https://repository.lboro.ac.uk/ndownloader/files/17103524/1 </w:t>
            </w:r>
            <w:r w:rsidR="007F0D1F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[25.03.2022].</w:t>
            </w:r>
          </w:p>
          <w:p w14:paraId="466A8058" w14:textId="77777777" w:rsidR="00342526" w:rsidRDefault="00342526" w:rsidP="00342526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0BB44C0E" w14:textId="422F7C8E" w:rsidR="00BB4EFC" w:rsidRDefault="00BB4EFC" w:rsidP="00342526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Papademetriou, D. M., Sumption, M. (2011)</w:t>
            </w:r>
            <w:r w:rsidR="007F0D1F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Rethinking Points Systems and Employer-Selected Immigration</w:t>
            </w:r>
            <w:r w:rsidR="007F0D1F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. </w:t>
            </w:r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Washington: Institute for Migration Policy.</w:t>
            </w:r>
          </w:p>
          <w:p w14:paraId="32CA3478" w14:textId="124BB41E" w:rsidR="0091642A" w:rsidRDefault="0091642A" w:rsidP="00342526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7D49922D" w14:textId="7AD95485" w:rsidR="0091642A" w:rsidRPr="00D80AC8" w:rsidRDefault="0091642A" w:rsidP="00342526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80AC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lastRenderedPageBreak/>
              <w:t>Vargas-Silva, C. (Ed.). (2012). Handbook of research methods in migration. Edward Elgar Publishing.</w:t>
            </w:r>
          </w:p>
          <w:p w14:paraId="3CCAA417" w14:textId="4505E451" w:rsidR="00871C42" w:rsidRDefault="00871C42" w:rsidP="00342526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0E14C8BA" w14:textId="073E52D4" w:rsidR="00871C42" w:rsidRDefault="00871C42" w:rsidP="00342526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D80AC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Faggian</w:t>
            </w:r>
            <w:proofErr w:type="spellEnd"/>
            <w:r w:rsidRPr="00D80AC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, A., Rajbhandari, I., &amp; Dotzel, K. R. (2017). The interregional migration of human capital and its regional consequences: a review. Regional Studies, 51(1), 128-143.</w:t>
            </w:r>
          </w:p>
          <w:p w14:paraId="5BD01ADA" w14:textId="59A31082" w:rsidR="007E5D50" w:rsidRDefault="007E5D50" w:rsidP="00342526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5FBD39F8" w14:textId="5BCCC122" w:rsidR="007E5D50" w:rsidRDefault="00594D14" w:rsidP="00342526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OTHER MATERIALS</w:t>
            </w:r>
            <w:r w:rsidR="00922C06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AND SOURCES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:</w:t>
            </w:r>
          </w:p>
          <w:p w14:paraId="00EF7DE1" w14:textId="77777777" w:rsidR="00871C42" w:rsidRDefault="00D93E11" w:rsidP="00342526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D80AC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Borjas, G. J., &amp; Chiswick, B. R. (2019). Foundations of migration economics. Oxford University Press</w:t>
            </w:r>
            <w:r w:rsidR="00871C4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, </w:t>
            </w:r>
            <w:hyperlink r:id="rId8" w:history="1">
              <w:r w:rsidR="00871C42" w:rsidRPr="00125198">
                <w:rPr>
                  <w:rStyle w:val="Hipercze"/>
                  <w:rFonts w:eastAsia="Times New Roman" w:cstheme="minorHAnsi"/>
                  <w:bCs/>
                  <w:sz w:val="20"/>
                  <w:szCs w:val="20"/>
                  <w:lang w:val="en-GB"/>
                </w:rPr>
                <w:t>https://repofeb.undip.ac.id/8605/1/Foundations%20of%20Migration%20Economics.pdf</w:t>
              </w:r>
            </w:hyperlink>
            <w:r w:rsidR="00871C4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[25.03.2022]</w:t>
            </w:r>
          </w:p>
          <w:p w14:paraId="7FB59B91" w14:textId="78BCE022" w:rsidR="00D93E11" w:rsidRPr="00D93E11" w:rsidRDefault="00871C42" w:rsidP="00342526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</w:p>
          <w:p w14:paraId="1A6378D2" w14:textId="43B1311A" w:rsidR="00B91048" w:rsidRDefault="00922C06" w:rsidP="00342526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Migrant Policy Index 2020, </w:t>
            </w:r>
            <w:r w:rsidRPr="00922C06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https://mipex.eu/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[25.03.2022]</w:t>
            </w:r>
          </w:p>
          <w:p w14:paraId="3CEF1256" w14:textId="77777777" w:rsidR="00B91048" w:rsidRDefault="00B91048" w:rsidP="00342526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20D9BFB9" w14:textId="24818475" w:rsidR="00594D14" w:rsidRDefault="00594D14" w:rsidP="00342526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Reports and articles </w:t>
            </w:r>
            <w:r w:rsidR="009B5AB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published by the Migration Policy Institute</w:t>
            </w:r>
            <w:r w:rsidR="00F31BC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, </w:t>
            </w:r>
            <w:r w:rsidR="00F31BC3" w:rsidRPr="00B9104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https://www.migrationpolicy.org/</w:t>
            </w:r>
            <w:r w:rsidR="00F31BC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[25.03.2022].</w:t>
            </w:r>
          </w:p>
          <w:p w14:paraId="17C334B4" w14:textId="36C999B5" w:rsidR="005A0340" w:rsidRDefault="005A0340" w:rsidP="00342526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6F1A970F" w14:textId="6088DF6B" w:rsidR="005A0340" w:rsidRDefault="005A0340" w:rsidP="00342526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UN Database, </w:t>
            </w:r>
            <w:hyperlink r:id="rId9" w:history="1">
              <w:r w:rsidRPr="00125198">
                <w:rPr>
                  <w:rStyle w:val="Hipercze"/>
                  <w:rFonts w:eastAsia="Times New Roman" w:cstheme="minorHAnsi"/>
                  <w:bCs/>
                  <w:sz w:val="20"/>
                  <w:szCs w:val="20"/>
                  <w:lang w:val="en-GB"/>
                </w:rPr>
                <w:t>https://www.un.org/development/desa/pd/data/global-migration-database</w:t>
              </w:r>
            </w:hyperlink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[25.03.2022]</w:t>
            </w:r>
          </w:p>
          <w:p w14:paraId="7DEFEF73" w14:textId="78C1F7F9" w:rsidR="005A0340" w:rsidRDefault="005A0340" w:rsidP="00342526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44530C8F" w14:textId="037684C9" w:rsidR="005A0340" w:rsidRPr="005835E4" w:rsidRDefault="005A0340" w:rsidP="00342526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OECD Databases on Migration, </w:t>
            </w:r>
            <w:hyperlink r:id="rId10" w:history="1">
              <w:r w:rsidRPr="00125198">
                <w:rPr>
                  <w:rStyle w:val="Hipercze"/>
                  <w:rFonts w:eastAsia="Times New Roman" w:cstheme="minorHAnsi"/>
                  <w:bCs/>
                  <w:sz w:val="20"/>
                  <w:szCs w:val="20"/>
                  <w:lang w:val="en-GB"/>
                </w:rPr>
                <w:t>https://www.oecd.org/migration/mig/oecdmigrationdatabases.htm</w:t>
              </w:r>
            </w:hyperlink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[25.03.2022]</w:t>
            </w:r>
          </w:p>
          <w:p w14:paraId="552A101D" w14:textId="39B0D637" w:rsidR="00BB4EFC" w:rsidRPr="005835E4" w:rsidRDefault="00BB4EFC" w:rsidP="00BB4EFC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</w:tc>
      </w:tr>
      <w:tr w:rsidR="00BB4EFC" w:rsidRPr="00D80AC8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BB4EFC" w:rsidRPr="002D1E25" w:rsidRDefault="00BB4EFC" w:rsidP="00BB4E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D1E25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lastRenderedPageBreak/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A146" w14:textId="77777777" w:rsidR="00800988" w:rsidRPr="00800988" w:rsidRDefault="00800988" w:rsidP="0080098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80098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KNOWLEDGE</w:t>
            </w:r>
          </w:p>
          <w:p w14:paraId="50B7CF2C" w14:textId="3215CA6A" w:rsidR="00800988" w:rsidRPr="00800988" w:rsidRDefault="00800988" w:rsidP="00800988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80098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Students know </w:t>
            </w:r>
            <w:r w:rsidR="00871C4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basic concepts of migration, its </w:t>
            </w:r>
            <w:r w:rsidRPr="0080098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divers</w:t>
            </w:r>
            <w:r w:rsidR="00871C4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,</w:t>
            </w:r>
            <w:r w:rsidRPr="0080098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and theoretical impacts on sending and receiving countries</w:t>
            </w:r>
            <w:r w:rsidR="00871C4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or regions</w:t>
            </w:r>
            <w:r w:rsidRPr="0080098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. They explain how migration policy instruments can be used to control the migration process.</w:t>
            </w:r>
          </w:p>
          <w:p w14:paraId="3693B589" w14:textId="77777777" w:rsidR="00800988" w:rsidRPr="00800988" w:rsidRDefault="00800988" w:rsidP="0080098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5BA8077C" w14:textId="77777777" w:rsidR="00800988" w:rsidRPr="00800988" w:rsidRDefault="00800988" w:rsidP="0080098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80098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14:paraId="5833FB29" w14:textId="543B657A" w:rsidR="00800988" w:rsidRPr="00800988" w:rsidRDefault="00800988" w:rsidP="00800988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80098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Students take part in discussions, provide arguments and defend them, while evaluating social policies and migration effects in the short- and long-run, from the perspectives of sending and receiving countries.</w:t>
            </w:r>
            <w:r w:rsidR="00871C4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They are able to </w:t>
            </w:r>
            <w:r w:rsidR="00AF1477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browse, </w:t>
            </w:r>
            <w:r w:rsidR="005A034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analyze </w:t>
            </w:r>
            <w:r w:rsidR="00AF1477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and interpret </w:t>
            </w:r>
            <w:r w:rsidR="005A034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migration data, </w:t>
            </w:r>
            <w:r w:rsidR="00AF1477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and conduct</w:t>
            </w:r>
            <w:r w:rsidR="00871C4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basic migration research</w:t>
            </w:r>
            <w:r w:rsidR="009F76D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using such tools as IDI or a survey.</w:t>
            </w:r>
          </w:p>
          <w:p w14:paraId="5D3728F0" w14:textId="77777777" w:rsidR="00800988" w:rsidRPr="00800988" w:rsidRDefault="00800988" w:rsidP="0080098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282A5F3F" w14:textId="77777777" w:rsidR="00800988" w:rsidRPr="00800988" w:rsidRDefault="00800988" w:rsidP="0080098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80098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552A1022" w14:textId="04D88B0B" w:rsidR="00BB4EFC" w:rsidRPr="00800988" w:rsidRDefault="00800988" w:rsidP="00800988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80098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Students adopt an open attitude towards evaluating public policies and see them in the wider international context</w:t>
            </w:r>
            <w:r w:rsidR="00D576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, e.g. as regards brain drain and brain gain</w:t>
            </w:r>
            <w:r w:rsidR="00DE537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.</w:t>
            </w:r>
          </w:p>
        </w:tc>
      </w:tr>
      <w:tr w:rsidR="00BB4EFC" w:rsidRPr="002D1E25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BB4EFC" w:rsidRPr="002D1E25" w:rsidRDefault="00BB4EFC" w:rsidP="00BB4E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D1E25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BB4EFC" w:rsidRPr="002D1E25" w:rsidRDefault="00BB4EFC" w:rsidP="00BB4EFC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D1E25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552A1027" w14:textId="77777777" w:rsidR="00DD1534" w:rsidRPr="002D1E25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45A66CE6" w14:textId="77777777" w:rsidR="000C2FD8" w:rsidRPr="002D1E25" w:rsidRDefault="000C2FD8">
      <w:pPr>
        <w:rPr>
          <w:rFonts w:eastAsia="Times New Roman" w:cstheme="minorHAnsi"/>
          <w:sz w:val="20"/>
          <w:szCs w:val="20"/>
          <w:lang w:val="en-US"/>
        </w:rPr>
      </w:pPr>
      <w:r w:rsidRPr="002D1E25">
        <w:rPr>
          <w:rFonts w:cstheme="minorHAnsi"/>
          <w:sz w:val="20"/>
          <w:szCs w:val="20"/>
          <w:lang w:val="en-US"/>
        </w:rPr>
        <w:br w:type="page"/>
      </w:r>
    </w:p>
    <w:p w14:paraId="552A1029" w14:textId="6D33D74E" w:rsidR="00DD1534" w:rsidRPr="002D1E25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2D1E25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14"/>
        <w:gridCol w:w="7382"/>
      </w:tblGrid>
      <w:tr w:rsidR="00FA6F83" w:rsidRPr="00D80AC8" w14:paraId="552A102C" w14:textId="77777777" w:rsidTr="00CB54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2D1E25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D1E2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71472DF" w:rsidR="00FA6F83" w:rsidRPr="00D80AC8" w:rsidRDefault="008F609D" w:rsidP="00FA6F83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11" w:history="1">
              <w:r w:rsidR="00B72C3F" w:rsidRPr="00D80AC8">
                <w:rPr>
                  <w:rStyle w:val="Hipercze"/>
                  <w:rFonts w:cstheme="minorHAnsi"/>
                  <w:sz w:val="20"/>
                  <w:szCs w:val="20"/>
                  <w:lang w:val="en-US"/>
                </w:rPr>
                <w:t>https://www.umcs.pl/en/courses-in-english,21103.htm</w:t>
              </w:r>
            </w:hyperlink>
          </w:p>
        </w:tc>
      </w:tr>
      <w:tr w:rsidR="00FA6F83" w:rsidRPr="00D80AC8" w14:paraId="552A102F" w14:textId="77777777" w:rsidTr="00CB54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2D1E25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D1E2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4F97" w14:textId="77777777" w:rsidR="00765BCD" w:rsidRDefault="00765BCD" w:rsidP="00765BC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D1E25">
              <w:rPr>
                <w:rFonts w:cstheme="minorHAnsi"/>
                <w:sz w:val="20"/>
                <w:szCs w:val="20"/>
                <w:lang w:val="en-US"/>
              </w:rPr>
              <w:t>Oral exam at the end of the course</w:t>
            </w:r>
          </w:p>
          <w:p w14:paraId="552A102E" w14:textId="3E383869" w:rsidR="00FA6F83" w:rsidRPr="00B47F9D" w:rsidRDefault="00765BCD" w:rsidP="00765BC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Preparation and presentation of a group project</w:t>
            </w:r>
          </w:p>
        </w:tc>
      </w:tr>
      <w:tr w:rsidR="00DD1534" w:rsidRPr="002D1E25" w14:paraId="552A1032" w14:textId="77777777" w:rsidTr="00CB54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2D1E25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D1E2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77777777" w:rsidR="00DD1534" w:rsidRPr="002D1E25" w:rsidRDefault="00DD153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765BCD" w:rsidRPr="00D80AC8" w14:paraId="552A1039" w14:textId="77777777" w:rsidTr="00CB54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765BCD" w:rsidRPr="002D1E25" w:rsidRDefault="00765BCD" w:rsidP="00765BCD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D1E2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FBF7" w14:textId="77777777" w:rsidR="00765BCD" w:rsidRDefault="00765BCD" w:rsidP="00765BCD">
            <w:pPr>
              <w:spacing w:after="160"/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BASIC READING:</w:t>
            </w:r>
          </w:p>
          <w:p w14:paraId="1309F7BE" w14:textId="77777777" w:rsidR="00765BCD" w:rsidRDefault="00765BCD" w:rsidP="00765BCD">
            <w:pPr>
              <w:spacing w:after="160"/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Casarico</w:t>
            </w:r>
            <w:proofErr w:type="spellEnd"/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, A., </w:t>
            </w:r>
            <w:proofErr w:type="spellStart"/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Übelmesser</w:t>
            </w:r>
            <w:proofErr w:type="spellEnd"/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, S. (2018)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 Migration Policies and the Highly Skilled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IFO, Munich, 1 (16), 28-33.</w:t>
            </w:r>
          </w:p>
          <w:p w14:paraId="0071F2AB" w14:textId="77777777" w:rsidR="00765BCD" w:rsidRPr="005835E4" w:rsidRDefault="00765BCD" w:rsidP="00765BCD">
            <w:pPr>
              <w:spacing w:after="160"/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Edo, E. (2019)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The impact of immigration on the </w:t>
            </w:r>
            <w:proofErr w:type="spellStart"/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labor</w:t>
            </w:r>
            <w:proofErr w:type="spellEnd"/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market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507492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GB"/>
              </w:rPr>
              <w:t>Journal of Economic Surveys</w:t>
            </w:r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, 3 (33), 922-948.</w:t>
            </w:r>
          </w:p>
          <w:p w14:paraId="2E7737E7" w14:textId="77777777" w:rsidR="00765BCD" w:rsidRPr="005835E4" w:rsidRDefault="00765BCD" w:rsidP="00765BCD">
            <w:pPr>
              <w:spacing w:after="160"/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Hinte, H. (2014), What determines the net fiscal effects of migration? </w:t>
            </w:r>
            <w:r w:rsidRPr="000201A8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GB"/>
              </w:rPr>
              <w:t xml:space="preserve">IZA World of </w:t>
            </w:r>
            <w:proofErr w:type="spellStart"/>
            <w:r w:rsidRPr="000201A8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GB"/>
              </w:rPr>
              <w:t>Labor</w:t>
            </w:r>
            <w:proofErr w:type="spellEnd"/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, 78, https://wol.iza.org/uploads/articles/78/pdfs/what-determines-the-net-fiscal-effects-of-migration.pdf?v=1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[25.03.2022].</w:t>
            </w:r>
          </w:p>
          <w:p w14:paraId="2EA87216" w14:textId="77777777" w:rsidR="00765BCD" w:rsidRPr="005835E4" w:rsidRDefault="00765BCD" w:rsidP="00765BCD">
            <w:pPr>
              <w:spacing w:after="160"/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Lofstrom, M., Wang, C. (2019)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Immigrants and entrepreneurship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</w:r>
            <w:r w:rsidRPr="000201A8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GB"/>
              </w:rPr>
              <w:t xml:space="preserve">IZA World of </w:t>
            </w:r>
            <w:proofErr w:type="spellStart"/>
            <w:r w:rsidRPr="000201A8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GB"/>
              </w:rPr>
              <w:t>Labor</w:t>
            </w:r>
            <w:proofErr w:type="spellEnd"/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, 85, https://wol.iza.org/uploads/articles/490/pdfs/immigrants-and-entrepreneurship.pdf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[25.03.2022].</w:t>
            </w:r>
          </w:p>
          <w:p w14:paraId="0F2D7AD1" w14:textId="77777777" w:rsidR="00765BCD" w:rsidRPr="005835E4" w:rsidRDefault="00765BCD" w:rsidP="00765BCD">
            <w:pPr>
              <w:spacing w:after="160"/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Max, N. (2014)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The wider economic impacts of high-skilled migrants: a survey of the literature or receiving countries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7F0D1F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GB"/>
              </w:rPr>
              <w:t>IZA Journal of Migration</w:t>
            </w:r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,  3-4, 1-20.</w:t>
            </w:r>
          </w:p>
          <w:p w14:paraId="5ECD6453" w14:textId="77777777" w:rsidR="00765BCD" w:rsidRDefault="00765BCD" w:rsidP="00765BCD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O’Reily, K. (2015)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Migration theories: a critical overview, https://repository.lboro.ac.uk/ndownloader/files/17103524/1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[25.03.2022].</w:t>
            </w:r>
          </w:p>
          <w:p w14:paraId="088EB5C9" w14:textId="77777777" w:rsidR="00765BCD" w:rsidRDefault="00765BCD" w:rsidP="00765BCD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65E091EB" w14:textId="74286F92" w:rsidR="00765BCD" w:rsidRDefault="00765BCD" w:rsidP="00765BCD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Papademetriou, D. M., Sumption, M. (2011)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Rethinking Points Systems and Employer-Selected Immigration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. </w:t>
            </w:r>
            <w:r w:rsidRPr="005835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Washington: Institute for Migration Policy.</w:t>
            </w:r>
          </w:p>
          <w:p w14:paraId="4E4D1CDD" w14:textId="77777777" w:rsidR="009F76D2" w:rsidRDefault="009F76D2" w:rsidP="00765BCD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3BF7A1F2" w14:textId="67E67776" w:rsidR="0091642A" w:rsidRPr="00D80AC8" w:rsidRDefault="0091642A" w:rsidP="009F76D2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80AC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Vargas-Silva, C. (Ed.). (2012). Handbook of research methods in migration. Edward Elgar Publishing.</w:t>
            </w:r>
          </w:p>
          <w:p w14:paraId="4A85E7B6" w14:textId="77777777" w:rsidR="0091642A" w:rsidRPr="00D80AC8" w:rsidRDefault="0091642A" w:rsidP="009F76D2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7D4FA98D" w14:textId="260C8CE5" w:rsidR="009F76D2" w:rsidRDefault="009F76D2" w:rsidP="009F76D2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D80AC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Faggian</w:t>
            </w:r>
            <w:proofErr w:type="spellEnd"/>
            <w:r w:rsidRPr="00D80AC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, A., Rajbhandari, I., &amp; Dotzel, K. R. (2017). </w:t>
            </w:r>
            <w:r w:rsidRPr="00AC1527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The interregional migration of human capital and its regional consequences: a review. Regional Studies, 51(1), 128-143.</w:t>
            </w:r>
          </w:p>
          <w:p w14:paraId="2FFC4E2C" w14:textId="77777777" w:rsidR="009F76D2" w:rsidRDefault="009F76D2" w:rsidP="00765BCD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734AE386" w14:textId="77777777" w:rsidR="00765BCD" w:rsidRDefault="00765BCD" w:rsidP="00765BCD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1B076EE3" w14:textId="77777777" w:rsidR="00765BCD" w:rsidRDefault="00765BCD" w:rsidP="00765BCD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OTHER MATERIALS AND SOURCES:</w:t>
            </w:r>
          </w:p>
          <w:p w14:paraId="73E2FABE" w14:textId="216DFA12" w:rsidR="009F76D2" w:rsidRDefault="009F76D2" w:rsidP="00765BCD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AC1527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Borjas, G. J., &amp; Chiswick, B. R. (2019). Foundations of migration economics. Oxford University Press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, </w:t>
            </w:r>
            <w:hyperlink r:id="rId12" w:history="1">
              <w:r w:rsidRPr="00125198">
                <w:rPr>
                  <w:rStyle w:val="Hipercze"/>
                  <w:rFonts w:eastAsia="Times New Roman" w:cstheme="minorHAnsi"/>
                  <w:bCs/>
                  <w:sz w:val="20"/>
                  <w:szCs w:val="20"/>
                  <w:lang w:val="en-GB"/>
                </w:rPr>
                <w:t>https://repofeb.undip.ac.id/8605/1/Foundations%20of%20Migration%20Economics.pdf</w:t>
              </w:r>
            </w:hyperlink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[25.03.2022]</w:t>
            </w:r>
            <w:r w:rsidR="002B006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</w:p>
          <w:p w14:paraId="33A04761" w14:textId="77777777" w:rsidR="009F76D2" w:rsidRDefault="009F76D2" w:rsidP="00765BCD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0735C0D4" w14:textId="1249B79C" w:rsidR="00765BCD" w:rsidRDefault="00765BCD" w:rsidP="00765BCD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Migrant Policy Index 2020, </w:t>
            </w:r>
            <w:r w:rsidRPr="00922C06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https://mipex.eu/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[25.03.2022]</w:t>
            </w:r>
            <w:r w:rsidR="002B006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</w:p>
          <w:p w14:paraId="343327A2" w14:textId="77777777" w:rsidR="00765BCD" w:rsidRDefault="00765BCD" w:rsidP="00765BCD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2984488C" w14:textId="46DFF004" w:rsidR="00765BCD" w:rsidRDefault="00765BCD" w:rsidP="00765BCD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Reports and articles published by the Migration Policy Institute, </w:t>
            </w:r>
            <w:r w:rsidRPr="00B9104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https://www.migrationpolicy.org/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[25.03.2022].</w:t>
            </w:r>
          </w:p>
          <w:p w14:paraId="1807992E" w14:textId="768C3760" w:rsidR="005A0340" w:rsidRDefault="005A0340" w:rsidP="00765BCD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2378B8D8" w14:textId="31D9F99D" w:rsidR="005A0340" w:rsidRDefault="005A0340" w:rsidP="005A0340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UN Database, </w:t>
            </w:r>
            <w:hyperlink r:id="rId13" w:history="1">
              <w:r w:rsidRPr="00125198">
                <w:rPr>
                  <w:rStyle w:val="Hipercze"/>
                  <w:rFonts w:eastAsia="Times New Roman" w:cstheme="minorHAnsi"/>
                  <w:bCs/>
                  <w:sz w:val="20"/>
                  <w:szCs w:val="20"/>
                  <w:lang w:val="en-GB"/>
                </w:rPr>
                <w:t>https://www.un.org/development/desa/pd/data/global-migration-database</w:t>
              </w:r>
            </w:hyperlink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[25.03.2022]</w:t>
            </w:r>
            <w:r w:rsidR="002B006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</w:p>
          <w:p w14:paraId="6957F8EE" w14:textId="77777777" w:rsidR="005A0340" w:rsidRDefault="005A0340" w:rsidP="005A0340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7C354A85" w14:textId="311583CC" w:rsidR="005A0340" w:rsidRPr="005835E4" w:rsidRDefault="005A0340" w:rsidP="00765BCD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OECD Databases on Migration, </w:t>
            </w:r>
            <w:hyperlink r:id="rId14" w:history="1">
              <w:r w:rsidRPr="00125198">
                <w:rPr>
                  <w:rStyle w:val="Hipercze"/>
                  <w:rFonts w:eastAsia="Times New Roman" w:cstheme="minorHAnsi"/>
                  <w:bCs/>
                  <w:sz w:val="20"/>
                  <w:szCs w:val="20"/>
                  <w:lang w:val="en-GB"/>
                </w:rPr>
                <w:t>https://www.oecd.org/migration/mig/oecdmigrationdatabases.htm</w:t>
              </w:r>
            </w:hyperlink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[25.03.2022]</w:t>
            </w:r>
            <w:r w:rsidR="002B006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</w:p>
          <w:p w14:paraId="552A1038" w14:textId="086C0FEA" w:rsidR="00765BCD" w:rsidRPr="00765BCD" w:rsidRDefault="00765BCD" w:rsidP="00765BC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765BCD" w:rsidRPr="00D80AC8" w14:paraId="552A103E" w14:textId="77777777" w:rsidTr="00CB54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765BCD" w:rsidRPr="002D1E25" w:rsidRDefault="00765BCD" w:rsidP="00765BCD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D1E2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98A2" w14:textId="77777777" w:rsidR="00980E23" w:rsidRPr="00800988" w:rsidRDefault="00980E23" w:rsidP="00980E23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80098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KNOWLEDGE</w:t>
            </w:r>
          </w:p>
          <w:p w14:paraId="279F4C7B" w14:textId="77777777" w:rsidR="00980E23" w:rsidRPr="00800988" w:rsidRDefault="00980E23" w:rsidP="00980E23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80098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Students know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basic concepts of migration, its </w:t>
            </w:r>
            <w:r w:rsidRPr="0080098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divers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,</w:t>
            </w:r>
            <w:r w:rsidRPr="0080098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and theoretical impacts on sending and receiving countries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or regions</w:t>
            </w:r>
            <w:r w:rsidRPr="0080098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. They explain how migration policy instruments can be used to control the migration process.</w:t>
            </w:r>
          </w:p>
          <w:p w14:paraId="2545C50E" w14:textId="77777777" w:rsidR="00980E23" w:rsidRPr="00800988" w:rsidRDefault="00980E23" w:rsidP="00980E23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00A570AC" w14:textId="77777777" w:rsidR="00980E23" w:rsidRPr="00800988" w:rsidRDefault="00980E23" w:rsidP="00980E23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80098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14:paraId="65E02E01" w14:textId="77777777" w:rsidR="00980E23" w:rsidRPr="00800988" w:rsidRDefault="00980E23" w:rsidP="00980E23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80098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lastRenderedPageBreak/>
              <w:t>Students take part in discussions, provide arguments and defend them, while evaluating social policies and migration effects in the short- and long-run, from the perspectives of sending and receiving countries.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They are able to analyze migration data, design and conduct basic migration research using such tools as IDI or a survey.</w:t>
            </w:r>
          </w:p>
          <w:p w14:paraId="6451CD0E" w14:textId="77777777" w:rsidR="00980E23" w:rsidRPr="00800988" w:rsidRDefault="00980E23" w:rsidP="00980E23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31347E95" w14:textId="77777777" w:rsidR="00980E23" w:rsidRPr="00800988" w:rsidRDefault="00980E23" w:rsidP="00980E23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80098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552A103D" w14:textId="537C47AC" w:rsidR="00765BCD" w:rsidRPr="00765BCD" w:rsidRDefault="00980E23" w:rsidP="00765BC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0098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Students adopt an open attitude towards evaluating public policies and see them in the wider international context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, e.g. as regards brain drain and brain gain.</w:t>
            </w:r>
            <w:r w:rsidR="00765BCD" w:rsidRPr="00765BCD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.</w:t>
            </w:r>
          </w:p>
        </w:tc>
      </w:tr>
      <w:tr w:rsidR="00765BCD" w:rsidRPr="00D80AC8" w14:paraId="552A1047" w14:textId="77777777" w:rsidTr="00CB54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765BCD" w:rsidRPr="002D1E25" w:rsidRDefault="00765BCD" w:rsidP="00765BCD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D1E2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lastRenderedPageBreak/>
              <w:t>A list of topics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AFFB" w14:textId="77777777" w:rsidR="00765BCD" w:rsidRPr="00A16DDE" w:rsidRDefault="00765BCD" w:rsidP="00765BCD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4774D499" w14:textId="77777777" w:rsidR="00765BCD" w:rsidRPr="00A16DDE" w:rsidRDefault="00765BCD" w:rsidP="00765BCD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What is migration? Migration trends and types.</w:t>
            </w:r>
          </w:p>
          <w:p w14:paraId="680CD60F" w14:textId="77777777" w:rsidR="00765BCD" w:rsidRDefault="00765BCD" w:rsidP="00765BCD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Why do people migrate? Theories of migration.</w:t>
            </w:r>
          </w:p>
          <w:p w14:paraId="4F7CED8B" w14:textId="77777777" w:rsidR="00765BCD" w:rsidRPr="00A16DDE" w:rsidRDefault="00765BCD" w:rsidP="00765BCD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Socio-economic consequences of migration</w:t>
            </w:r>
          </w:p>
          <w:p w14:paraId="06B1BD26" w14:textId="77777777" w:rsidR="00765BCD" w:rsidRPr="00A16DDE" w:rsidRDefault="00765BCD" w:rsidP="00765BCD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Migration of high-skilled workers</w:t>
            </w:r>
          </w:p>
          <w:p w14:paraId="6BB21180" w14:textId="77777777" w:rsidR="00765BCD" w:rsidRPr="00A16DDE" w:rsidRDefault="00765BCD" w:rsidP="00765BCD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How to attract talents from abroad? Systems of migration policy.</w:t>
            </w:r>
          </w:p>
          <w:p w14:paraId="29564C45" w14:textId="77777777" w:rsidR="00765BCD" w:rsidRDefault="00765BCD" w:rsidP="00765BCD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Migration policies: insights from students’ countries</w:t>
            </w:r>
          </w:p>
          <w:p w14:paraId="78FECE98" w14:textId="77777777" w:rsidR="00765BCD" w:rsidRDefault="00765BCD" w:rsidP="00765BCD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The role of urban areas and NGOs in migration policy.</w:t>
            </w:r>
          </w:p>
          <w:p w14:paraId="5F6C80A5" w14:textId="6F4840F9" w:rsidR="00765BCD" w:rsidRDefault="005A0340" w:rsidP="00765BCD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Migration data analysis</w:t>
            </w:r>
            <w:r w:rsidR="00BD3CD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</w:p>
          <w:p w14:paraId="552A1046" w14:textId="41F191EF" w:rsidR="005A0340" w:rsidRPr="00765BCD" w:rsidRDefault="005A0340" w:rsidP="00765BCD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Designing </w:t>
            </w:r>
            <w:r w:rsidR="00DC4BFB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and conducting migration research</w:t>
            </w:r>
            <w:r w:rsidR="00BD3CD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</w:p>
        </w:tc>
      </w:tr>
      <w:tr w:rsidR="00765BCD" w:rsidRPr="00B47F9D" w14:paraId="552A104A" w14:textId="77777777" w:rsidTr="00CB54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765BCD" w:rsidRPr="002D1E25" w:rsidRDefault="00765BCD" w:rsidP="00765BCD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D1E2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5EA4" w14:textId="77777777" w:rsidR="0022291D" w:rsidRPr="0022291D" w:rsidRDefault="0022291D" w:rsidP="0022291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2291D">
              <w:rPr>
                <w:rFonts w:cstheme="minorHAnsi"/>
                <w:sz w:val="20"/>
                <w:szCs w:val="20"/>
                <w:lang w:val="en-US"/>
              </w:rPr>
              <w:t>Informative and problem-based lectures</w:t>
            </w:r>
          </w:p>
          <w:p w14:paraId="30816A85" w14:textId="77777777" w:rsidR="00765BCD" w:rsidRDefault="0022291D" w:rsidP="0022291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2291D">
              <w:rPr>
                <w:rFonts w:cstheme="minorHAnsi"/>
                <w:sz w:val="20"/>
                <w:szCs w:val="20"/>
                <w:lang w:val="en-US"/>
              </w:rPr>
              <w:t>Case-studies with group work and discussions</w:t>
            </w:r>
          </w:p>
          <w:p w14:paraId="552A1049" w14:textId="7C24C6B2" w:rsidR="00DC4BFB" w:rsidRPr="002D1E25" w:rsidRDefault="00BD3CD9" w:rsidP="00BD3CD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Research project</w:t>
            </w:r>
          </w:p>
        </w:tc>
      </w:tr>
      <w:tr w:rsidR="00CB54A6" w:rsidRPr="00B24F6F" w14:paraId="552A104F" w14:textId="77777777" w:rsidTr="00CB54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CB54A6" w:rsidRPr="002D1E25" w:rsidRDefault="00CB54A6" w:rsidP="00CB54A6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D1E2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E46B" w14:textId="5C5D22DE" w:rsidR="00CB54A6" w:rsidRDefault="00CB54A6" w:rsidP="00CB54A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D1E25">
              <w:rPr>
                <w:rFonts w:cstheme="minorHAnsi"/>
                <w:sz w:val="20"/>
                <w:szCs w:val="20"/>
                <w:lang w:val="en-US"/>
              </w:rPr>
              <w:t>Oral exam at the end of the course</w:t>
            </w:r>
            <w:r w:rsidR="00E45280">
              <w:rPr>
                <w:rFonts w:cstheme="minorHAnsi"/>
                <w:sz w:val="20"/>
                <w:szCs w:val="20"/>
                <w:lang w:val="en-US"/>
              </w:rPr>
              <w:t xml:space="preserve"> [</w:t>
            </w:r>
            <w:r w:rsidR="00635CB7">
              <w:rPr>
                <w:rFonts w:cstheme="minorHAnsi"/>
                <w:sz w:val="20"/>
                <w:szCs w:val="20"/>
                <w:lang w:val="en-US"/>
              </w:rPr>
              <w:t>40% of the final grade</w:t>
            </w:r>
            <w:r w:rsidR="00E45280">
              <w:rPr>
                <w:rFonts w:cstheme="minorHAnsi"/>
                <w:sz w:val="20"/>
                <w:szCs w:val="20"/>
                <w:lang w:val="en-US"/>
              </w:rPr>
              <w:t>]</w:t>
            </w:r>
          </w:p>
          <w:p w14:paraId="195A9340" w14:textId="1FE1FC43" w:rsidR="00980E23" w:rsidRDefault="00BD3CD9" w:rsidP="00CB54A6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Presentation of research project outcome </w:t>
            </w:r>
            <w:r w:rsidR="00E4528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="00E45280">
              <w:rPr>
                <w:rFonts w:cstheme="minorHAnsi"/>
                <w:sz w:val="20"/>
                <w:szCs w:val="20"/>
                <w:lang w:val="en-US"/>
              </w:rPr>
              <w:t>[</w:t>
            </w:r>
            <w:r w:rsidR="00635CB7">
              <w:rPr>
                <w:rFonts w:cstheme="minorHAnsi"/>
                <w:sz w:val="20"/>
                <w:szCs w:val="20"/>
                <w:lang w:val="en-US"/>
              </w:rPr>
              <w:t>60% of the final grade</w:t>
            </w:r>
            <w:r w:rsidR="00E45280">
              <w:rPr>
                <w:rFonts w:cstheme="minorHAnsi"/>
                <w:sz w:val="20"/>
                <w:szCs w:val="20"/>
                <w:lang w:val="en-US"/>
              </w:rPr>
              <w:t>]</w:t>
            </w:r>
          </w:p>
          <w:p w14:paraId="12B2A125" w14:textId="77777777" w:rsidR="00B24F6F" w:rsidRDefault="00B24F6F" w:rsidP="00CB54A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45994ED1" w14:textId="5E9EA2A5" w:rsidR="009667F8" w:rsidRDefault="00B24F6F" w:rsidP="00CB54A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Individual and group activity throughout the course</w:t>
            </w:r>
            <w:r w:rsidR="00E4528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635CB7">
              <w:rPr>
                <w:rFonts w:cstheme="minorHAnsi"/>
                <w:sz w:val="20"/>
                <w:szCs w:val="20"/>
                <w:lang w:val="en-US"/>
              </w:rPr>
              <w:t>is also taken into account.</w:t>
            </w:r>
          </w:p>
          <w:p w14:paraId="0EFC28D6" w14:textId="77777777" w:rsidR="00E45280" w:rsidRDefault="00E45280" w:rsidP="00CB54A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5A35EB2E" w14:textId="77777777" w:rsidR="00E45280" w:rsidRDefault="00E45280" w:rsidP="00E4528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Grading scale:</w:t>
            </w:r>
          </w:p>
          <w:p w14:paraId="618C18AE" w14:textId="51DE826C" w:rsidR="00E45280" w:rsidRPr="00211FC7" w:rsidRDefault="00E45280" w:rsidP="00E45280">
            <w:pPr>
              <w:pStyle w:val="NormalnyWeb"/>
              <w:spacing w:before="0" w:beforeAutospacing="0" w:after="90" w:afterAutospacing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211FC7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 xml:space="preserve">5,0 </w:t>
            </w:r>
            <w:r w:rsidR="00B24F6F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–</w:t>
            </w:r>
            <w:r w:rsidRPr="00211FC7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B24F6F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90% of points and above</w:t>
            </w:r>
          </w:p>
          <w:p w14:paraId="569BA44D" w14:textId="50FBD1ED" w:rsidR="00E45280" w:rsidRPr="00211FC7" w:rsidRDefault="00E45280" w:rsidP="00E45280">
            <w:pPr>
              <w:pStyle w:val="NormalnyWeb"/>
              <w:spacing w:before="0" w:beforeAutospacing="0" w:after="90" w:afterAutospacing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211FC7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4,5 - 80 - 89</w:t>
            </w:r>
            <w:r w:rsidR="00B24F6F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%</w:t>
            </w:r>
            <w:r w:rsidRPr="00211FC7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,</w:t>
            </w:r>
          </w:p>
          <w:p w14:paraId="2BFAF6B0" w14:textId="67B14A8F" w:rsidR="00E45280" w:rsidRPr="00211FC7" w:rsidRDefault="00E45280" w:rsidP="00E45280">
            <w:pPr>
              <w:pStyle w:val="NormalnyWeb"/>
              <w:spacing w:before="0" w:beforeAutospacing="0" w:after="90" w:afterAutospacing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211FC7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4,0 - 70 – 79</w:t>
            </w:r>
            <w:r w:rsidR="00B24F6F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%</w:t>
            </w:r>
            <w:r w:rsidRPr="00211FC7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,</w:t>
            </w:r>
          </w:p>
          <w:p w14:paraId="55D69A2C" w14:textId="17864B82" w:rsidR="00E45280" w:rsidRPr="00211FC7" w:rsidRDefault="00E45280" w:rsidP="00E45280">
            <w:pPr>
              <w:pStyle w:val="NormalnyWeb"/>
              <w:spacing w:before="0" w:beforeAutospacing="0" w:after="90" w:afterAutospacing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211FC7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3,5 - 60 – 69</w:t>
            </w:r>
            <w:r w:rsidR="00B24F6F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%</w:t>
            </w:r>
            <w:r w:rsidRPr="00211FC7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,</w:t>
            </w:r>
          </w:p>
          <w:p w14:paraId="1C82A6D8" w14:textId="160B81DC" w:rsidR="00B24F6F" w:rsidRDefault="00E45280" w:rsidP="00E452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11FC7">
              <w:rPr>
                <w:rFonts w:cstheme="minorHAnsi"/>
                <w:sz w:val="20"/>
                <w:szCs w:val="20"/>
                <w:lang w:val="en-US"/>
              </w:rPr>
              <w:t>3,0 - 5</w:t>
            </w: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Pr="00211FC7">
              <w:rPr>
                <w:rFonts w:cstheme="minorHAnsi"/>
                <w:sz w:val="20"/>
                <w:szCs w:val="20"/>
                <w:lang w:val="en-US"/>
              </w:rPr>
              <w:t xml:space="preserve"> – 59</w:t>
            </w:r>
            <w:r w:rsidR="00B24F6F">
              <w:rPr>
                <w:rFonts w:cstheme="minorHAnsi"/>
                <w:sz w:val="20"/>
                <w:szCs w:val="20"/>
                <w:lang w:val="en-US"/>
              </w:rPr>
              <w:t>%</w:t>
            </w:r>
            <w:r w:rsidRPr="00211FC7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552A104E" w14:textId="6A7EC619" w:rsidR="00B24F6F" w:rsidRPr="002D1E25" w:rsidRDefault="00B24F6F" w:rsidP="00E4528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2,0  - 50% or less</w:t>
            </w:r>
          </w:p>
        </w:tc>
      </w:tr>
    </w:tbl>
    <w:p w14:paraId="552A1050" w14:textId="77777777" w:rsidR="00D055F6" w:rsidRPr="002D1E25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2D1E25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F75C1" w14:textId="77777777" w:rsidR="0032051F" w:rsidRDefault="0032051F" w:rsidP="006E7390">
      <w:pPr>
        <w:spacing w:after="0" w:line="240" w:lineRule="auto"/>
      </w:pPr>
      <w:r>
        <w:separator/>
      </w:r>
    </w:p>
  </w:endnote>
  <w:endnote w:type="continuationSeparator" w:id="0">
    <w:p w14:paraId="1E11BBD4" w14:textId="77777777" w:rsidR="0032051F" w:rsidRDefault="0032051F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77BCA" w14:textId="77777777" w:rsidR="0032051F" w:rsidRDefault="0032051F" w:rsidP="006E7390">
      <w:pPr>
        <w:spacing w:after="0" w:line="240" w:lineRule="auto"/>
      </w:pPr>
      <w:r>
        <w:separator/>
      </w:r>
    </w:p>
  </w:footnote>
  <w:footnote w:type="continuationSeparator" w:id="0">
    <w:p w14:paraId="74FA2A0B" w14:textId="77777777" w:rsidR="0032051F" w:rsidRDefault="0032051F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4F676A"/>
    <w:multiLevelType w:val="hybridMultilevel"/>
    <w:tmpl w:val="B874C5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2"/>
  </w:num>
  <w:num w:numId="5">
    <w:abstractNumId w:val="17"/>
  </w:num>
  <w:num w:numId="6">
    <w:abstractNumId w:val="14"/>
  </w:num>
  <w:num w:numId="7">
    <w:abstractNumId w:val="10"/>
  </w:num>
  <w:num w:numId="8">
    <w:abstractNumId w:val="13"/>
  </w:num>
  <w:num w:numId="9">
    <w:abstractNumId w:val="7"/>
  </w:num>
  <w:num w:numId="10">
    <w:abstractNumId w:val="5"/>
  </w:num>
  <w:num w:numId="11">
    <w:abstractNumId w:val="19"/>
  </w:num>
  <w:num w:numId="12">
    <w:abstractNumId w:val="3"/>
  </w:num>
  <w:num w:numId="13">
    <w:abstractNumId w:val="12"/>
  </w:num>
  <w:num w:numId="14">
    <w:abstractNumId w:val="0"/>
  </w:num>
  <w:num w:numId="15">
    <w:abstractNumId w:val="8"/>
  </w:num>
  <w:num w:numId="16">
    <w:abstractNumId w:val="9"/>
  </w:num>
  <w:num w:numId="17">
    <w:abstractNumId w:val="11"/>
  </w:num>
  <w:num w:numId="18">
    <w:abstractNumId w:val="15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34"/>
    <w:rsid w:val="000201A8"/>
    <w:rsid w:val="00040A75"/>
    <w:rsid w:val="0004609F"/>
    <w:rsid w:val="00050FC2"/>
    <w:rsid w:val="00061BB8"/>
    <w:rsid w:val="00091FD2"/>
    <w:rsid w:val="00092BA4"/>
    <w:rsid w:val="000C2FD8"/>
    <w:rsid w:val="000E6206"/>
    <w:rsid w:val="00101A86"/>
    <w:rsid w:val="00114247"/>
    <w:rsid w:val="00156121"/>
    <w:rsid w:val="001843FB"/>
    <w:rsid w:val="001C2D1A"/>
    <w:rsid w:val="001E424A"/>
    <w:rsid w:val="00216ADF"/>
    <w:rsid w:val="0022291D"/>
    <w:rsid w:val="0027347C"/>
    <w:rsid w:val="002B006E"/>
    <w:rsid w:val="002D1E25"/>
    <w:rsid w:val="002E3EE7"/>
    <w:rsid w:val="002F48F0"/>
    <w:rsid w:val="0032051F"/>
    <w:rsid w:val="003233B4"/>
    <w:rsid w:val="00342526"/>
    <w:rsid w:val="00372380"/>
    <w:rsid w:val="003A2D1C"/>
    <w:rsid w:val="003C3765"/>
    <w:rsid w:val="003D1DA3"/>
    <w:rsid w:val="003E5E2B"/>
    <w:rsid w:val="003F0317"/>
    <w:rsid w:val="00400B50"/>
    <w:rsid w:val="00487710"/>
    <w:rsid w:val="00494DF8"/>
    <w:rsid w:val="004D43FD"/>
    <w:rsid w:val="004D7065"/>
    <w:rsid w:val="0050630E"/>
    <w:rsid w:val="00507492"/>
    <w:rsid w:val="00513621"/>
    <w:rsid w:val="00544B72"/>
    <w:rsid w:val="00560D3B"/>
    <w:rsid w:val="005835E4"/>
    <w:rsid w:val="005862CA"/>
    <w:rsid w:val="00594D14"/>
    <w:rsid w:val="00594D4A"/>
    <w:rsid w:val="005A0340"/>
    <w:rsid w:val="005F12A4"/>
    <w:rsid w:val="005F1CAD"/>
    <w:rsid w:val="006327CD"/>
    <w:rsid w:val="0063336A"/>
    <w:rsid w:val="00635CB7"/>
    <w:rsid w:val="00664AEB"/>
    <w:rsid w:val="00670459"/>
    <w:rsid w:val="006827EC"/>
    <w:rsid w:val="00693951"/>
    <w:rsid w:val="006A6A42"/>
    <w:rsid w:val="006D36F2"/>
    <w:rsid w:val="006E7390"/>
    <w:rsid w:val="006F41E2"/>
    <w:rsid w:val="00716989"/>
    <w:rsid w:val="00721088"/>
    <w:rsid w:val="00735AA7"/>
    <w:rsid w:val="00741EEE"/>
    <w:rsid w:val="00754C7B"/>
    <w:rsid w:val="00755A53"/>
    <w:rsid w:val="00765BCD"/>
    <w:rsid w:val="007A495E"/>
    <w:rsid w:val="007C3D7C"/>
    <w:rsid w:val="007E5D50"/>
    <w:rsid w:val="007F0D1F"/>
    <w:rsid w:val="00800988"/>
    <w:rsid w:val="00806345"/>
    <w:rsid w:val="00833C3A"/>
    <w:rsid w:val="00871C42"/>
    <w:rsid w:val="008D113F"/>
    <w:rsid w:val="008E3B66"/>
    <w:rsid w:val="008F609D"/>
    <w:rsid w:val="0091642A"/>
    <w:rsid w:val="00922C06"/>
    <w:rsid w:val="00961677"/>
    <w:rsid w:val="009667F8"/>
    <w:rsid w:val="00980E23"/>
    <w:rsid w:val="009B4A13"/>
    <w:rsid w:val="009B5AB9"/>
    <w:rsid w:val="009C378A"/>
    <w:rsid w:val="009E034D"/>
    <w:rsid w:val="009F76D2"/>
    <w:rsid w:val="00A01276"/>
    <w:rsid w:val="00A16DDE"/>
    <w:rsid w:val="00A4414B"/>
    <w:rsid w:val="00A55BB8"/>
    <w:rsid w:val="00A76008"/>
    <w:rsid w:val="00A85B1F"/>
    <w:rsid w:val="00A916C3"/>
    <w:rsid w:val="00A95D68"/>
    <w:rsid w:val="00AD176F"/>
    <w:rsid w:val="00AE3A49"/>
    <w:rsid w:val="00AF1477"/>
    <w:rsid w:val="00B03010"/>
    <w:rsid w:val="00B24F6F"/>
    <w:rsid w:val="00B47F9D"/>
    <w:rsid w:val="00B72C3F"/>
    <w:rsid w:val="00B91048"/>
    <w:rsid w:val="00BA02F8"/>
    <w:rsid w:val="00BB4EFC"/>
    <w:rsid w:val="00BC2C8A"/>
    <w:rsid w:val="00BD3CD9"/>
    <w:rsid w:val="00C16322"/>
    <w:rsid w:val="00C21EDE"/>
    <w:rsid w:val="00C25794"/>
    <w:rsid w:val="00C31C17"/>
    <w:rsid w:val="00C6593B"/>
    <w:rsid w:val="00C94481"/>
    <w:rsid w:val="00CA35D8"/>
    <w:rsid w:val="00CB54A6"/>
    <w:rsid w:val="00CE6242"/>
    <w:rsid w:val="00D055F6"/>
    <w:rsid w:val="00D3754F"/>
    <w:rsid w:val="00D41C6B"/>
    <w:rsid w:val="00D503FD"/>
    <w:rsid w:val="00D52B9B"/>
    <w:rsid w:val="00D576C6"/>
    <w:rsid w:val="00D80AC8"/>
    <w:rsid w:val="00D93E11"/>
    <w:rsid w:val="00DA32F5"/>
    <w:rsid w:val="00DB1F45"/>
    <w:rsid w:val="00DC4BFB"/>
    <w:rsid w:val="00DD1534"/>
    <w:rsid w:val="00DD1C15"/>
    <w:rsid w:val="00DE4256"/>
    <w:rsid w:val="00DE5373"/>
    <w:rsid w:val="00E022BE"/>
    <w:rsid w:val="00E45280"/>
    <w:rsid w:val="00E71E6D"/>
    <w:rsid w:val="00E83F82"/>
    <w:rsid w:val="00EB093E"/>
    <w:rsid w:val="00ED4704"/>
    <w:rsid w:val="00EE607D"/>
    <w:rsid w:val="00F01226"/>
    <w:rsid w:val="00F053C7"/>
    <w:rsid w:val="00F31BC3"/>
    <w:rsid w:val="00F658B9"/>
    <w:rsid w:val="00FA6F83"/>
    <w:rsid w:val="00FD4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3C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3C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C3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4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0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AC8"/>
  </w:style>
  <w:style w:type="paragraph" w:styleId="Stopka">
    <w:name w:val="footer"/>
    <w:basedOn w:val="Normalny"/>
    <w:link w:val="StopkaZnak"/>
    <w:uiPriority w:val="99"/>
    <w:unhideWhenUsed/>
    <w:rsid w:val="00D80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feb.undip.ac.id/8605/1/Foundations%20of%20Migration%20Economics.pdf" TargetMode="External"/><Relationship Id="rId13" Type="http://schemas.openxmlformats.org/officeDocument/2006/relationships/hyperlink" Target="https://www.un.org/development/desa/pd/data/global-migration-databa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pofeb.undip.ac.id/8605/1/Foundations%20of%20Migration%20Economic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mcs.pl/en/courses-in-english,21103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ecd.org/migration/mig/oecdmigrationdatabas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.org/development/desa/pd/data/global-migration-database" TargetMode="External"/><Relationship Id="rId14" Type="http://schemas.openxmlformats.org/officeDocument/2006/relationships/hyperlink" Target="https://www.oecd.org/migration/mig/oecdmigrationdatabases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766D1-2B65-4C85-8859-1D568725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ICom</dc:creator>
  <cp:lastModifiedBy>Piotr Wetoszka</cp:lastModifiedBy>
  <cp:revision>5</cp:revision>
  <dcterms:created xsi:type="dcterms:W3CDTF">2022-04-01T17:25:00Z</dcterms:created>
  <dcterms:modified xsi:type="dcterms:W3CDTF">2022-04-05T11:54:00Z</dcterms:modified>
</cp:coreProperties>
</file>