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E9D4D82" w:rsidR="001843FB" w:rsidRPr="003D1DA3" w:rsidRDefault="003E7AE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Mieczysław Pawłowski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68563DD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074BA8B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469314A0" w:rsidR="001843FB" w:rsidRPr="00754C7B" w:rsidRDefault="003E7AE6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3E7AE6">
              <w:rPr>
                <w:rFonts w:cstheme="minorHAnsi"/>
                <w:bCs/>
                <w:sz w:val="20"/>
                <w:szCs w:val="20"/>
                <w:lang w:val="en-US"/>
              </w:rPr>
              <w:t>Customer</w:t>
            </w:r>
            <w:r w:rsidRPr="003E7AE6">
              <w:rPr>
                <w:rFonts w:cstheme="minorHAnsi"/>
                <w:bCs/>
                <w:sz w:val="20"/>
                <w:szCs w:val="20"/>
              </w:rPr>
              <w:t xml:space="preserve"> Experience Management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C659988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3E7AE6" w:rsidRPr="00A76008" w14:paraId="59E577E3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AC4" w14:textId="6135FA15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Customer</w:t>
            </w:r>
            <w:r w:rsidRPr="002D5294">
              <w:rPr>
                <w:rFonts w:cs="Times New Roman"/>
                <w:b/>
                <w:szCs w:val="24"/>
                <w:lang w:val="en-US"/>
              </w:rPr>
              <w:t xml:space="preserve"> Experience Management</w:t>
            </w:r>
          </w:p>
        </w:tc>
      </w:tr>
      <w:tr w:rsidR="003E7AE6" w:rsidRPr="00A76008" w14:paraId="552A0FFC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FFB" w14:textId="6EC7E433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34 – Business and administration</w:t>
            </w:r>
          </w:p>
        </w:tc>
      </w:tr>
      <w:tr w:rsidR="003E7AE6" w:rsidRPr="00A76008" w14:paraId="552A0FFF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FFE" w14:textId="058A59F0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535B">
              <w:rPr>
                <w:rFonts w:cs="Times New Roman"/>
                <w:szCs w:val="24"/>
                <w:lang w:val="en-US"/>
              </w:rPr>
              <w:t>345</w:t>
            </w:r>
            <w:r w:rsidRPr="0005535B">
              <w:rPr>
                <w:rFonts w:cs="Times New Roman"/>
                <w:szCs w:val="24"/>
                <w:lang w:val="en-US"/>
              </w:rPr>
              <w:tab/>
              <w:t>Management and administration</w:t>
            </w:r>
          </w:p>
        </w:tc>
      </w:tr>
      <w:tr w:rsidR="003E7AE6" w:rsidRPr="00A76008" w14:paraId="552A1002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001" w14:textId="27A904C3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5294">
              <w:rPr>
                <w:rFonts w:cs="Times New Roman"/>
                <w:szCs w:val="24"/>
                <w:lang w:val="en-US"/>
              </w:rPr>
              <w:t>English</w:t>
            </w:r>
          </w:p>
        </w:tc>
      </w:tr>
      <w:tr w:rsidR="003E7AE6" w:rsidRPr="00FF3BEC" w14:paraId="552A1005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004" w14:textId="1ACFEBEB" w:rsidR="003E7AE6" w:rsidRPr="003E7AE6" w:rsidRDefault="005C6B7D" w:rsidP="00286AF4">
            <w:pPr>
              <w:spacing w:before="40" w:after="40"/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3E7AE6" w:rsidRPr="00093796">
                <w:rPr>
                  <w:rStyle w:val="Hyperlink"/>
                  <w:rFonts w:cs="Times New Roman"/>
                  <w:szCs w:val="24"/>
                  <w:lang w:val="en-US"/>
                </w:rPr>
                <w:t>https://www.umcs.pl/pl/addres-book-employee,7768,pl.html</w:t>
              </w:r>
            </w:hyperlink>
          </w:p>
        </w:tc>
      </w:tr>
      <w:tr w:rsidR="003E7AE6" w:rsidRPr="00FF3BEC" w14:paraId="552A1008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007" w14:textId="05B25FEE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Interest in business management</w:t>
            </w:r>
            <w:r w:rsidR="00FF3BEC">
              <w:rPr>
                <w:rFonts w:cs="Times New Roman"/>
                <w:szCs w:val="24"/>
                <w:lang w:val="en-US"/>
              </w:rPr>
              <w:t xml:space="preserve">, </w:t>
            </w:r>
            <w:proofErr w:type="gramStart"/>
            <w:r w:rsidR="00FF3BEC">
              <w:rPr>
                <w:rFonts w:cs="Times New Roman"/>
                <w:szCs w:val="24"/>
                <w:lang w:val="en-US"/>
              </w:rPr>
              <w:t>marketing</w:t>
            </w:r>
            <w:proofErr w:type="gramEnd"/>
            <w:r w:rsidR="00FF3BEC">
              <w:rPr>
                <w:rFonts w:cs="Times New Roman"/>
                <w:szCs w:val="24"/>
                <w:lang w:val="en-US"/>
              </w:rPr>
              <w:t xml:space="preserve"> and e-commerce</w:t>
            </w:r>
          </w:p>
        </w:tc>
      </w:tr>
      <w:tr w:rsidR="003E7AE6" w:rsidRPr="00FF3BEC" w14:paraId="552A100E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3E7AE6" w:rsidRPr="003D1DA3" w:rsidRDefault="003E7AE6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306" w14:textId="77777777" w:rsidR="003E7AE6" w:rsidRPr="007C3CBA" w:rsidRDefault="003E7AE6" w:rsidP="00286AF4">
            <w:pPr>
              <w:spacing w:before="40" w:after="40"/>
              <w:rPr>
                <w:rFonts w:eastAsia="Times New Roman" w:cs="Times New Roman"/>
                <w:sz w:val="20"/>
                <w:lang w:val="en-US"/>
              </w:rPr>
            </w:pP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>Contact hours, work with an academic teacher:</w:t>
            </w:r>
            <w:r w:rsidRPr="00FF3BEC">
              <w:rPr>
                <w:rFonts w:eastAsia="Times New Roman" w:cs="Times New Roman"/>
                <w:sz w:val="20"/>
                <w:lang w:val="en-US"/>
              </w:rPr>
              <w:t xml:space="preserve"> 30</w:t>
            </w:r>
          </w:p>
          <w:p w14:paraId="57E32A80" w14:textId="77777777" w:rsidR="003E7AE6" w:rsidRPr="007C3CBA" w:rsidRDefault="003E7AE6" w:rsidP="00286AF4">
            <w:pPr>
              <w:spacing w:before="40" w:after="40"/>
              <w:rPr>
                <w:rFonts w:eastAsia="Times New Roman" w:cs="Times New Roman"/>
                <w:bCs/>
                <w:sz w:val="20"/>
                <w:lang w:val="en-US"/>
              </w:rPr>
            </w:pP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>Total number of hours with an academic teacher:</w:t>
            </w:r>
            <w:r w:rsidRPr="00FF3BEC">
              <w:rPr>
                <w:rFonts w:eastAsia="Times New Roman" w:cs="Times New Roman"/>
                <w:sz w:val="20"/>
                <w:lang w:val="en-US"/>
              </w:rPr>
              <w:t xml:space="preserve"> 30</w:t>
            </w:r>
          </w:p>
          <w:p w14:paraId="40E24ADD" w14:textId="591FF39E" w:rsidR="003E7AE6" w:rsidRPr="007C3CBA" w:rsidRDefault="003E7AE6" w:rsidP="00286AF4">
            <w:pPr>
              <w:spacing w:before="40" w:after="40"/>
              <w:rPr>
                <w:rFonts w:eastAsia="Times New Roman" w:cs="Times New Roman"/>
                <w:bCs/>
                <w:sz w:val="20"/>
                <w:lang w:val="en-US"/>
              </w:rPr>
            </w:pP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>Number of ECTS points with an academic teacher:</w:t>
            </w:r>
            <w:r w:rsidRPr="00FF3BEC">
              <w:rPr>
                <w:rFonts w:eastAsia="Times New Roman" w:cs="Times New Roman"/>
                <w:sz w:val="20"/>
                <w:lang w:val="en-US"/>
              </w:rPr>
              <w:t xml:space="preserve"> 6</w:t>
            </w:r>
            <w:r w:rsidRPr="007C3CBA">
              <w:rPr>
                <w:rFonts w:eastAsia="Times New Roman" w:cs="Times New Roman"/>
                <w:sz w:val="20"/>
                <w:lang w:val="en-US"/>
              </w:rPr>
              <w:br/>
            </w:r>
            <w:r w:rsidR="00FF3BEC">
              <w:rPr>
                <w:rFonts w:eastAsia="Times New Roman" w:cs="Times New Roman"/>
                <w:bCs/>
                <w:sz w:val="20"/>
                <w:lang w:val="en-US"/>
              </w:rPr>
              <w:t>N</w:t>
            </w:r>
            <w:r w:rsidR="00FF3BEC" w:rsidRPr="007C3CBA">
              <w:rPr>
                <w:rFonts w:eastAsia="Times New Roman" w:cs="Times New Roman"/>
                <w:bCs/>
                <w:sz w:val="20"/>
                <w:lang w:val="en-US"/>
              </w:rPr>
              <w:t>on-contact</w:t>
            </w: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 xml:space="preserve"> hours, students' own work: </w:t>
            </w:r>
            <w:r w:rsidR="00FF3BEC" w:rsidRPr="00FF3BEC">
              <w:rPr>
                <w:rFonts w:eastAsia="Times New Roman" w:cs="Times New Roman"/>
                <w:bCs/>
                <w:sz w:val="20"/>
                <w:lang w:val="en-US"/>
              </w:rPr>
              <w:t>1</w:t>
            </w:r>
            <w:r w:rsidRPr="00FF3BEC">
              <w:rPr>
                <w:rFonts w:eastAsia="Times New Roman" w:cs="Times New Roman"/>
                <w:bCs/>
                <w:sz w:val="20"/>
                <w:lang w:val="en-US"/>
              </w:rPr>
              <w:t xml:space="preserve">0 </w:t>
            </w:r>
            <w:r w:rsidRPr="007C3CBA">
              <w:rPr>
                <w:rFonts w:eastAsia="Times New Roman" w:cs="Times New Roman"/>
                <w:sz w:val="20"/>
                <w:lang w:val="en-US"/>
              </w:rPr>
              <w:br/>
            </w: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 xml:space="preserve">Total number of non-contact hours: </w:t>
            </w:r>
            <w:r w:rsidR="00FF3BEC" w:rsidRPr="00FF3BEC">
              <w:rPr>
                <w:rFonts w:eastAsia="Times New Roman" w:cs="Times New Roman"/>
                <w:bCs/>
                <w:sz w:val="20"/>
                <w:lang w:val="en-US"/>
              </w:rPr>
              <w:t>1</w:t>
            </w:r>
            <w:r w:rsidRPr="00FF3BEC">
              <w:rPr>
                <w:rFonts w:eastAsia="Times New Roman" w:cs="Times New Roman"/>
                <w:bCs/>
                <w:sz w:val="20"/>
                <w:lang w:val="en-US"/>
              </w:rPr>
              <w:t xml:space="preserve">0 </w:t>
            </w:r>
          </w:p>
          <w:p w14:paraId="445EDC5F" w14:textId="77777777" w:rsidR="003E7AE6" w:rsidRPr="007C3CBA" w:rsidRDefault="003E7AE6" w:rsidP="00286AF4">
            <w:pPr>
              <w:spacing w:before="40" w:after="40"/>
              <w:rPr>
                <w:rFonts w:eastAsia="Times New Roman" w:cs="Times New Roman"/>
                <w:bCs/>
                <w:sz w:val="20"/>
                <w:lang w:val="en-US"/>
              </w:rPr>
            </w:pP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 xml:space="preserve">Number of ECTS points for non-contact hours: </w:t>
            </w:r>
            <w:r w:rsidRPr="00FF3BEC">
              <w:rPr>
                <w:rFonts w:eastAsia="Times New Roman" w:cs="Times New Roman"/>
                <w:sz w:val="20"/>
                <w:lang w:val="en-US"/>
              </w:rPr>
              <w:t xml:space="preserve">0 </w:t>
            </w:r>
          </w:p>
          <w:p w14:paraId="552A100D" w14:textId="06390B6C" w:rsidR="003E7AE6" w:rsidRPr="003D1DA3" w:rsidRDefault="003E7AE6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C3CBA">
              <w:rPr>
                <w:rFonts w:eastAsia="Times New Roman" w:cs="Times New Roman"/>
                <w:bCs/>
                <w:sz w:val="20"/>
                <w:lang w:val="en-US"/>
              </w:rPr>
              <w:t xml:space="preserve">Total number of ECTS points for the module: </w:t>
            </w:r>
            <w:r w:rsidRPr="00FF3BEC">
              <w:rPr>
                <w:rFonts w:eastAsia="Times New Roman" w:cs="Times New Roman"/>
                <w:sz w:val="20"/>
                <w:lang w:val="en-US"/>
              </w:rPr>
              <w:t>6</w:t>
            </w:r>
          </w:p>
        </w:tc>
      </w:tr>
      <w:tr w:rsidR="00DD1534" w:rsidRPr="00FF3BEC" w14:paraId="552A1014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321174EB" w:rsidR="00DD1534" w:rsidRPr="003D1DA3" w:rsidRDefault="0042493C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</w:t>
            </w:r>
            <w:r w:rsidRPr="0042493C">
              <w:rPr>
                <w:rFonts w:cs="Times New Roman"/>
                <w:szCs w:val="24"/>
                <w:lang w:val="en-US"/>
              </w:rPr>
              <w:t xml:space="preserve">he intention of the course is to prepare students to </w:t>
            </w:r>
            <w:r>
              <w:rPr>
                <w:rFonts w:cs="Times New Roman"/>
                <w:szCs w:val="24"/>
                <w:lang w:val="en-US"/>
              </w:rPr>
              <w:t xml:space="preserve">be ready for </w:t>
            </w:r>
            <w:r w:rsidRPr="0042493C">
              <w:rPr>
                <w:rFonts w:cs="Times New Roman"/>
                <w:szCs w:val="24"/>
                <w:lang w:val="en-US"/>
              </w:rPr>
              <w:t>appl</w:t>
            </w:r>
            <w:r>
              <w:rPr>
                <w:rFonts w:cs="Times New Roman"/>
                <w:szCs w:val="24"/>
                <w:lang w:val="en-US"/>
              </w:rPr>
              <w:t>ication</w:t>
            </w:r>
            <w:r w:rsidRPr="0042493C">
              <w:rPr>
                <w:rFonts w:cs="Times New Roman"/>
                <w:szCs w:val="24"/>
                <w:lang w:val="en-US"/>
              </w:rPr>
              <w:t xml:space="preserve"> for the position of customer experience </w:t>
            </w:r>
            <w:r>
              <w:rPr>
                <w:rFonts w:cs="Times New Roman"/>
                <w:szCs w:val="24"/>
                <w:lang w:val="en-US"/>
              </w:rPr>
              <w:t xml:space="preserve">manager </w:t>
            </w:r>
            <w:r w:rsidRPr="0042493C">
              <w:rPr>
                <w:rFonts w:cs="Times New Roman"/>
                <w:szCs w:val="24"/>
                <w:lang w:val="en-US"/>
              </w:rPr>
              <w:t xml:space="preserve">or a customer relationship manager, as very </w:t>
            </w:r>
            <w:r w:rsidRPr="0042493C">
              <w:rPr>
                <w:rFonts w:cs="Times New Roman"/>
                <w:szCs w:val="24"/>
                <w:lang w:val="en-US"/>
              </w:rPr>
              <w:t>attractive</w:t>
            </w:r>
            <w:r w:rsidRPr="0042493C">
              <w:rPr>
                <w:rFonts w:cs="Times New Roman"/>
                <w:szCs w:val="24"/>
                <w:lang w:val="en-US"/>
              </w:rPr>
              <w:t xml:space="preserve"> position on the market. The results of education will be verified during the student</w:t>
            </w:r>
            <w:r>
              <w:rPr>
                <w:rFonts w:cs="Times New Roman"/>
                <w:szCs w:val="24"/>
                <w:lang w:val="en-US"/>
              </w:rPr>
              <w:t>’s</w:t>
            </w:r>
            <w:r w:rsidRPr="0042493C">
              <w:rPr>
                <w:rFonts w:cs="Times New Roman"/>
                <w:szCs w:val="24"/>
                <w:lang w:val="en-US"/>
              </w:rPr>
              <w:t xml:space="preserve"> project</w:t>
            </w:r>
            <w:r>
              <w:rPr>
                <w:rFonts w:cs="Times New Roman"/>
                <w:szCs w:val="24"/>
                <w:lang w:val="en-US"/>
              </w:rPr>
              <w:t>s</w:t>
            </w:r>
            <w:r w:rsidRPr="0042493C">
              <w:rPr>
                <w:rFonts w:cs="Times New Roman"/>
                <w:szCs w:val="24"/>
                <w:lang w:val="en-US"/>
              </w:rPr>
              <w:t xml:space="preserve">: the prototype of your own </w:t>
            </w:r>
            <w:r w:rsidRPr="0042493C">
              <w:rPr>
                <w:rFonts w:cs="Times New Roman"/>
                <w:szCs w:val="24"/>
                <w:lang w:val="en-US"/>
              </w:rPr>
              <w:t>blog</w:t>
            </w:r>
            <w:r w:rsidRPr="0042493C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comprising synthesis of the knowledge from the course on the customer experience management in the internet communication environment </w:t>
            </w:r>
            <w:r w:rsidRPr="0042493C">
              <w:rPr>
                <w:rFonts w:cs="Times New Roman"/>
                <w:szCs w:val="24"/>
                <w:lang w:val="en-US"/>
              </w:rPr>
              <w:t xml:space="preserve">and </w:t>
            </w:r>
            <w:r>
              <w:rPr>
                <w:rFonts w:cs="Times New Roman"/>
                <w:szCs w:val="24"/>
                <w:lang w:val="en-US"/>
              </w:rPr>
              <w:t xml:space="preserve">finally, </w:t>
            </w:r>
            <w:r w:rsidRPr="0042493C">
              <w:rPr>
                <w:rFonts w:cs="Times New Roman"/>
                <w:szCs w:val="24"/>
                <w:lang w:val="en-US"/>
              </w:rPr>
              <w:t>by presenting the subject skills in the form of a CV addressed to a potential employer.</w:t>
            </w:r>
          </w:p>
        </w:tc>
      </w:tr>
      <w:tr w:rsidR="00DD1534" w:rsidRPr="00FF3BEC" w14:paraId="552A1017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02B" w14:textId="737B5108" w:rsidR="000444E1" w:rsidRPr="001330F0" w:rsidRDefault="00385DB0" w:rsidP="00286AF4">
            <w:pPr>
              <w:pStyle w:val="ListParagraph"/>
              <w:numPr>
                <w:ilvl w:val="0"/>
                <w:numId w:val="25"/>
              </w:numPr>
              <w:spacing w:before="40" w:after="40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Foundation</w:t>
            </w:r>
            <w:r w:rsidR="009E0EC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of c</w:t>
            </w:r>
            <w:r w:rsidR="000444E1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ustomer experience</w:t>
            </w:r>
            <w:r w:rsidR="0042493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management</w:t>
            </w:r>
            <w:r w:rsidR="00723A20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19ED07BB" w14:textId="3C74A25B" w:rsidR="000444E1" w:rsidRDefault="000444E1" w:rsidP="00286AF4">
            <w:pPr>
              <w:pStyle w:val="ListParagraph"/>
              <w:numPr>
                <w:ilvl w:val="0"/>
                <w:numId w:val="25"/>
              </w:numPr>
              <w:spacing w:before="40" w:after="40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="00723A20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ustomer experience in the internet businesses, user experience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703682DD" w14:textId="61855553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ustomer experience personalized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- c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ustomer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product 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segmentation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7647575C" w14:textId="532729F1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Customer experience measurement, customer live time value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3B43A34B" w14:textId="32889CD6" w:rsidR="00385DB0" w:rsidRPr="001330F0" w:rsidRDefault="00385DB0" w:rsidP="00385DB0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ircular Economy Model,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orporate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ocial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esponsibility,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sustainab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le development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4A702509" w14:textId="2EDBAC7A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Business models for </w:t>
            </w:r>
            <w:r w:rsidR="00385DB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XXI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age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what customer</w:t>
            </w:r>
            <w:r w:rsidR="00385DB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experience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means?</w:t>
            </w:r>
          </w:p>
          <w:p w14:paraId="3499D4F0" w14:textId="2B13F4A7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Platform business - new monopoly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network effect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 GIG economy.</w:t>
            </w:r>
          </w:p>
          <w:p w14:paraId="0C8AC18C" w14:textId="6EDB5F44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Exponential companies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,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stakeholders’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62E2F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engagement,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use of 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external resources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6573FD76" w14:textId="7FF4D6A4" w:rsidR="009E0ECD" w:rsidRPr="001330F0" w:rsidRDefault="009E0ECD" w:rsidP="009E0ECD">
            <w:pPr>
              <w:pStyle w:val="ListParagraph"/>
              <w:numPr>
                <w:ilvl w:val="0"/>
                <w:numId w:val="25"/>
              </w:numPr>
              <w:spacing w:before="40" w:after="4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Business transformation challenge</w:t>
            </w:r>
            <w:r w:rsidR="00662E2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7AB2F003" w14:textId="66EB1CD3" w:rsidR="00DD1534" w:rsidRPr="001330F0" w:rsidRDefault="00662E2F" w:rsidP="00286AF4">
            <w:pPr>
              <w:pStyle w:val="ListParagraph"/>
              <w:numPr>
                <w:ilvl w:val="0"/>
                <w:numId w:val="25"/>
              </w:numPr>
              <w:spacing w:before="40" w:after="40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="00723A20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trategies</w:t>
            </w:r>
            <w:r w:rsidR="000444E1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</w:t>
            </w:r>
            <w:r w:rsidR="00723A20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customer </w:t>
            </w:r>
            <w:r w:rsidR="000444E1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loyalty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– are you able to win them all?</w:t>
            </w:r>
          </w:p>
          <w:p w14:paraId="552A1016" w14:textId="7832C579" w:rsidR="001330F0" w:rsidRPr="001330F0" w:rsidRDefault="00662E2F" w:rsidP="00286AF4">
            <w:pPr>
              <w:pStyle w:val="ListParagraph"/>
              <w:numPr>
                <w:ilvl w:val="0"/>
                <w:numId w:val="25"/>
              </w:numPr>
              <w:spacing w:before="40" w:after="40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Students’ mini </w:t>
            </w:r>
            <w:r w:rsidR="001330F0" w:rsidRPr="001330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project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</w:p>
        </w:tc>
      </w:tr>
      <w:tr w:rsidR="00DD1534" w:rsidRPr="00A76008" w14:paraId="552A101E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968" w14:textId="1F9D7D53" w:rsidR="00662E2F" w:rsidRPr="00A460A1" w:rsidRDefault="0015055B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Pawłowski, M., &amp; Pastuszak, Z. (2017). B2B customers buying behavior. </w:t>
            </w:r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Synergy</w:t>
            </w:r>
            <w:proofErr w:type="spellEnd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and Research</w:t>
            </w: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19.</w:t>
            </w:r>
          </w:p>
          <w:p w14:paraId="02267295" w14:textId="628943FC" w:rsidR="0015055B" w:rsidRPr="00A460A1" w:rsidRDefault="0015055B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Karman, A., &amp; Pawłowski, M. (2022). Circular economy competitiveness evaluation model based on the catastrophe progression method. </w:t>
            </w:r>
            <w:proofErr w:type="spellStart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</w:t>
            </w:r>
            <w:proofErr w:type="spellEnd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environmental</w:t>
            </w:r>
            <w:proofErr w:type="spellEnd"/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management</w:t>
            </w: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A460A1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303</w:t>
            </w:r>
            <w:r w:rsidRPr="00A460A1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 114223.</w:t>
            </w:r>
          </w:p>
          <w:p w14:paraId="7FA2A475" w14:textId="0E879331" w:rsidR="0015055B" w:rsidRPr="00A460A1" w:rsidRDefault="0015055B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proofErr w:type="spellStart"/>
            <w:r w:rsidRPr="00A460A1">
              <w:rPr>
                <w:rFonts w:cstheme="minorHAnsi"/>
                <w:szCs w:val="24"/>
                <w:lang w:val="en-US"/>
              </w:rPr>
              <w:t>Kouhizadeh</w:t>
            </w:r>
            <w:proofErr w:type="spellEnd"/>
            <w:r w:rsidRPr="00A460A1">
              <w:rPr>
                <w:rFonts w:cstheme="minorHAnsi"/>
                <w:szCs w:val="24"/>
                <w:lang w:val="en-US"/>
              </w:rPr>
              <w:t xml:space="preserve">, M., Zhu, Q., </w:t>
            </w:r>
            <w:proofErr w:type="spellStart"/>
            <w:r w:rsidRPr="00A460A1">
              <w:rPr>
                <w:rFonts w:cstheme="minorHAnsi"/>
                <w:szCs w:val="24"/>
                <w:lang w:val="en-US"/>
              </w:rPr>
              <w:t>Alkhuzaim</w:t>
            </w:r>
            <w:proofErr w:type="spellEnd"/>
            <w:r w:rsidRPr="00A460A1">
              <w:rPr>
                <w:rFonts w:cstheme="minorHAnsi"/>
                <w:szCs w:val="24"/>
                <w:lang w:val="en-US"/>
              </w:rPr>
              <w:t>, L., &amp; Sarkis, J. (2022). Blockchain Technology and the Circular Economy: An Exploration. In Circular Economy Supply Chains: From Chains to Systems. Emerald Publishing Limited.</w:t>
            </w:r>
          </w:p>
          <w:p w14:paraId="0AEE56DD" w14:textId="77777777" w:rsidR="0015055B" w:rsidRPr="00A460A1" w:rsidRDefault="0015055B" w:rsidP="0015055B">
            <w:pPr>
              <w:pStyle w:val="ListParagraph"/>
              <w:numPr>
                <w:ilvl w:val="0"/>
                <w:numId w:val="26"/>
              </w:numPr>
              <w:spacing w:before="40" w:after="40" w:line="276" w:lineRule="auto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t>Klaus, P., Measuring Customer Experience: How to Develop and Execute the Most Profitable Customer Experience Strategies, Palgrave Macmillan, 2015</w:t>
            </w:r>
          </w:p>
          <w:p w14:paraId="0BCDA709" w14:textId="32F1C1C0" w:rsidR="001330F0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lastRenderedPageBreak/>
              <w:t>Wilson H., Street R., Bruce L., The Multichannel Challenge, Elsevier, 2008</w:t>
            </w:r>
          </w:p>
          <w:p w14:paraId="6B8DBD4A" w14:textId="77777777" w:rsidR="001330F0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t>Kumar V., Managing customers for profit: strategies to increase profits and build loyalty, Pearson Prentice Hall, 2010</w:t>
            </w:r>
          </w:p>
          <w:p w14:paraId="1B9D70C0" w14:textId="77777777" w:rsidR="001330F0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t xml:space="preserve">Ramaswamy V., </w:t>
            </w:r>
            <w:proofErr w:type="spellStart"/>
            <w:r w:rsidRPr="00A460A1">
              <w:rPr>
                <w:rFonts w:cstheme="minorHAnsi"/>
                <w:szCs w:val="24"/>
                <w:lang w:val="en-US"/>
              </w:rPr>
              <w:t>Gouillart</w:t>
            </w:r>
            <w:proofErr w:type="spellEnd"/>
            <w:r w:rsidRPr="00A460A1">
              <w:rPr>
                <w:rFonts w:cstheme="minorHAnsi"/>
                <w:szCs w:val="24"/>
                <w:lang w:val="en-US"/>
              </w:rPr>
              <w:t xml:space="preserve"> F., The Power of Co-Creation, Free Press, 2010.</w:t>
            </w:r>
          </w:p>
          <w:p w14:paraId="01FB3957" w14:textId="77777777" w:rsidR="001330F0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t>Ismail, S., Exponential Organizations: Why new organizations are ten times better, faster, and cheaper than yours and what to do about it. Diversion Books, 2014.</w:t>
            </w:r>
          </w:p>
          <w:p w14:paraId="1DD36BF1" w14:textId="77777777" w:rsidR="001330F0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szCs w:val="24"/>
                <w:lang w:val="en-US"/>
              </w:rPr>
            </w:pPr>
            <w:proofErr w:type="spellStart"/>
            <w:r w:rsidRPr="00A460A1">
              <w:rPr>
                <w:rFonts w:cstheme="minorHAnsi"/>
                <w:szCs w:val="24"/>
                <w:lang w:val="en-US"/>
              </w:rPr>
              <w:t>Moazed</w:t>
            </w:r>
            <w:proofErr w:type="spellEnd"/>
            <w:r w:rsidRPr="00A460A1">
              <w:rPr>
                <w:rFonts w:cstheme="minorHAnsi"/>
                <w:szCs w:val="24"/>
                <w:lang w:val="en-US"/>
              </w:rPr>
              <w:t>, A, Nicholas L. J., Modern monopolies: what it takes to dominate the 21st century economy. St. Martin's Press, 2016.</w:t>
            </w:r>
          </w:p>
          <w:p w14:paraId="1E0A8E3A" w14:textId="77777777" w:rsidR="001C2D1A" w:rsidRPr="00A460A1" w:rsidRDefault="001330F0" w:rsidP="00286AF4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A460A1">
              <w:rPr>
                <w:rFonts w:cstheme="minorHAnsi"/>
                <w:szCs w:val="24"/>
                <w:lang w:val="en-US"/>
              </w:rPr>
              <w:t xml:space="preserve">Callebaut, J, Hendrik H, Madeleine J., The Naked Consumer Today: Or an overview of why consumers really buy things, and what this means for marketing. </w:t>
            </w:r>
            <w:proofErr w:type="spellStart"/>
            <w:r w:rsidRPr="00A460A1">
              <w:rPr>
                <w:rFonts w:cstheme="minorHAnsi"/>
                <w:szCs w:val="24"/>
                <w:lang w:val="en-US"/>
              </w:rPr>
              <w:t>Garant</w:t>
            </w:r>
            <w:proofErr w:type="spellEnd"/>
            <w:r w:rsidRPr="00A460A1">
              <w:rPr>
                <w:rFonts w:cstheme="minorHAnsi"/>
                <w:szCs w:val="24"/>
                <w:lang w:val="en-US"/>
              </w:rPr>
              <w:t>, 2002.</w:t>
            </w:r>
          </w:p>
          <w:p w14:paraId="552A101D" w14:textId="3E38A479" w:rsidR="00286AF4" w:rsidRPr="00A460A1" w:rsidRDefault="00286AF4" w:rsidP="00286AF4">
            <w:pPr>
              <w:pStyle w:val="ListParagraph"/>
              <w:spacing w:before="40" w:after="40"/>
              <w:ind w:left="357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D1534" w:rsidRPr="00FF3BEC" w14:paraId="552A1023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5B77" w14:textId="77777777" w:rsidR="001E7231" w:rsidRDefault="001330F0" w:rsidP="00286AF4">
            <w:pPr>
              <w:spacing w:before="40" w:after="40"/>
              <w:rPr>
                <w:rFonts w:eastAsia="Times New Roman"/>
                <w:lang w:val="en-US"/>
              </w:rPr>
            </w:pPr>
            <w:r w:rsidRPr="001330F0">
              <w:rPr>
                <w:rFonts w:eastAsia="Times New Roman"/>
                <w:b/>
                <w:bCs/>
                <w:lang w:val="en-US"/>
              </w:rPr>
              <w:t>Knowledge</w:t>
            </w:r>
            <w:r>
              <w:rPr>
                <w:rFonts w:eastAsia="Times New Roman"/>
                <w:b/>
                <w:bCs/>
                <w:lang w:val="en-US"/>
              </w:rPr>
              <w:t>:</w:t>
            </w:r>
            <w:r w:rsidRPr="001330F0">
              <w:rPr>
                <w:rFonts w:eastAsia="Times New Roman"/>
                <w:lang w:val="en-US"/>
              </w:rPr>
              <w:t xml:space="preserve"> Students will be </w:t>
            </w:r>
            <w:r>
              <w:rPr>
                <w:rFonts w:eastAsia="Times New Roman"/>
                <w:lang w:val="en-US"/>
              </w:rPr>
              <w:t xml:space="preserve">prepared to apply for position of </w:t>
            </w:r>
            <w:r w:rsidR="001E7231">
              <w:rPr>
                <w:rFonts w:eastAsia="Times New Roman"/>
                <w:lang w:val="en-US"/>
              </w:rPr>
              <w:t xml:space="preserve">e-Commerce manager, </w:t>
            </w:r>
            <w:r>
              <w:rPr>
                <w:rFonts w:eastAsia="Times New Roman"/>
                <w:lang w:val="en-US"/>
              </w:rPr>
              <w:t>Customer Experience Manager</w:t>
            </w:r>
            <w:r w:rsidR="001E7231">
              <w:rPr>
                <w:rFonts w:eastAsia="Times New Roman"/>
                <w:lang w:val="en-US"/>
              </w:rPr>
              <w:t>,</w:t>
            </w:r>
            <w:r w:rsidR="00543E48">
              <w:rPr>
                <w:rFonts w:eastAsia="Times New Roman"/>
                <w:lang w:val="en-US"/>
              </w:rPr>
              <w:t xml:space="preserve"> </w:t>
            </w:r>
            <w:r w:rsidR="00543E48" w:rsidRPr="00543E48">
              <w:rPr>
                <w:rFonts w:eastAsia="Times New Roman"/>
                <w:lang w:val="en-US"/>
              </w:rPr>
              <w:t>Digital Customer Experience Manager</w:t>
            </w:r>
            <w:r w:rsidR="001E7231">
              <w:rPr>
                <w:rFonts w:eastAsia="Times New Roman"/>
                <w:lang w:val="en-US"/>
              </w:rPr>
              <w:t xml:space="preserve">, Customer Relationships Manager, 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1E7231">
              <w:rPr>
                <w:rFonts w:eastAsia="Times New Roman"/>
                <w:lang w:val="en-US"/>
              </w:rPr>
              <w:t xml:space="preserve">and similar </w:t>
            </w:r>
            <w:r>
              <w:rPr>
                <w:rFonts w:eastAsia="Times New Roman"/>
                <w:lang w:val="en-US"/>
              </w:rPr>
              <w:t>in professional business (salary &gt; 5</w:t>
            </w:r>
            <w:r w:rsidR="001E7231"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543E48">
              <w:rPr>
                <w:rFonts w:eastAsia="Times New Roman"/>
                <w:lang w:val="en-US"/>
              </w:rPr>
              <w:t>T</w:t>
            </w:r>
            <w:r>
              <w:rPr>
                <w:rFonts w:eastAsia="Times New Roman"/>
                <w:lang w:val="en-US"/>
              </w:rPr>
              <w:t>EUR/</w:t>
            </w:r>
            <w:r w:rsidR="00543E48">
              <w:rPr>
                <w:rFonts w:eastAsia="Times New Roman"/>
                <w:lang w:val="en-US"/>
              </w:rPr>
              <w:t>y</w:t>
            </w:r>
            <w:r w:rsidR="001E7231">
              <w:rPr>
                <w:rFonts w:eastAsia="Times New Roman"/>
                <w:lang w:val="en-US"/>
              </w:rPr>
              <w:t>ear</w:t>
            </w:r>
            <w:r w:rsidR="00543E48">
              <w:rPr>
                <w:rFonts w:eastAsia="Times New Roman"/>
                <w:lang w:val="en-US"/>
              </w:rPr>
              <w:t xml:space="preserve"> </w:t>
            </w:r>
            <w:hyperlink r:id="rId9" w:history="1">
              <w:r w:rsidR="00543E48" w:rsidRPr="002835E1">
                <w:rPr>
                  <w:rStyle w:val="Hyperlink"/>
                  <w:rFonts w:eastAsia="Times New Roman"/>
                  <w:lang w:val="en-US"/>
                </w:rPr>
                <w:t>ht</w:t>
              </w:r>
              <w:r w:rsidR="00543E48" w:rsidRPr="002835E1">
                <w:rPr>
                  <w:rStyle w:val="Hyperlink"/>
                  <w:rFonts w:eastAsia="Times New Roman"/>
                  <w:lang w:val="en-US"/>
                </w:rPr>
                <w:t>t</w:t>
              </w:r>
              <w:r w:rsidR="00543E48" w:rsidRPr="002835E1">
                <w:rPr>
                  <w:rStyle w:val="Hyperlink"/>
                  <w:rFonts w:eastAsia="Times New Roman"/>
                  <w:lang w:val="en-US"/>
                </w:rPr>
                <w:t>ps://www.glassdoor.com/Salaries/customer-experience-manager-salary-SRCH_KO0,27.htm</w:t>
              </w:r>
            </w:hyperlink>
            <w:r w:rsidR="00543E48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). </w:t>
            </w:r>
          </w:p>
          <w:p w14:paraId="5CB0051A" w14:textId="1CD4D6B6" w:rsidR="001330F0" w:rsidRPr="00543E48" w:rsidRDefault="00543E48" w:rsidP="00286AF4">
            <w:pPr>
              <w:spacing w:before="40" w:after="4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Students will </w:t>
            </w:r>
            <w:r w:rsidR="001E7231">
              <w:rPr>
                <w:rFonts w:eastAsia="Times New Roman"/>
                <w:lang w:val="en-US"/>
              </w:rPr>
              <w:t xml:space="preserve">be trained in </w:t>
            </w:r>
            <w:r>
              <w:rPr>
                <w:rFonts w:eastAsia="Times New Roman"/>
                <w:lang w:val="en-US"/>
              </w:rPr>
              <w:t>business models</w:t>
            </w:r>
            <w:r w:rsidR="001E7231">
              <w:rPr>
                <w:rFonts w:eastAsia="Times New Roman"/>
                <w:lang w:val="en-US"/>
              </w:rPr>
              <w:t xml:space="preserve"> for successful </w:t>
            </w:r>
            <w:r>
              <w:rPr>
                <w:rFonts w:eastAsia="Times New Roman"/>
                <w:lang w:val="en-US"/>
              </w:rPr>
              <w:t xml:space="preserve">customer </w:t>
            </w:r>
            <w:r w:rsidR="00FD6C2F">
              <w:rPr>
                <w:rFonts w:eastAsia="Times New Roman"/>
                <w:lang w:val="en-US"/>
              </w:rPr>
              <w:t>retention</w:t>
            </w:r>
            <w:r w:rsidR="007C3CBA">
              <w:rPr>
                <w:rFonts w:eastAsia="Times New Roman"/>
                <w:lang w:val="en-US"/>
              </w:rPr>
              <w:t xml:space="preserve"> management</w:t>
            </w:r>
            <w:r>
              <w:rPr>
                <w:rFonts w:eastAsia="Times New Roman"/>
                <w:lang w:val="en-US"/>
              </w:rPr>
              <w:t xml:space="preserve">, customer service </w:t>
            </w:r>
            <w:r w:rsidR="00FD6C2F">
              <w:rPr>
                <w:rFonts w:eastAsia="Times New Roman"/>
                <w:lang w:val="en-US"/>
              </w:rPr>
              <w:t xml:space="preserve">planning for </w:t>
            </w:r>
            <w:r w:rsidR="007C3CBA">
              <w:rPr>
                <w:rFonts w:eastAsia="Times New Roman"/>
                <w:lang w:val="en-US"/>
              </w:rPr>
              <w:t xml:space="preserve">different circumstances </w:t>
            </w:r>
            <w:r>
              <w:rPr>
                <w:rFonts w:eastAsia="Times New Roman"/>
                <w:lang w:val="en-US"/>
              </w:rPr>
              <w:t xml:space="preserve">for </w:t>
            </w:r>
            <w:r w:rsidR="007C3CBA">
              <w:rPr>
                <w:rFonts w:eastAsia="Times New Roman"/>
                <w:lang w:val="en-US"/>
              </w:rPr>
              <w:t xml:space="preserve">the </w:t>
            </w:r>
            <w:r>
              <w:rPr>
                <w:rFonts w:eastAsia="Times New Roman"/>
                <w:lang w:val="en-US"/>
              </w:rPr>
              <w:t>best experience</w:t>
            </w:r>
            <w:r w:rsidR="00FD6C2F">
              <w:rPr>
                <w:rFonts w:eastAsia="Times New Roman"/>
                <w:lang w:val="en-US"/>
              </w:rPr>
              <w:t xml:space="preserve"> and loyalty</w:t>
            </w:r>
            <w:r w:rsidR="001330F0" w:rsidRPr="00CF194B">
              <w:rPr>
                <w:rFonts w:eastAsia="Times New Roman"/>
                <w:lang w:val="en-US"/>
              </w:rPr>
              <w:t>.</w:t>
            </w:r>
            <w:r w:rsidR="007C3CBA">
              <w:rPr>
                <w:rFonts w:eastAsia="Times New Roman"/>
                <w:lang w:val="en-US"/>
              </w:rPr>
              <w:t xml:space="preserve"> </w:t>
            </w:r>
            <w:r w:rsidR="00FD6C2F">
              <w:rPr>
                <w:rFonts w:eastAsia="Times New Roman"/>
                <w:lang w:val="en-US"/>
              </w:rPr>
              <w:t>Students will follow new age trends in circular economy and elements</w:t>
            </w:r>
            <w:r w:rsidR="00FD6C2F">
              <w:rPr>
                <w:rFonts w:eastAsia="Times New Roman"/>
                <w:lang w:val="en-US"/>
              </w:rPr>
              <w:t xml:space="preserve"> of strateg</w:t>
            </w:r>
            <w:r w:rsidR="00FD6C2F">
              <w:rPr>
                <w:rFonts w:eastAsia="Times New Roman"/>
                <w:lang w:val="en-US"/>
              </w:rPr>
              <w:t>ic</w:t>
            </w:r>
            <w:r w:rsidR="00FD6C2F">
              <w:rPr>
                <w:rFonts w:eastAsia="Times New Roman"/>
                <w:lang w:val="en-US"/>
              </w:rPr>
              <w:t xml:space="preserve"> planning</w:t>
            </w:r>
            <w:r w:rsidR="00FD6C2F">
              <w:rPr>
                <w:rFonts w:eastAsia="Times New Roman"/>
                <w:lang w:val="en-US"/>
              </w:rPr>
              <w:t xml:space="preserve"> especially for business on the internet.</w:t>
            </w:r>
          </w:p>
          <w:p w14:paraId="65B90C1F" w14:textId="027CC79D" w:rsidR="001330F0" w:rsidRPr="00CF194B" w:rsidRDefault="001330F0" w:rsidP="00286AF4">
            <w:pPr>
              <w:spacing w:before="40" w:after="40"/>
              <w:ind w:left="373" w:hanging="373"/>
              <w:rPr>
                <w:rFonts w:eastAsia="Times New Roman"/>
                <w:lang w:val="en-US"/>
              </w:rPr>
            </w:pPr>
            <w:r w:rsidRPr="00CF194B">
              <w:rPr>
                <w:rFonts w:eastAsia="Times New Roman" w:cs="Times New Roman"/>
                <w:b/>
                <w:bCs/>
                <w:szCs w:val="24"/>
                <w:lang w:val="en-US"/>
              </w:rPr>
              <w:t>SKILLS</w:t>
            </w:r>
            <w:r w:rsidR="00543E48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: </w:t>
            </w:r>
            <w:r w:rsidRPr="00CF194B">
              <w:rPr>
                <w:rFonts w:eastAsia="Times New Roman"/>
                <w:lang w:val="en-US"/>
              </w:rPr>
              <w:t xml:space="preserve">Students will </w:t>
            </w:r>
            <w:r w:rsidR="00FD6C2F">
              <w:rPr>
                <w:rFonts w:eastAsia="Times New Roman"/>
                <w:lang w:val="en-US"/>
              </w:rPr>
              <w:t xml:space="preserve">be </w:t>
            </w:r>
            <w:r>
              <w:rPr>
                <w:rFonts w:eastAsia="Times New Roman"/>
                <w:lang w:val="en-US"/>
              </w:rPr>
              <w:t>pr</w:t>
            </w:r>
            <w:r w:rsidR="00FD6C2F">
              <w:rPr>
                <w:rFonts w:eastAsia="Times New Roman"/>
                <w:lang w:val="en-US"/>
              </w:rPr>
              <w:t>epared t</w:t>
            </w:r>
            <w:r w:rsidRPr="00CF194B">
              <w:rPr>
                <w:rFonts w:eastAsia="Times New Roman"/>
                <w:lang w:val="en-US"/>
              </w:rPr>
              <w:t>o</w:t>
            </w:r>
            <w:r w:rsidR="00FD6C2F">
              <w:rPr>
                <w:rFonts w:eastAsia="Times New Roman"/>
                <w:lang w:val="en-US"/>
              </w:rPr>
              <w:t xml:space="preserve"> analyze</w:t>
            </w:r>
            <w:r w:rsidRPr="00CF194B">
              <w:rPr>
                <w:rFonts w:eastAsia="Times New Roman"/>
                <w:lang w:val="en-US"/>
              </w:rPr>
              <w:t xml:space="preserve"> business model</w:t>
            </w:r>
            <w:r>
              <w:rPr>
                <w:rFonts w:eastAsia="Times New Roman"/>
                <w:lang w:val="en-US"/>
              </w:rPr>
              <w:t>s</w:t>
            </w:r>
            <w:r w:rsidRPr="00CF194B">
              <w:rPr>
                <w:rFonts w:eastAsia="Times New Roman"/>
                <w:lang w:val="en-US"/>
              </w:rPr>
              <w:t xml:space="preserve">, </w:t>
            </w:r>
            <w:r w:rsidR="00FD6C2F">
              <w:rPr>
                <w:rFonts w:eastAsia="Times New Roman"/>
                <w:lang w:val="en-US"/>
              </w:rPr>
              <w:t xml:space="preserve">create, </w:t>
            </w:r>
            <w:r w:rsidR="00543E48">
              <w:rPr>
                <w:rFonts w:eastAsia="Times New Roman"/>
                <w:lang w:val="en-US"/>
              </w:rPr>
              <w:t xml:space="preserve">and adopt </w:t>
            </w:r>
            <w:r>
              <w:rPr>
                <w:rFonts w:eastAsia="Times New Roman"/>
                <w:lang w:val="en-US"/>
              </w:rPr>
              <w:t xml:space="preserve">strategy </w:t>
            </w:r>
            <w:r w:rsidR="00FD6C2F">
              <w:rPr>
                <w:rFonts w:eastAsia="Times New Roman"/>
                <w:lang w:val="en-US"/>
              </w:rPr>
              <w:t xml:space="preserve">variants </w:t>
            </w:r>
            <w:r w:rsidR="00543E48">
              <w:rPr>
                <w:rFonts w:eastAsia="Times New Roman"/>
                <w:lang w:val="en-US"/>
              </w:rPr>
              <w:t>to</w:t>
            </w:r>
            <w:r>
              <w:rPr>
                <w:rFonts w:eastAsia="Times New Roman"/>
                <w:lang w:val="en-US"/>
              </w:rPr>
              <w:t xml:space="preserve"> different </w:t>
            </w:r>
            <w:r w:rsidR="00FD6C2F">
              <w:rPr>
                <w:rFonts w:eastAsia="Times New Roman"/>
                <w:lang w:val="en-US"/>
              </w:rPr>
              <w:t xml:space="preserve">customer groups and business </w:t>
            </w:r>
            <w:r>
              <w:rPr>
                <w:rFonts w:eastAsia="Times New Roman"/>
                <w:lang w:val="en-US"/>
              </w:rPr>
              <w:t>circumstances</w:t>
            </w:r>
            <w:r w:rsidR="00543E48">
              <w:rPr>
                <w:rFonts w:eastAsia="Times New Roman"/>
                <w:lang w:val="en-US"/>
              </w:rPr>
              <w:t xml:space="preserve">. Students will </w:t>
            </w:r>
            <w:r w:rsidR="00FD6C2F">
              <w:rPr>
                <w:rFonts w:eastAsia="Times New Roman"/>
                <w:lang w:val="en-US"/>
              </w:rPr>
              <w:t xml:space="preserve">be able to follow and plan </w:t>
            </w:r>
            <w:r w:rsidRPr="00CF194B">
              <w:rPr>
                <w:rFonts w:eastAsia="Times New Roman"/>
                <w:lang w:val="en-US"/>
              </w:rPr>
              <w:t>customer journey</w:t>
            </w:r>
            <w:r w:rsidR="00FD6C2F">
              <w:rPr>
                <w:rFonts w:eastAsia="Times New Roman"/>
                <w:lang w:val="en-US"/>
              </w:rPr>
              <w:t xml:space="preserve"> for </w:t>
            </w:r>
            <w:r w:rsidR="00707E32">
              <w:rPr>
                <w:rFonts w:eastAsia="Times New Roman"/>
                <w:lang w:val="en-US"/>
              </w:rPr>
              <w:t xml:space="preserve">not only </w:t>
            </w:r>
            <w:r w:rsidR="00FD6C2F">
              <w:rPr>
                <w:rFonts w:eastAsia="Times New Roman"/>
                <w:lang w:val="en-US"/>
              </w:rPr>
              <w:t xml:space="preserve">effective business </w:t>
            </w:r>
            <w:r w:rsidR="00707E32">
              <w:rPr>
                <w:rFonts w:eastAsia="Times New Roman"/>
                <w:lang w:val="en-US"/>
              </w:rPr>
              <w:t>but also great</w:t>
            </w:r>
            <w:r w:rsidR="00543E48">
              <w:rPr>
                <w:rFonts w:eastAsia="Times New Roman"/>
                <w:lang w:val="en-US"/>
              </w:rPr>
              <w:t xml:space="preserve"> </w:t>
            </w:r>
            <w:r w:rsidR="00707E32">
              <w:rPr>
                <w:rFonts w:eastAsia="Times New Roman"/>
                <w:lang w:val="en-US"/>
              </w:rPr>
              <w:t xml:space="preserve">customer </w:t>
            </w:r>
            <w:r w:rsidRPr="00CF194B">
              <w:rPr>
                <w:rFonts w:eastAsia="Times New Roman"/>
                <w:lang w:val="en-US"/>
              </w:rPr>
              <w:t xml:space="preserve">experience </w:t>
            </w:r>
            <w:r w:rsidR="00707E32">
              <w:rPr>
                <w:rFonts w:eastAsia="Times New Roman"/>
                <w:lang w:val="en-US"/>
              </w:rPr>
              <w:t>and sustainable development</w:t>
            </w:r>
            <w:r w:rsidR="00543E48">
              <w:rPr>
                <w:rFonts w:eastAsia="Times New Roman"/>
                <w:lang w:val="en-US"/>
              </w:rPr>
              <w:t>. Student</w:t>
            </w:r>
            <w:r w:rsidR="00707E32">
              <w:rPr>
                <w:rFonts w:eastAsia="Times New Roman"/>
                <w:lang w:val="en-US"/>
              </w:rPr>
              <w:t>s</w:t>
            </w:r>
            <w:r w:rsidR="00543E48">
              <w:rPr>
                <w:rFonts w:eastAsia="Times New Roman"/>
                <w:lang w:val="en-US"/>
              </w:rPr>
              <w:t xml:space="preserve"> will </w:t>
            </w:r>
            <w:r w:rsidR="00707E32">
              <w:rPr>
                <w:rFonts w:eastAsia="Times New Roman"/>
                <w:lang w:val="en-US"/>
              </w:rPr>
              <w:t xml:space="preserve">be educated to measure </w:t>
            </w:r>
            <w:r w:rsidR="00543E48">
              <w:rPr>
                <w:rFonts w:eastAsia="Times New Roman"/>
                <w:lang w:val="en-US"/>
              </w:rPr>
              <w:t xml:space="preserve">customer experience and </w:t>
            </w:r>
            <w:r w:rsidR="00707E32">
              <w:rPr>
                <w:rFonts w:eastAsia="Times New Roman"/>
                <w:lang w:val="en-US"/>
              </w:rPr>
              <w:t xml:space="preserve">calculate </w:t>
            </w:r>
            <w:r w:rsidR="00543E48">
              <w:rPr>
                <w:rFonts w:eastAsia="Times New Roman"/>
                <w:lang w:val="en-US"/>
              </w:rPr>
              <w:t>customer segmentation for service personalization</w:t>
            </w:r>
            <w:r w:rsidR="00707E32">
              <w:rPr>
                <w:rFonts w:eastAsia="Times New Roman"/>
                <w:lang w:val="en-US"/>
              </w:rPr>
              <w:t xml:space="preserve"> and apply differentiation in marketing activities</w:t>
            </w:r>
            <w:r w:rsidR="00543E48">
              <w:rPr>
                <w:rFonts w:eastAsia="Times New Roman"/>
                <w:lang w:val="en-US"/>
              </w:rPr>
              <w:t>.</w:t>
            </w:r>
          </w:p>
          <w:p w14:paraId="552A1022" w14:textId="3FEF891E" w:rsidR="000C2FD8" w:rsidRPr="00543E48" w:rsidRDefault="001330F0" w:rsidP="00286AF4">
            <w:pPr>
              <w:spacing w:before="40" w:after="40"/>
              <w:ind w:left="373" w:hanging="373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F194B">
              <w:rPr>
                <w:rFonts w:eastAsia="Times New Roman" w:cs="Times New Roman"/>
                <w:b/>
                <w:bCs/>
                <w:szCs w:val="24"/>
                <w:lang w:val="en-US"/>
              </w:rPr>
              <w:t>ATTITUDES</w:t>
            </w:r>
            <w:r w:rsidR="00543E48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: </w:t>
            </w:r>
            <w:r w:rsidRPr="00CF194B">
              <w:rPr>
                <w:rFonts w:eastAsia="Times New Roman"/>
                <w:lang w:val="en-US"/>
              </w:rPr>
              <w:t>Students will take a part of interactive lecture</w:t>
            </w:r>
            <w:r>
              <w:rPr>
                <w:rFonts w:eastAsia="Times New Roman"/>
                <w:lang w:val="en-US"/>
              </w:rPr>
              <w:t>s</w:t>
            </w:r>
            <w:r w:rsidRPr="00CF194B">
              <w:rPr>
                <w:rFonts w:eastAsia="Times New Roman"/>
                <w:lang w:val="en-US"/>
              </w:rPr>
              <w:t xml:space="preserve"> and workshop</w:t>
            </w:r>
            <w:r>
              <w:rPr>
                <w:rFonts w:eastAsia="Times New Roman"/>
                <w:lang w:val="en-US"/>
              </w:rPr>
              <w:t>s</w:t>
            </w:r>
            <w:r w:rsidR="00707E32">
              <w:rPr>
                <w:rFonts w:eastAsia="Times New Roman"/>
                <w:lang w:val="en-US"/>
              </w:rPr>
              <w:t xml:space="preserve"> for </w:t>
            </w:r>
            <w:r w:rsidRPr="00CF194B">
              <w:rPr>
                <w:rFonts w:eastAsia="Times New Roman"/>
                <w:lang w:val="en-US"/>
              </w:rPr>
              <w:t>practic</w:t>
            </w:r>
            <w:r w:rsidR="00707E32">
              <w:rPr>
                <w:rFonts w:eastAsia="Times New Roman"/>
                <w:lang w:val="en-US"/>
              </w:rPr>
              <w:t xml:space="preserve">ing cooperation and </w:t>
            </w:r>
            <w:r w:rsidR="00543E48" w:rsidRPr="00CF194B">
              <w:rPr>
                <w:rFonts w:eastAsia="Times New Roman"/>
                <w:lang w:val="en-US"/>
              </w:rPr>
              <w:t>team</w:t>
            </w:r>
            <w:r w:rsidR="00543E48">
              <w:rPr>
                <w:rFonts w:eastAsia="Times New Roman"/>
                <w:lang w:val="en-US"/>
              </w:rPr>
              <w:t>work</w:t>
            </w:r>
            <w:r>
              <w:rPr>
                <w:rFonts w:eastAsia="Times New Roman"/>
                <w:lang w:val="en-US"/>
              </w:rPr>
              <w:t xml:space="preserve">. </w:t>
            </w:r>
            <w:r w:rsidR="00543E48">
              <w:rPr>
                <w:rFonts w:eastAsia="Times New Roman"/>
                <w:lang w:val="en-US"/>
              </w:rPr>
              <w:t xml:space="preserve">Students </w:t>
            </w:r>
            <w:r>
              <w:rPr>
                <w:rFonts w:eastAsia="Times New Roman"/>
                <w:lang w:val="en-US"/>
              </w:rPr>
              <w:t xml:space="preserve">will </w:t>
            </w:r>
            <w:r w:rsidR="00543E48">
              <w:rPr>
                <w:rFonts w:eastAsia="Times New Roman"/>
                <w:lang w:val="en-US"/>
              </w:rPr>
              <w:t xml:space="preserve">analyze </w:t>
            </w:r>
            <w:r w:rsidR="00A460A1">
              <w:rPr>
                <w:rFonts w:eastAsia="Times New Roman"/>
                <w:lang w:val="en-US"/>
              </w:rPr>
              <w:t xml:space="preserve">business models of sustainable companies, </w:t>
            </w:r>
            <w:r w:rsidR="00A460A1" w:rsidRPr="00CF194B">
              <w:rPr>
                <w:rFonts w:eastAsia="Times New Roman"/>
                <w:lang w:val="en-US"/>
              </w:rPr>
              <w:t>start-up</w:t>
            </w:r>
            <w:r w:rsidR="00A460A1">
              <w:rPr>
                <w:rFonts w:eastAsia="Times New Roman"/>
                <w:lang w:val="en-US"/>
              </w:rPr>
              <w:t xml:space="preserve">s, and </w:t>
            </w:r>
            <w:r>
              <w:rPr>
                <w:rFonts w:eastAsia="Times New Roman"/>
                <w:lang w:val="en-US"/>
              </w:rPr>
              <w:t>compan</w:t>
            </w:r>
            <w:r w:rsidR="007C3CBA">
              <w:rPr>
                <w:rFonts w:eastAsia="Times New Roman"/>
                <w:lang w:val="en-US"/>
              </w:rPr>
              <w:t xml:space="preserve">ies </w:t>
            </w:r>
            <w:r w:rsidR="00A460A1">
              <w:rPr>
                <w:rFonts w:eastAsia="Times New Roman"/>
                <w:lang w:val="en-US"/>
              </w:rPr>
              <w:t xml:space="preserve">during transformation for training openers and business interest. Students will </w:t>
            </w:r>
            <w:r w:rsidR="007C3CBA">
              <w:rPr>
                <w:rFonts w:eastAsia="Times New Roman"/>
                <w:lang w:val="en-US"/>
              </w:rPr>
              <w:t xml:space="preserve">look for inspiration for their own </w:t>
            </w:r>
            <w:r w:rsidR="00A460A1">
              <w:rPr>
                <w:rFonts w:eastAsia="Times New Roman"/>
                <w:lang w:val="en-US"/>
              </w:rPr>
              <w:t xml:space="preserve">role in </w:t>
            </w:r>
            <w:r w:rsidR="007C3CBA">
              <w:rPr>
                <w:rFonts w:eastAsia="Times New Roman"/>
                <w:lang w:val="en-US"/>
              </w:rPr>
              <w:t xml:space="preserve">business </w:t>
            </w:r>
            <w:r w:rsidR="00A460A1">
              <w:rPr>
                <w:rFonts w:eastAsia="Times New Roman"/>
                <w:lang w:val="en-US"/>
              </w:rPr>
              <w:t xml:space="preserve">they will </w:t>
            </w:r>
            <w:r w:rsidRPr="00CF194B">
              <w:rPr>
                <w:rFonts w:eastAsia="Times New Roman"/>
                <w:lang w:val="en-US"/>
              </w:rPr>
              <w:t xml:space="preserve">finally </w:t>
            </w:r>
            <w:r w:rsidR="00A460A1">
              <w:rPr>
                <w:rFonts w:eastAsia="Times New Roman"/>
                <w:lang w:val="en-US"/>
              </w:rPr>
              <w:t>mange in the future</w:t>
            </w:r>
            <w:r w:rsidRPr="00CF194B">
              <w:rPr>
                <w:rFonts w:eastAsia="Times New Roman"/>
                <w:lang w:val="en-US"/>
              </w:rPr>
              <w:t>.</w:t>
            </w:r>
          </w:p>
        </w:tc>
      </w:tr>
      <w:tr w:rsidR="00DD1534" w:rsidRPr="00A76008" w14:paraId="552A1026" w14:textId="77777777" w:rsidTr="001330F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 w:rsidP="00286AF4">
            <w:pPr>
              <w:spacing w:before="40" w:after="4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 w:rsidP="00286AF4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Preformatted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5C6B7D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yperlink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A7600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ListParagraph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9400" w14:textId="77777777" w:rsidR="004627F4" w:rsidRDefault="004627F4" w:rsidP="006E7390">
      <w:pPr>
        <w:spacing w:after="0" w:line="240" w:lineRule="auto"/>
      </w:pPr>
      <w:r>
        <w:separator/>
      </w:r>
    </w:p>
  </w:endnote>
  <w:endnote w:type="continuationSeparator" w:id="0">
    <w:p w14:paraId="71EF0F9D" w14:textId="77777777" w:rsidR="004627F4" w:rsidRDefault="004627F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70C6" w14:textId="77777777" w:rsidR="004627F4" w:rsidRDefault="004627F4" w:rsidP="006E7390">
      <w:pPr>
        <w:spacing w:after="0" w:line="240" w:lineRule="auto"/>
      </w:pPr>
      <w:r>
        <w:separator/>
      </w:r>
    </w:p>
  </w:footnote>
  <w:footnote w:type="continuationSeparator" w:id="0">
    <w:p w14:paraId="61B94AB7" w14:textId="77777777" w:rsidR="004627F4" w:rsidRDefault="004627F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61700"/>
    <w:multiLevelType w:val="hybridMultilevel"/>
    <w:tmpl w:val="05EA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7EE"/>
    <w:multiLevelType w:val="hybridMultilevel"/>
    <w:tmpl w:val="A8A8C46A"/>
    <w:lvl w:ilvl="0" w:tplc="4F365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ADC"/>
    <w:multiLevelType w:val="hybridMultilevel"/>
    <w:tmpl w:val="7FFA37D2"/>
    <w:lvl w:ilvl="0" w:tplc="4F365C0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63D27"/>
    <w:multiLevelType w:val="hybridMultilevel"/>
    <w:tmpl w:val="8BAA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24946"/>
    <w:multiLevelType w:val="hybridMultilevel"/>
    <w:tmpl w:val="B36A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4203B"/>
    <w:multiLevelType w:val="hybridMultilevel"/>
    <w:tmpl w:val="3A4E0D9A"/>
    <w:lvl w:ilvl="0" w:tplc="4F365C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92DA0"/>
    <w:multiLevelType w:val="hybridMultilevel"/>
    <w:tmpl w:val="2530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187951">
    <w:abstractNumId w:val="8"/>
  </w:num>
  <w:num w:numId="2" w16cid:durableId="1278829564">
    <w:abstractNumId w:val="1"/>
  </w:num>
  <w:num w:numId="3" w16cid:durableId="752824875">
    <w:abstractNumId w:val="21"/>
  </w:num>
  <w:num w:numId="4" w16cid:durableId="1951744661">
    <w:abstractNumId w:val="2"/>
  </w:num>
  <w:num w:numId="5" w16cid:durableId="1252275849">
    <w:abstractNumId w:val="23"/>
  </w:num>
  <w:num w:numId="6" w16cid:durableId="1569807662">
    <w:abstractNumId w:val="19"/>
  </w:num>
  <w:num w:numId="7" w16cid:durableId="87116465">
    <w:abstractNumId w:val="13"/>
  </w:num>
  <w:num w:numId="8" w16cid:durableId="981809987">
    <w:abstractNumId w:val="18"/>
  </w:num>
  <w:num w:numId="9" w16cid:durableId="1400206232">
    <w:abstractNumId w:val="9"/>
  </w:num>
  <w:num w:numId="10" w16cid:durableId="1329211625">
    <w:abstractNumId w:val="7"/>
  </w:num>
  <w:num w:numId="11" w16cid:durableId="141889316">
    <w:abstractNumId w:val="25"/>
  </w:num>
  <w:num w:numId="12" w16cid:durableId="376011589">
    <w:abstractNumId w:val="5"/>
  </w:num>
  <w:num w:numId="13" w16cid:durableId="212620543">
    <w:abstractNumId w:val="17"/>
  </w:num>
  <w:num w:numId="14" w16cid:durableId="315647859">
    <w:abstractNumId w:val="0"/>
  </w:num>
  <w:num w:numId="15" w16cid:durableId="433474783">
    <w:abstractNumId w:val="10"/>
  </w:num>
  <w:num w:numId="16" w16cid:durableId="1895507995">
    <w:abstractNumId w:val="12"/>
  </w:num>
  <w:num w:numId="17" w16cid:durableId="1004744614">
    <w:abstractNumId w:val="16"/>
  </w:num>
  <w:num w:numId="18" w16cid:durableId="491213385">
    <w:abstractNumId w:val="20"/>
  </w:num>
  <w:num w:numId="19" w16cid:durableId="517961998">
    <w:abstractNumId w:val="6"/>
  </w:num>
  <w:num w:numId="20" w16cid:durableId="685178895">
    <w:abstractNumId w:val="24"/>
  </w:num>
  <w:num w:numId="21" w16cid:durableId="1997370862">
    <w:abstractNumId w:val="3"/>
  </w:num>
  <w:num w:numId="22" w16cid:durableId="1738087375">
    <w:abstractNumId w:val="22"/>
  </w:num>
  <w:num w:numId="23" w16cid:durableId="242566375">
    <w:abstractNumId w:val="11"/>
  </w:num>
  <w:num w:numId="24" w16cid:durableId="810752030">
    <w:abstractNumId w:val="15"/>
  </w:num>
  <w:num w:numId="25" w16cid:durableId="969170890">
    <w:abstractNumId w:val="4"/>
  </w:num>
  <w:num w:numId="26" w16cid:durableId="1701542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444E1"/>
    <w:rsid w:val="00050FC2"/>
    <w:rsid w:val="00061BB8"/>
    <w:rsid w:val="000C2FD8"/>
    <w:rsid w:val="000E6206"/>
    <w:rsid w:val="001330F0"/>
    <w:rsid w:val="0015055B"/>
    <w:rsid w:val="00156121"/>
    <w:rsid w:val="001843FB"/>
    <w:rsid w:val="001C2D1A"/>
    <w:rsid w:val="001E424A"/>
    <w:rsid w:val="001E7231"/>
    <w:rsid w:val="00216ADF"/>
    <w:rsid w:val="00286AF4"/>
    <w:rsid w:val="002E3EE7"/>
    <w:rsid w:val="003233B4"/>
    <w:rsid w:val="00385DB0"/>
    <w:rsid w:val="003D1DA3"/>
    <w:rsid w:val="003E5E2B"/>
    <w:rsid w:val="003E7AE6"/>
    <w:rsid w:val="0042493C"/>
    <w:rsid w:val="004627F4"/>
    <w:rsid w:val="004D7065"/>
    <w:rsid w:val="0050630E"/>
    <w:rsid w:val="00543E48"/>
    <w:rsid w:val="00544B72"/>
    <w:rsid w:val="00560D3B"/>
    <w:rsid w:val="005862CA"/>
    <w:rsid w:val="005F1CAD"/>
    <w:rsid w:val="00662E2F"/>
    <w:rsid w:val="00670459"/>
    <w:rsid w:val="00693951"/>
    <w:rsid w:val="006A6A42"/>
    <w:rsid w:val="006D36F2"/>
    <w:rsid w:val="006E7390"/>
    <w:rsid w:val="00707E32"/>
    <w:rsid w:val="00716989"/>
    <w:rsid w:val="00723A20"/>
    <w:rsid w:val="00735AA7"/>
    <w:rsid w:val="00754C7B"/>
    <w:rsid w:val="007A495E"/>
    <w:rsid w:val="007C3CBA"/>
    <w:rsid w:val="00806345"/>
    <w:rsid w:val="008753B1"/>
    <w:rsid w:val="008D113F"/>
    <w:rsid w:val="009C378A"/>
    <w:rsid w:val="009E034D"/>
    <w:rsid w:val="009E0ECD"/>
    <w:rsid w:val="00A01276"/>
    <w:rsid w:val="00A4414B"/>
    <w:rsid w:val="00A460A1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D4704"/>
    <w:rsid w:val="00EE607D"/>
    <w:rsid w:val="00F01226"/>
    <w:rsid w:val="00F053C7"/>
    <w:rsid w:val="00F53532"/>
    <w:rsid w:val="00FA6F83"/>
    <w:rsid w:val="00FD6C2F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D36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efaultParagraphFont"/>
    <w:rsid w:val="005862CA"/>
  </w:style>
  <w:style w:type="character" w:styleId="Hyperlink">
    <w:name w:val="Hyperlink"/>
    <w:basedOn w:val="DefaultParagraphFont"/>
    <w:uiPriority w:val="99"/>
    <w:unhideWhenUsed/>
    <w:rsid w:val="009E0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addres-book-employee,7768,p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ssdoor.com/Salaries/customer-experience-manager-salary-SRCH_KO0,27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Pawłowski Mieczysław</cp:lastModifiedBy>
  <cp:revision>3</cp:revision>
  <dcterms:created xsi:type="dcterms:W3CDTF">2022-04-13T15:49:00Z</dcterms:created>
  <dcterms:modified xsi:type="dcterms:W3CDTF">2022-04-13T15:52:00Z</dcterms:modified>
</cp:coreProperties>
</file>