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1843FB" w:rsidRPr="00A76008" w14:paraId="0EF52C25" w14:textId="77777777" w:rsidTr="00754C7B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74CF5" w14:textId="7A5131B3" w:rsidR="001843FB" w:rsidRPr="00754C7B" w:rsidRDefault="00754C7B" w:rsidP="00754C7B">
            <w:pPr>
              <w:rPr>
                <w:rFonts w:cstheme="minorHAnsi"/>
                <w:b/>
                <w:sz w:val="20"/>
                <w:szCs w:val="20"/>
              </w:rPr>
            </w:pPr>
            <w:r w:rsidRPr="00754C7B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02CD7" w14:textId="5A7228FC" w:rsidR="001843FB" w:rsidRPr="003D1DA3" w:rsidRDefault="00FD21C9" w:rsidP="00754C7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Piotr Maleszyk, Piotr Wetoszka</w:t>
            </w:r>
          </w:p>
        </w:tc>
      </w:tr>
      <w:tr w:rsidR="00754C7B" w:rsidRPr="00A76008" w14:paraId="108E9826" w14:textId="77777777" w:rsidTr="001F5B67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12B67" w14:textId="6C55C2F8" w:rsidR="00754C7B" w:rsidRPr="00754C7B" w:rsidRDefault="00754C7B" w:rsidP="001F5B67">
            <w:pPr>
              <w:rPr>
                <w:rFonts w:cstheme="minorHAnsi"/>
                <w:b/>
                <w:sz w:val="20"/>
                <w:szCs w:val="20"/>
              </w:rPr>
            </w:pPr>
            <w:r w:rsidRPr="00754C7B">
              <w:rPr>
                <w:rFonts w:cstheme="minorHAnsi"/>
                <w:b/>
                <w:sz w:val="20"/>
                <w:szCs w:val="20"/>
              </w:rPr>
              <w:t>Oferta PJO*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AFDFC" w14:textId="63B952AE" w:rsidR="00754C7B" w:rsidRPr="003D1DA3" w:rsidRDefault="00FD21C9" w:rsidP="001F5B67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NIE</w:t>
            </w:r>
          </w:p>
        </w:tc>
      </w:tr>
      <w:tr w:rsidR="001843FB" w:rsidRPr="00A76008" w14:paraId="07D1C06F" w14:textId="77777777" w:rsidTr="00754C7B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D1C8" w14:textId="3125A4D2" w:rsidR="001843FB" w:rsidRPr="00754C7B" w:rsidRDefault="001843FB" w:rsidP="00754C7B">
            <w:pPr>
              <w:rPr>
                <w:rFonts w:cstheme="minorHAnsi"/>
                <w:b/>
                <w:sz w:val="20"/>
                <w:szCs w:val="20"/>
              </w:rPr>
            </w:pPr>
            <w:r w:rsidRPr="00754C7B">
              <w:rPr>
                <w:rFonts w:cstheme="minorHAnsi"/>
                <w:b/>
                <w:sz w:val="20"/>
                <w:szCs w:val="20"/>
              </w:rPr>
              <w:t>Oferta PJOE</w:t>
            </w:r>
            <w:r w:rsidR="00754C7B" w:rsidRPr="00754C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FBD65" w14:textId="57A5CBA7" w:rsidR="001843FB" w:rsidRPr="003D1DA3" w:rsidRDefault="001843FB" w:rsidP="00754C7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TAK</w:t>
            </w:r>
          </w:p>
        </w:tc>
      </w:tr>
      <w:tr w:rsidR="001843FB" w:rsidRPr="00A76008" w14:paraId="2278057B" w14:textId="77777777" w:rsidTr="00754C7B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7C971" w14:textId="39789805" w:rsidR="001843FB" w:rsidRPr="00754C7B" w:rsidRDefault="001843FB" w:rsidP="00754C7B">
            <w:pPr>
              <w:rPr>
                <w:rFonts w:cstheme="minorHAnsi"/>
                <w:b/>
                <w:sz w:val="20"/>
                <w:szCs w:val="20"/>
              </w:rPr>
            </w:pPr>
            <w:r w:rsidRPr="00754C7B">
              <w:rPr>
                <w:rFonts w:cstheme="minorHAnsi"/>
                <w:b/>
                <w:sz w:val="20"/>
                <w:szCs w:val="20"/>
              </w:rPr>
              <w:t>Kierunek</w:t>
            </w:r>
            <w:r w:rsidR="00754C7B" w:rsidRPr="00754C7B">
              <w:rPr>
                <w:rFonts w:cstheme="minorHAnsi"/>
                <w:b/>
                <w:sz w:val="20"/>
                <w:szCs w:val="20"/>
              </w:rPr>
              <w:t xml:space="preserve">, rok, stopień </w:t>
            </w:r>
            <w:r w:rsidRPr="00754C7B">
              <w:rPr>
                <w:rFonts w:cstheme="minorHAnsi"/>
                <w:b/>
                <w:sz w:val="20"/>
                <w:szCs w:val="20"/>
              </w:rPr>
              <w:t>dla PJO</w:t>
            </w:r>
            <w:r w:rsidR="00961677">
              <w:rPr>
                <w:rFonts w:cstheme="minorHAnsi"/>
                <w:b/>
                <w:sz w:val="20"/>
                <w:szCs w:val="20"/>
              </w:rPr>
              <w:t xml:space="preserve"> (*obowiązkowe)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7B217" w14:textId="77777777" w:rsidR="001843FB" w:rsidRPr="00754C7B" w:rsidRDefault="001843FB" w:rsidP="00754C7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843FB" w:rsidRPr="00A76008" w14:paraId="7BDEA3BB" w14:textId="77777777" w:rsidTr="00754C7B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86DFC" w14:textId="21A828A8" w:rsidR="001843FB" w:rsidRPr="00754C7B" w:rsidRDefault="001843FB" w:rsidP="00754C7B">
            <w:pPr>
              <w:rPr>
                <w:rFonts w:cstheme="minorHAnsi"/>
                <w:b/>
                <w:sz w:val="20"/>
                <w:szCs w:val="20"/>
              </w:rPr>
            </w:pPr>
            <w:r w:rsidRPr="00754C7B">
              <w:rPr>
                <w:rFonts w:cstheme="minorHAnsi"/>
                <w:b/>
                <w:sz w:val="20"/>
                <w:szCs w:val="20"/>
              </w:rPr>
              <w:t>Semestr roku 202</w:t>
            </w:r>
            <w:r w:rsidR="00D503FD">
              <w:rPr>
                <w:rFonts w:cstheme="minorHAnsi"/>
                <w:b/>
                <w:sz w:val="20"/>
                <w:szCs w:val="20"/>
              </w:rPr>
              <w:t>2</w:t>
            </w:r>
            <w:r w:rsidRPr="00754C7B">
              <w:rPr>
                <w:rFonts w:cstheme="minorHAnsi"/>
                <w:b/>
                <w:sz w:val="20"/>
                <w:szCs w:val="20"/>
              </w:rPr>
              <w:t>/202</w:t>
            </w:r>
            <w:r w:rsidR="00D503F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01ABD" w14:textId="0CC7E2FF" w:rsidR="001843FB" w:rsidRPr="00754C7B" w:rsidRDefault="00FD21C9" w:rsidP="00754C7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letni</w:t>
            </w:r>
          </w:p>
        </w:tc>
      </w:tr>
    </w:tbl>
    <w:p w14:paraId="6EAB3A9D" w14:textId="462B53FF" w:rsidR="001843FB" w:rsidRDefault="00754C7B">
      <w:pPr>
        <w:rPr>
          <w:sz w:val="18"/>
          <w:szCs w:val="18"/>
        </w:rPr>
      </w:pPr>
      <w:r>
        <w:rPr>
          <w:sz w:val="18"/>
          <w:szCs w:val="18"/>
        </w:rPr>
        <w:t>* PJO – przedmiot w języku obcym dla studentów polskich / PJOE – przedmiot w języku obcym dla studentów Erasmus+</w:t>
      </w:r>
      <w:r>
        <w:rPr>
          <w:sz w:val="18"/>
          <w:szCs w:val="18"/>
        </w:rPr>
        <w:br/>
        <w:t>*</w:t>
      </w:r>
      <w:r w:rsidRPr="00754C7B">
        <w:rPr>
          <w:sz w:val="18"/>
          <w:szCs w:val="18"/>
        </w:rPr>
        <w:t>* zostawić właściwe</w:t>
      </w:r>
    </w:p>
    <w:p w14:paraId="1311EC97" w14:textId="6395F15A" w:rsidR="00754C7B" w:rsidRPr="00A76008" w:rsidRDefault="00754C7B" w:rsidP="0075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val="en-US"/>
        </w:rPr>
      </w:pPr>
      <w:r w:rsidRPr="00A76008">
        <w:rPr>
          <w:rFonts w:eastAsia="Times New Roman" w:cstheme="minorHAnsi"/>
          <w:sz w:val="20"/>
          <w:szCs w:val="20"/>
          <w:lang w:val="en-US"/>
        </w:rPr>
        <w:t>BASIC INFORMATION ABOUT THE SUBJECT (INDEPENDENT OF THE CYCLE)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1843FB" w:rsidRPr="00A76008" w14:paraId="59E577E3" w14:textId="77777777" w:rsidTr="007622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8F9" w14:textId="1837AE31" w:rsidR="001843FB" w:rsidRPr="003D1DA3" w:rsidRDefault="001843FB" w:rsidP="0076227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cstheme="minorHAnsi"/>
                <w:b/>
                <w:sz w:val="20"/>
                <w:szCs w:val="20"/>
                <w:lang w:val="en-US"/>
              </w:rPr>
              <w:t>Module 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8AC4" w14:textId="7F4E34C7" w:rsidR="001843FB" w:rsidRPr="003D1DA3" w:rsidRDefault="00FD21C9" w:rsidP="00762272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Urban Development</w:t>
            </w:r>
          </w:p>
        </w:tc>
      </w:tr>
      <w:tr w:rsidR="00DD1534" w:rsidRPr="00A76008" w14:paraId="552A0FFC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FFA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cstheme="minorHAnsi"/>
                <w:b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FFB" w14:textId="451E7BD7" w:rsidR="00DD1534" w:rsidRPr="003D1DA3" w:rsidRDefault="00DD1534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D1534" w:rsidRPr="00A76008" w14:paraId="552A0FFF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FFD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cstheme="minorHAnsi"/>
                <w:b/>
                <w:sz w:val="20"/>
                <w:szCs w:val="20"/>
                <w:lang w:val="en-US"/>
              </w:rPr>
              <w:t>ISCED code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FFE" w14:textId="3D81C2BE" w:rsidR="00DD1534" w:rsidRPr="003D1DA3" w:rsidRDefault="00DD1534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D1534" w:rsidRPr="00A76008" w14:paraId="552A1002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0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01" w14:textId="3618D27C" w:rsidR="00DD1534" w:rsidRPr="003D1DA3" w:rsidRDefault="00DD1534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D1534" w:rsidRPr="004A5506" w14:paraId="552A1005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3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04" w14:textId="5396416F" w:rsidR="00C16322" w:rsidRPr="00984CEB" w:rsidRDefault="009661FF">
            <w:pPr>
              <w:rPr>
                <w:rFonts w:cstheme="minorHAnsi"/>
                <w:bCs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8" w:history="1">
              <w:r w:rsidR="00D503FD" w:rsidRPr="00984CEB">
                <w:rPr>
                  <w:rStyle w:val="Hipercze"/>
                  <w:lang w:val="en-US"/>
                </w:rPr>
                <w:t>https://www.umcs.pl/en/courses-in-english-2021-2022,21582.htm</w:t>
              </w:r>
            </w:hyperlink>
            <w:r w:rsidR="00D503FD" w:rsidRPr="00984CEB">
              <w:rPr>
                <w:lang w:val="en-US"/>
              </w:rPr>
              <w:t xml:space="preserve"> </w:t>
            </w:r>
          </w:p>
        </w:tc>
      </w:tr>
      <w:tr w:rsidR="00DD1534" w:rsidRPr="00A76008" w14:paraId="552A1008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6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07" w14:textId="17109532" w:rsidR="00DD1534" w:rsidRPr="003D1DA3" w:rsidRDefault="00DD1534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D1534" w:rsidRPr="004A5506" w14:paraId="552A100E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9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ECTS points hour equivalents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447" w14:textId="77777777" w:rsidR="00B924CD" w:rsidRPr="002D1E25" w:rsidRDefault="00B924CD" w:rsidP="00B924CD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2D1E25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Contact hours (work with an academic teacher): 30</w:t>
            </w:r>
          </w:p>
          <w:p w14:paraId="1992D197" w14:textId="77777777" w:rsidR="00B924CD" w:rsidRPr="002D1E25" w:rsidRDefault="00B924CD" w:rsidP="00B924CD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2D1E25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Total number of hours with an academic teacher: 30</w:t>
            </w:r>
          </w:p>
          <w:p w14:paraId="307F42D5" w14:textId="77777777" w:rsidR="00B924CD" w:rsidRPr="002D1E25" w:rsidRDefault="00B924CD" w:rsidP="00B924CD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2D1E25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Number of ECTS points with an academic teacher: 3</w:t>
            </w:r>
            <w:r w:rsidRPr="002D1E25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br/>
              <w:t>Non-contact hours (students' own work): 30</w:t>
            </w:r>
            <w:r w:rsidRPr="002D1E25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br/>
              <w:t>Total number of non-contact hours: 30</w:t>
            </w:r>
            <w:r w:rsidRPr="002D1E25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br/>
              <w:t>Number of ECTS points for non-contact hours:3</w:t>
            </w:r>
          </w:p>
          <w:p w14:paraId="552A100D" w14:textId="1D33A8F7" w:rsidR="00DD1534" w:rsidRPr="003D1DA3" w:rsidRDefault="00B924CD" w:rsidP="00B924CD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D1E25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Total number of ECTS points for the module: 6</w:t>
            </w:r>
          </w:p>
        </w:tc>
      </w:tr>
      <w:tr w:rsidR="00DD1534" w:rsidRPr="004A5506" w14:paraId="552A1014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0F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Educational outcomes verification methods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2D3" w14:textId="3378C304" w:rsidR="00EB396A" w:rsidRPr="00EB396A" w:rsidRDefault="00EB396A" w:rsidP="00EB396A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EB396A">
              <w:rPr>
                <w:rFonts w:cstheme="minorHAnsi"/>
                <w:bCs/>
                <w:sz w:val="20"/>
                <w:szCs w:val="20"/>
                <w:lang w:val="en-US"/>
              </w:rPr>
              <w:t>1. Attendance &amp; regular individ</w:t>
            </w:r>
            <w:r w:rsidR="00984CEB">
              <w:rPr>
                <w:rFonts w:cstheme="minorHAnsi"/>
                <w:bCs/>
                <w:sz w:val="20"/>
                <w:szCs w:val="20"/>
                <w:lang w:val="en-US"/>
              </w:rPr>
              <w:t>u</w:t>
            </w:r>
            <w:r w:rsidRPr="00EB396A">
              <w:rPr>
                <w:rFonts w:cstheme="minorHAnsi"/>
                <w:bCs/>
                <w:sz w:val="20"/>
                <w:szCs w:val="20"/>
                <w:lang w:val="en-US"/>
              </w:rPr>
              <w:t>al and group tasks (incl. home tasks);</w:t>
            </w:r>
          </w:p>
          <w:p w14:paraId="552A1013" w14:textId="6319F741" w:rsidR="00DD1534" w:rsidRPr="003D1DA3" w:rsidRDefault="00EB396A" w:rsidP="00EB396A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EB396A">
              <w:rPr>
                <w:rFonts w:cstheme="minorHAnsi"/>
                <w:bCs/>
                <w:sz w:val="20"/>
                <w:szCs w:val="20"/>
                <w:lang w:val="en-US"/>
              </w:rPr>
              <w:t>2. Oral exam at the end of the course.</w:t>
            </w:r>
          </w:p>
        </w:tc>
      </w:tr>
      <w:tr w:rsidR="00DD1534" w:rsidRPr="004A5506" w14:paraId="552A1017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15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16" w14:textId="3083D088" w:rsidR="00DD1534" w:rsidRPr="00E51CC8" w:rsidRDefault="00E51CC8" w:rsidP="00F053C7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E51CC8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Urban development explores the phenomenon of urbanization: its manifestations, drivers and outcomes. It applies a multi-disciplinary approach, particularly economics</w:t>
            </w: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,</w:t>
            </w:r>
            <w:r w:rsidRPr="00E51CC8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 geography</w:t>
            </w: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,</w:t>
            </w:r>
            <w:r w:rsidRPr="00E51CC8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 and management. Urban development unveils the location decisions of households and firms, and examines the market forces that shape cities and the role of government in determining land-use patterns. Particular attention is given to the concepts of sustainable development and smart city. Urban development also discusses urban policy issues, with a particular focus on urban development strategies.</w:t>
            </w:r>
            <w:r w:rsidR="00ED2D78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 Finally, the course offers an introduction to the analysis of urban data. </w:t>
            </w:r>
          </w:p>
        </w:tc>
      </w:tr>
      <w:tr w:rsidR="00DD1534" w:rsidRPr="004A5506" w14:paraId="552A101E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18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Reading list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F77" w14:textId="7BA44756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BASIC READING</w:t>
            </w:r>
          </w:p>
          <w:p w14:paraId="160862B0" w14:textId="3C4C2640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1. O'Sullivan, A. (2007). Urban economics. McGraw-Hill/Irwin</w:t>
            </w:r>
          </w:p>
          <w:p w14:paraId="5ABEC996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64485C8D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2. Brueckner, J. K. (2011). Lectures on urban economics. MIT Press</w:t>
            </w:r>
          </w:p>
          <w:p w14:paraId="47137DFD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16146500" w14:textId="04122DA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FURTHER READING</w:t>
            </w:r>
          </w:p>
          <w:p w14:paraId="51D53AE9" w14:textId="614458ED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3. Glaeser, E. (2011) Triumph of the City, How Our Greatest Invention Makes Us Richer, Smarter, Greener, Healthier and Happier, The Penguin Press [USA], London.</w:t>
            </w:r>
          </w:p>
          <w:p w14:paraId="7C41DAFA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057A9CF7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4. Urban Economic Challenges and the New Urban Agenda (2017), UN&amp;HABITAT.</w:t>
            </w:r>
          </w:p>
          <w:p w14:paraId="4BE451D3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1123D7EF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5. Handbook of Sustainable Urban Development Strategies (2020), Fioretti, C., </w:t>
            </w:r>
            <w:proofErr w:type="spellStart"/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Pertoldi</w:t>
            </w:r>
            <w:proofErr w:type="spellEnd"/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, M., </w:t>
            </w:r>
            <w:proofErr w:type="spellStart"/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Busti</w:t>
            </w:r>
            <w:proofErr w:type="spellEnd"/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, M. and Van Heerden, S. editor(s), EUR 29990 EN, Publications Office of the European Union, Luxembourg.</w:t>
            </w:r>
          </w:p>
          <w:p w14:paraId="271F9BDB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02AAE499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4A5506">
              <w:rPr>
                <w:rFonts w:eastAsia="Times New Roman" w:cstheme="minorHAnsi"/>
                <w:bCs/>
                <w:sz w:val="20"/>
                <w:szCs w:val="20"/>
                <w:lang w:val="de-DE"/>
              </w:rPr>
              <w:t xml:space="preserve">6. Albino, V., Berardi, U., &amp; </w:t>
            </w:r>
            <w:proofErr w:type="spellStart"/>
            <w:r w:rsidRPr="004A5506">
              <w:rPr>
                <w:rFonts w:eastAsia="Times New Roman" w:cstheme="minorHAnsi"/>
                <w:bCs/>
                <w:sz w:val="20"/>
                <w:szCs w:val="20"/>
                <w:lang w:val="de-DE"/>
              </w:rPr>
              <w:t>Dangelico</w:t>
            </w:r>
            <w:proofErr w:type="spellEnd"/>
            <w:r w:rsidRPr="004A5506">
              <w:rPr>
                <w:rFonts w:eastAsia="Times New Roman" w:cstheme="minorHAnsi"/>
                <w:bCs/>
                <w:sz w:val="20"/>
                <w:szCs w:val="20"/>
                <w:lang w:val="de-DE"/>
              </w:rPr>
              <w:t xml:space="preserve">, R. M. (2015). </w:t>
            </w: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Smart cities: Definitions, dimensions, performance, and initiatives. Journal of urban technology, 22(1), 3-21.</w:t>
            </w:r>
          </w:p>
          <w:p w14:paraId="7110725C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2258C93F" w14:textId="77777777" w:rsidR="001C2D1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7. Dijkstra, L., Garcilazo, E., &amp; McCann, P. (2013). The economic performance of European cities and city regions: Myths and realities. European Planning Studies, 21(3), 334-354.</w:t>
            </w:r>
          </w:p>
          <w:p w14:paraId="3A335CF2" w14:textId="77777777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552A101D" w14:textId="032735D5" w:rsidR="00EB396A" w:rsidRPr="00984CEB" w:rsidRDefault="00EB396A" w:rsidP="00984CEB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lastRenderedPageBreak/>
              <w:t xml:space="preserve">8. </w:t>
            </w:r>
            <w:r w:rsidR="000F5A36"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EUROSTAT, </w:t>
            </w:r>
            <w:hyperlink r:id="rId9" w:history="1">
              <w:r w:rsidR="000F5A36" w:rsidRPr="00984CEB">
                <w:rPr>
                  <w:rFonts w:eastAsia="Times New Roman"/>
                  <w:lang w:val="en-GB"/>
                </w:rPr>
                <w:t>https://ec.europa.eu/eurostat/web/regions-and-cities</w:t>
              </w:r>
            </w:hyperlink>
            <w:r w:rsidR="000F5A36"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DD1534" w:rsidRPr="004A5506" w14:paraId="552A1023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1F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lastRenderedPageBreak/>
              <w:t>Educational outcomes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76E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KNOWLEDGE</w:t>
            </w:r>
          </w:p>
          <w:p w14:paraId="6D077EF4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539E4A8E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1. Students understand the economic drivers of urbanisation.</w:t>
            </w:r>
          </w:p>
          <w:p w14:paraId="7A9F036C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41533E45" w14:textId="7B1A44D5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 xml:space="preserve">2. Students explain economic functions modern cities fulfil, including their role as business location and innovation </w:t>
            </w:r>
            <w:r w:rsidR="00984CEB"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centers</w:t>
            </w: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.</w:t>
            </w:r>
          </w:p>
          <w:p w14:paraId="3188B69B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64D23478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3. Students present key challenges cities face from the perspective of sustainable development.</w:t>
            </w:r>
          </w:p>
          <w:p w14:paraId="6F33C977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30C4CD52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4. Students describe the elements of a smart city.</w:t>
            </w:r>
          </w:p>
          <w:p w14:paraId="09059CA2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37569E29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SKILLS</w:t>
            </w:r>
          </w:p>
          <w:p w14:paraId="10FE644A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0A5A12C0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1. Students evaluate urban policies for their sustainability and smartness, providing their own examples of good practices.</w:t>
            </w:r>
          </w:p>
          <w:p w14:paraId="3C8DF524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2D02320F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2. Students access and analyse urban data to evaluate and formulate ideas for urban strategies.</w:t>
            </w:r>
          </w:p>
          <w:p w14:paraId="484723F8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6C3BB59C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ATTITUDES</w:t>
            </w:r>
          </w:p>
          <w:p w14:paraId="49B31DAE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7786675C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1. Students become aware of challenges to urban economics and are motivated to help resolve some arising problems in everyday activities and choices</w:t>
            </w:r>
          </w:p>
          <w:p w14:paraId="7A383BBD" w14:textId="77777777" w:rsidR="000F5A36" w:rsidRPr="00984CEB" w:rsidRDefault="000F5A36" w:rsidP="000F5A36">
            <w:pPr>
              <w:ind w:left="373" w:hanging="373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</w:p>
          <w:p w14:paraId="552A1022" w14:textId="5A58C3A9" w:rsidR="000C2FD8" w:rsidRPr="00984CEB" w:rsidRDefault="000F5A36" w:rsidP="000F5A36">
            <w:pPr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984CEB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2. Students reflect critically on the quality of life in their home cities.</w:t>
            </w:r>
          </w:p>
        </w:tc>
      </w:tr>
      <w:tr w:rsidR="00DD1534" w:rsidRPr="00A76008" w14:paraId="552A1026" w14:textId="77777777" w:rsidTr="00A760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24" w14:textId="77777777" w:rsidR="00DD1534" w:rsidRPr="003D1DA3" w:rsidRDefault="00DD153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25" w14:textId="77777777" w:rsidR="00DD1534" w:rsidRPr="003D1DA3" w:rsidRDefault="001C2D1A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3D1DA3">
              <w:rPr>
                <w:rFonts w:cstheme="minorHAnsi"/>
                <w:bCs/>
                <w:sz w:val="20"/>
                <w:szCs w:val="20"/>
                <w:lang w:val="en-US"/>
              </w:rPr>
              <w:t>n/a</w:t>
            </w:r>
          </w:p>
        </w:tc>
      </w:tr>
    </w:tbl>
    <w:p w14:paraId="552A1027" w14:textId="77777777" w:rsidR="00DD1534" w:rsidRPr="00A76008" w:rsidRDefault="00DD1534" w:rsidP="00DD1534">
      <w:pPr>
        <w:rPr>
          <w:rFonts w:cstheme="minorHAnsi"/>
          <w:sz w:val="20"/>
          <w:szCs w:val="20"/>
          <w:lang w:val="en-US"/>
        </w:rPr>
      </w:pPr>
    </w:p>
    <w:p w14:paraId="45A66CE6" w14:textId="77777777" w:rsidR="000C2FD8" w:rsidRDefault="000C2FD8">
      <w:pPr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lang w:val="en-US"/>
        </w:rPr>
        <w:br w:type="page"/>
      </w:r>
    </w:p>
    <w:p w14:paraId="552A1029" w14:textId="6D33D74E" w:rsidR="00DD1534" w:rsidRPr="00A76008" w:rsidRDefault="00754C7B" w:rsidP="00754C7B">
      <w:pPr>
        <w:pStyle w:val="HTML-wstpniesformatowany"/>
        <w:spacing w:line="360" w:lineRule="auto"/>
        <w:jc w:val="center"/>
        <w:rPr>
          <w:rFonts w:asciiTheme="minorHAnsi" w:hAnsiTheme="minorHAnsi" w:cstheme="minorHAnsi"/>
          <w:lang w:val="en-US"/>
        </w:rPr>
      </w:pPr>
      <w:r w:rsidRPr="00A76008">
        <w:rPr>
          <w:rFonts w:asciiTheme="minorHAnsi" w:hAnsiTheme="minorHAnsi" w:cstheme="minorHAnsi"/>
          <w:lang w:val="en-US"/>
        </w:rPr>
        <w:lastRenderedPageBreak/>
        <w:t>INFORMATION ABOUT CLASSES IN THE CYCLE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FA6F83" w:rsidRPr="00C16322" w14:paraId="552A102C" w14:textId="77777777" w:rsidTr="00DD15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2A" w14:textId="77777777" w:rsidR="00FA6F83" w:rsidRPr="003D1DA3" w:rsidRDefault="00FA6F83" w:rsidP="00FA6F8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2B" w14:textId="6857BE3C" w:rsidR="00FA6F83" w:rsidRPr="00C16322" w:rsidRDefault="009661FF" w:rsidP="00FA6F83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B72C3F" w:rsidRPr="00C16322">
                <w:rPr>
                  <w:rStyle w:val="Hipercze"/>
                  <w:rFonts w:cstheme="minorHAnsi"/>
                  <w:sz w:val="20"/>
                  <w:szCs w:val="20"/>
                </w:rPr>
                <w:t>https://www.umcs.pl/en/courses-in-english,21103.htm</w:t>
              </w:r>
            </w:hyperlink>
            <w:r w:rsidR="00B72C3F" w:rsidRPr="00C16322">
              <w:rPr>
                <w:rFonts w:cstheme="minorHAnsi"/>
                <w:sz w:val="20"/>
                <w:szCs w:val="20"/>
              </w:rPr>
              <w:t xml:space="preserve"> </w:t>
            </w:r>
            <w:r w:rsidR="00C16322">
              <w:rPr>
                <w:rFonts w:cstheme="minorHAnsi"/>
                <w:sz w:val="20"/>
                <w:szCs w:val="20"/>
              </w:rPr>
              <w:br/>
            </w:r>
            <w:r w:rsidR="00C16322" w:rsidRPr="00C16322">
              <w:rPr>
                <w:rFonts w:cstheme="minorHAnsi"/>
                <w:bCs/>
                <w:sz w:val="20"/>
                <w:szCs w:val="20"/>
              </w:rPr>
              <w:t>(dla PJOE)</w:t>
            </w:r>
          </w:p>
        </w:tc>
      </w:tr>
      <w:tr w:rsidR="00FA6F83" w:rsidRPr="004A5506" w14:paraId="552A102F" w14:textId="77777777" w:rsidTr="00DD15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2D" w14:textId="77777777" w:rsidR="00FA6F83" w:rsidRPr="003D1DA3" w:rsidRDefault="00FA6F83" w:rsidP="00FA6F8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Educational outcomes verification methods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EF2" w14:textId="7D26A12A" w:rsidR="000F5A36" w:rsidRPr="000F5A36" w:rsidRDefault="000F5A36" w:rsidP="000F5A3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5A36">
              <w:rPr>
                <w:rFonts w:cstheme="minorHAnsi"/>
                <w:sz w:val="20"/>
                <w:szCs w:val="20"/>
                <w:lang w:val="en-US"/>
              </w:rPr>
              <w:t xml:space="preserve">1. Attendance &amp; regular </w:t>
            </w:r>
            <w:proofErr w:type="spellStart"/>
            <w:r w:rsidRPr="000F5A36">
              <w:rPr>
                <w:rFonts w:cstheme="minorHAnsi"/>
                <w:sz w:val="20"/>
                <w:szCs w:val="20"/>
                <w:lang w:val="en-US"/>
              </w:rPr>
              <w:t>individal</w:t>
            </w:r>
            <w:proofErr w:type="spellEnd"/>
            <w:r w:rsidRPr="000F5A36">
              <w:rPr>
                <w:rFonts w:cstheme="minorHAnsi"/>
                <w:sz w:val="20"/>
                <w:szCs w:val="20"/>
                <w:lang w:val="en-US"/>
              </w:rPr>
              <w:t xml:space="preserve"> and group tasks (incl. home tasks)</w:t>
            </w:r>
          </w:p>
          <w:p w14:paraId="552A102E" w14:textId="2A103A54" w:rsidR="000F5A36" w:rsidRPr="00211FC7" w:rsidRDefault="000F5A36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5A36">
              <w:rPr>
                <w:rFonts w:cstheme="minorHAnsi"/>
                <w:sz w:val="20"/>
                <w:szCs w:val="20"/>
                <w:lang w:val="en-US"/>
              </w:rPr>
              <w:t>2. Oral exam at the end of the course</w:t>
            </w:r>
          </w:p>
        </w:tc>
      </w:tr>
      <w:tr w:rsidR="00DD1534" w:rsidRPr="00A76008" w14:paraId="552A1032" w14:textId="77777777" w:rsidTr="00DD15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30" w14:textId="77777777" w:rsidR="00DD1534" w:rsidRPr="003D1DA3" w:rsidRDefault="00DD153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31" w14:textId="77777777" w:rsidR="00DD1534" w:rsidRPr="00A76008" w:rsidRDefault="00DD153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C36BD" w:rsidRPr="004A5506" w14:paraId="552A1039" w14:textId="77777777" w:rsidTr="00DD15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33" w14:textId="77777777" w:rsidR="00BC36BD" w:rsidRPr="003D1DA3" w:rsidRDefault="00BC36BD" w:rsidP="00BC36BD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Reading list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C63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BASIC READING</w:t>
            </w:r>
          </w:p>
          <w:p w14:paraId="4139E0DF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1. O'Sullivan, A. (2007). Urban economics. McGraw-Hill/Irwin</w:t>
            </w:r>
          </w:p>
          <w:p w14:paraId="6474999C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835E444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2. Brueckner, J. K. (2011). Lectures on urban economics. MIT Press</w:t>
            </w:r>
          </w:p>
          <w:p w14:paraId="7682E26F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635C572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FURTHER READING</w:t>
            </w:r>
          </w:p>
          <w:p w14:paraId="27E4697A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3. Glaeser, E. (2011) Triumph of the City, How Our Greatest Invention Makes Us Richer, Smarter, Greener, Healthier and Happier, The Penguin Press [USA], London.</w:t>
            </w:r>
          </w:p>
          <w:p w14:paraId="00AF369B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CCE7E25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4. Urban Economic Challenges and the New Urban Agenda (2017), UN&amp;HABITAT.</w:t>
            </w:r>
          </w:p>
          <w:p w14:paraId="78CA473A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31B760F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 xml:space="preserve">5. Handbook of Sustainable Urban Development Strategies (2020), Fioretti, C., </w:t>
            </w:r>
            <w:proofErr w:type="spellStart"/>
            <w:r w:rsidRPr="00984CEB">
              <w:rPr>
                <w:rFonts w:cstheme="minorHAnsi"/>
                <w:sz w:val="20"/>
                <w:szCs w:val="20"/>
                <w:lang w:val="en-US"/>
              </w:rPr>
              <w:t>Pertoldi</w:t>
            </w:r>
            <w:proofErr w:type="spellEnd"/>
            <w:r w:rsidRPr="00984CEB">
              <w:rPr>
                <w:rFonts w:cstheme="minorHAnsi"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984CEB">
              <w:rPr>
                <w:rFonts w:cstheme="minorHAnsi"/>
                <w:sz w:val="20"/>
                <w:szCs w:val="20"/>
                <w:lang w:val="en-US"/>
              </w:rPr>
              <w:t>Busti</w:t>
            </w:r>
            <w:proofErr w:type="spellEnd"/>
            <w:r w:rsidRPr="00984CEB">
              <w:rPr>
                <w:rFonts w:cstheme="minorHAnsi"/>
                <w:sz w:val="20"/>
                <w:szCs w:val="20"/>
                <w:lang w:val="en-US"/>
              </w:rPr>
              <w:t>, M. and Van Heerden, S. editor(s), EUR 29990 EN, Publications Office of the European Union, Luxembourg.</w:t>
            </w:r>
          </w:p>
          <w:p w14:paraId="4F8CC5D6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68E78E9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5506">
              <w:rPr>
                <w:rFonts w:cstheme="minorHAnsi"/>
                <w:sz w:val="20"/>
                <w:szCs w:val="20"/>
                <w:lang w:val="de-DE"/>
              </w:rPr>
              <w:t xml:space="preserve">6. Albino, V., Berardi, U., &amp; </w:t>
            </w:r>
            <w:proofErr w:type="spellStart"/>
            <w:r w:rsidRPr="004A5506">
              <w:rPr>
                <w:rFonts w:cstheme="minorHAnsi"/>
                <w:sz w:val="20"/>
                <w:szCs w:val="20"/>
                <w:lang w:val="de-DE"/>
              </w:rPr>
              <w:t>Dangelico</w:t>
            </w:r>
            <w:proofErr w:type="spellEnd"/>
            <w:r w:rsidRPr="004A5506">
              <w:rPr>
                <w:rFonts w:cstheme="minorHAnsi"/>
                <w:sz w:val="20"/>
                <w:szCs w:val="20"/>
                <w:lang w:val="de-DE"/>
              </w:rPr>
              <w:t xml:space="preserve">, R. M. (2015). </w:t>
            </w:r>
            <w:r w:rsidRPr="00984CEB">
              <w:rPr>
                <w:rFonts w:cstheme="minorHAnsi"/>
                <w:sz w:val="20"/>
                <w:szCs w:val="20"/>
                <w:lang w:val="en-US"/>
              </w:rPr>
              <w:t>Smart cities: Definitions, dimensions, performance, and initiatives. Journal of urban technology, 22(1), 3-21.</w:t>
            </w:r>
          </w:p>
          <w:p w14:paraId="02C16F25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1D19284" w14:textId="77777777" w:rsidR="00BC36BD" w:rsidRPr="00984CEB" w:rsidRDefault="00BC36BD" w:rsidP="00527CF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7. Dijkstra, L., Garcilazo, E., &amp; McCann, P. (2013). The economic performance of European cities and city regions: Myths and realities. European Planning Studies, 21(3), 334-354.</w:t>
            </w:r>
          </w:p>
          <w:p w14:paraId="6FEEB502" w14:textId="77777777" w:rsidR="00BC36BD" w:rsidRPr="00984CEB" w:rsidRDefault="00BC36BD" w:rsidP="00BC36BD">
            <w:pPr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552A1038" w14:textId="3C456E37" w:rsidR="00BC36BD" w:rsidRPr="004A5506" w:rsidRDefault="00BC36BD" w:rsidP="00BC36BD">
            <w:pPr>
              <w:rPr>
                <w:rFonts w:cstheme="minorHAnsi"/>
                <w:sz w:val="20"/>
                <w:szCs w:val="20"/>
              </w:rPr>
            </w:pPr>
            <w:r w:rsidRPr="004A5506">
              <w:rPr>
                <w:rFonts w:cstheme="minorHAnsi"/>
                <w:sz w:val="20"/>
                <w:szCs w:val="20"/>
              </w:rPr>
              <w:t xml:space="preserve">8. EUROSTAT, </w:t>
            </w:r>
            <w:hyperlink r:id="rId11" w:history="1">
              <w:r w:rsidRPr="004A5506">
                <w:rPr>
                  <w:rFonts w:cstheme="minorHAnsi"/>
                  <w:sz w:val="20"/>
                  <w:szCs w:val="20"/>
                </w:rPr>
                <w:t>https://ec.europa.eu/eurostat/web/regions-and-cities</w:t>
              </w:r>
            </w:hyperlink>
            <w:r w:rsidR="004A5506" w:rsidRPr="004A550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C36BD" w:rsidRPr="004A5506" w14:paraId="552A103E" w14:textId="77777777" w:rsidTr="00DD15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3A" w14:textId="77777777" w:rsidR="00BC36BD" w:rsidRPr="003D1DA3" w:rsidRDefault="00BC36BD" w:rsidP="00BC36BD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Educational outcomes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3C9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KNOWLEDGE</w:t>
            </w:r>
          </w:p>
          <w:p w14:paraId="6568C812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FD04143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 xml:space="preserve">1. Students understand the economic drivers of </w:t>
            </w:r>
            <w:proofErr w:type="spellStart"/>
            <w:r w:rsidRPr="00984CEB">
              <w:rPr>
                <w:rFonts w:cstheme="minorHAnsi"/>
                <w:sz w:val="20"/>
                <w:szCs w:val="20"/>
                <w:lang w:val="en-US"/>
              </w:rPr>
              <w:t>urbanisation</w:t>
            </w:r>
            <w:proofErr w:type="spellEnd"/>
            <w:r w:rsidRPr="00984CEB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364A8AA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7A76F60" w14:textId="6A7807E9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 xml:space="preserve">2. Students explain economic functions modern cities fulfil, including their role as business location and innovation </w:t>
            </w:r>
            <w:r w:rsidR="00984CEB" w:rsidRPr="00984CEB">
              <w:rPr>
                <w:rFonts w:cstheme="minorHAnsi"/>
                <w:sz w:val="20"/>
                <w:szCs w:val="20"/>
                <w:lang w:val="en-US"/>
              </w:rPr>
              <w:t>centers</w:t>
            </w:r>
            <w:r w:rsidRPr="00984CEB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D68AC2F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3A28015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3. Students present key challenges cities face from the perspective of sustainable development.</w:t>
            </w:r>
          </w:p>
          <w:p w14:paraId="6C188CF4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4E458FE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4. Students describe the elements of a smart city.</w:t>
            </w:r>
          </w:p>
          <w:p w14:paraId="4736AE90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7D39D30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SKILLS</w:t>
            </w:r>
          </w:p>
          <w:p w14:paraId="2C41E9DE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7B5C2A9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1. Students evaluate urban policies for their sustainability and smartness, providing their own examples of good practices.</w:t>
            </w:r>
          </w:p>
          <w:p w14:paraId="12F9C582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31AC64D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 xml:space="preserve">2. Students access and </w:t>
            </w:r>
            <w:proofErr w:type="spellStart"/>
            <w:r w:rsidRPr="00984CEB">
              <w:rPr>
                <w:rFonts w:cstheme="minorHAnsi"/>
                <w:sz w:val="20"/>
                <w:szCs w:val="20"/>
                <w:lang w:val="en-US"/>
              </w:rPr>
              <w:t>analyse</w:t>
            </w:r>
            <w:proofErr w:type="spellEnd"/>
            <w:r w:rsidRPr="00984CEB">
              <w:rPr>
                <w:rFonts w:cstheme="minorHAnsi"/>
                <w:sz w:val="20"/>
                <w:szCs w:val="20"/>
                <w:lang w:val="en-US"/>
              </w:rPr>
              <w:t xml:space="preserve"> urban data to evaluate and formulate ideas for urban strategies.</w:t>
            </w:r>
          </w:p>
          <w:p w14:paraId="053622B0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8DD5B96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ATTITUDES</w:t>
            </w:r>
          </w:p>
          <w:p w14:paraId="2F0F2BF6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416451F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1. Students become aware of challenges to urban economics and are motivated to help resolve some arising problems in everyday activities and choices</w:t>
            </w:r>
          </w:p>
          <w:p w14:paraId="15669E6A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52A103D" w14:textId="1CD80E91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2. Students reflect critically on the quality of life in their home cities.</w:t>
            </w:r>
          </w:p>
        </w:tc>
      </w:tr>
      <w:tr w:rsidR="00BC36BD" w:rsidRPr="004A5506" w14:paraId="552A1047" w14:textId="77777777" w:rsidTr="00DD15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3F" w14:textId="77777777" w:rsidR="00BC36BD" w:rsidRPr="003D1DA3" w:rsidRDefault="00BC36BD" w:rsidP="00BC36BD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lastRenderedPageBreak/>
              <w:t>A list of topics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60A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 xml:space="preserve"> BLOCK 1 [P. Maleszyk]</w:t>
            </w:r>
          </w:p>
          <w:p w14:paraId="2545B2D3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Key definitions and theoretical concepts</w:t>
            </w:r>
          </w:p>
          <w:p w14:paraId="7DE9FF6C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The economic dimension of urban development: why do cities exist and grow? externalities, business location decisions, urban specializations.</w:t>
            </w:r>
          </w:p>
          <w:p w14:paraId="14F8C9F9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7691320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BLOCK 2 [P. Wetoszka]</w:t>
            </w:r>
          </w:p>
          <w:p w14:paraId="050F78E9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 xml:space="preserve">Sustainable development and cities: </w:t>
            </w:r>
          </w:p>
          <w:p w14:paraId="3D9E44A8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The social dimension of development</w:t>
            </w:r>
          </w:p>
          <w:p w14:paraId="7BBCBBD7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The environmental dimension of development</w:t>
            </w:r>
          </w:p>
          <w:p w14:paraId="127F2D01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3EE499E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BLOCK 3 [P. Wetoszka]</w:t>
            </w:r>
          </w:p>
          <w:p w14:paraId="578B0C76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Smart city, smart city dimensions and case studies</w:t>
            </w:r>
          </w:p>
          <w:p w14:paraId="0C69F173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New developments in urban infrastructure</w:t>
            </w:r>
          </w:p>
          <w:p w14:paraId="57606F70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9A01167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BLOCK 4 [P. Maleszyk]</w:t>
            </w:r>
          </w:p>
          <w:p w14:paraId="7CC85D9A" w14:textId="0C1DCBA3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Urban data</w:t>
            </w:r>
            <w:r w:rsidR="00984CEB" w:rsidRPr="00984C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984CEB">
              <w:rPr>
                <w:rFonts w:cstheme="minorHAnsi"/>
                <w:sz w:val="20"/>
                <w:szCs w:val="20"/>
                <w:lang w:val="en-US"/>
              </w:rPr>
              <w:t>&amp;</w:t>
            </w:r>
            <w:r w:rsidR="00984CEB" w:rsidRPr="00984C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984CEB">
              <w:rPr>
                <w:rFonts w:cstheme="minorHAnsi"/>
                <w:sz w:val="20"/>
                <w:szCs w:val="20"/>
                <w:lang w:val="en-US"/>
              </w:rPr>
              <w:t>indicators</w:t>
            </w:r>
          </w:p>
          <w:p w14:paraId="2DBBDE33" w14:textId="77777777" w:rsidR="00BC36BD" w:rsidRPr="00984CEB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Urban governance</w:t>
            </w:r>
          </w:p>
          <w:p w14:paraId="552A1046" w14:textId="1B480ABE" w:rsidR="00BC36BD" w:rsidRPr="00EB396A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4CEB">
              <w:rPr>
                <w:rFonts w:cstheme="minorHAnsi"/>
                <w:sz w:val="20"/>
                <w:szCs w:val="20"/>
                <w:lang w:val="en-US"/>
              </w:rPr>
              <w:t>New urban challenges and policy responses (urban agenda)</w:t>
            </w:r>
          </w:p>
        </w:tc>
      </w:tr>
      <w:tr w:rsidR="00BC36BD" w:rsidRPr="004A5506" w14:paraId="552A104A" w14:textId="77777777" w:rsidTr="00DD15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48" w14:textId="77777777" w:rsidR="00BC36BD" w:rsidRPr="003D1DA3" w:rsidRDefault="00BC36BD" w:rsidP="00BC36BD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511" w14:textId="77777777" w:rsidR="00BC36BD" w:rsidRPr="0022291D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2291D">
              <w:rPr>
                <w:rFonts w:cstheme="minorHAnsi"/>
                <w:sz w:val="20"/>
                <w:szCs w:val="20"/>
                <w:lang w:val="en-US"/>
              </w:rPr>
              <w:t>Informative and problem-based lectures</w:t>
            </w:r>
          </w:p>
          <w:p w14:paraId="552A1049" w14:textId="28CF2549" w:rsidR="00BC36BD" w:rsidRPr="00A76008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2291D">
              <w:rPr>
                <w:rFonts w:cstheme="minorHAnsi"/>
                <w:sz w:val="20"/>
                <w:szCs w:val="20"/>
                <w:lang w:val="en-US"/>
              </w:rPr>
              <w:t xml:space="preserve">Case-studies with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individual &amp; </w:t>
            </w:r>
            <w:r w:rsidRPr="0022291D">
              <w:rPr>
                <w:rFonts w:cstheme="minorHAnsi"/>
                <w:sz w:val="20"/>
                <w:szCs w:val="20"/>
                <w:lang w:val="en-US"/>
              </w:rPr>
              <w:t>group work and discussions</w:t>
            </w:r>
          </w:p>
        </w:tc>
      </w:tr>
      <w:tr w:rsidR="00BC36BD" w:rsidRPr="00A76008" w14:paraId="552A104F" w14:textId="77777777" w:rsidTr="00DD15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04B" w14:textId="77777777" w:rsidR="00BC36BD" w:rsidRPr="003D1DA3" w:rsidRDefault="00BC36BD" w:rsidP="00BC36BD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D1DA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3CF" w14:textId="5DACF1FC" w:rsidR="00BC36BD" w:rsidRPr="000F5A36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5A36">
              <w:rPr>
                <w:rFonts w:cstheme="minorHAnsi"/>
                <w:sz w:val="20"/>
                <w:szCs w:val="20"/>
                <w:lang w:val="en-US"/>
              </w:rPr>
              <w:t xml:space="preserve">1. Attendance &amp; regular </w:t>
            </w:r>
            <w:r w:rsidR="00984CEB" w:rsidRPr="000F5A36">
              <w:rPr>
                <w:rFonts w:cstheme="minorHAnsi"/>
                <w:sz w:val="20"/>
                <w:szCs w:val="20"/>
                <w:lang w:val="en-US"/>
              </w:rPr>
              <w:t>individual</w:t>
            </w:r>
            <w:r w:rsidRPr="000F5A36">
              <w:rPr>
                <w:rFonts w:cstheme="minorHAnsi"/>
                <w:sz w:val="20"/>
                <w:szCs w:val="20"/>
                <w:lang w:val="en-US"/>
              </w:rPr>
              <w:t xml:space="preserve"> and group tasks (incl. home tasks)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[up to 50 points]</w:t>
            </w:r>
          </w:p>
          <w:p w14:paraId="7E7E4356" w14:textId="77777777" w:rsidR="00BC36BD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5A36">
              <w:rPr>
                <w:rFonts w:cstheme="minorHAnsi"/>
                <w:sz w:val="20"/>
                <w:szCs w:val="20"/>
                <w:lang w:val="en-US"/>
              </w:rPr>
              <w:t xml:space="preserve">2. Oral exam at the end of the course </w:t>
            </w:r>
            <w:r>
              <w:rPr>
                <w:rFonts w:cstheme="minorHAnsi"/>
                <w:sz w:val="20"/>
                <w:szCs w:val="20"/>
                <w:lang w:val="en-US"/>
              </w:rPr>
              <w:t>[up to 50 points]</w:t>
            </w:r>
          </w:p>
          <w:p w14:paraId="4CEA43F6" w14:textId="77777777" w:rsidR="00BC36BD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23E08D0" w14:textId="77777777" w:rsidR="00BC36BD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Grading scale:</w:t>
            </w:r>
          </w:p>
          <w:p w14:paraId="30E4E23D" w14:textId="77777777" w:rsidR="00BC36BD" w:rsidRPr="00211FC7" w:rsidRDefault="00BC36BD" w:rsidP="00BC36BD">
            <w:pPr>
              <w:pStyle w:val="NormalnyWeb"/>
              <w:spacing w:before="0" w:beforeAutospacing="0" w:after="90" w:afterAutospacing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211FC7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5,0 - 90 points and above</w:t>
            </w:r>
          </w:p>
          <w:p w14:paraId="57C80D5C" w14:textId="77777777" w:rsidR="00BC36BD" w:rsidRPr="00211FC7" w:rsidRDefault="00BC36BD" w:rsidP="00BC36BD">
            <w:pPr>
              <w:pStyle w:val="NormalnyWeb"/>
              <w:spacing w:before="0" w:beforeAutospacing="0" w:after="90" w:afterAutospacing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211FC7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4,5 - 80 - 89 points,</w:t>
            </w:r>
          </w:p>
          <w:p w14:paraId="30B55C0A" w14:textId="77777777" w:rsidR="00BC36BD" w:rsidRPr="00211FC7" w:rsidRDefault="00BC36BD" w:rsidP="00BC36BD">
            <w:pPr>
              <w:pStyle w:val="NormalnyWeb"/>
              <w:spacing w:before="0" w:beforeAutospacing="0" w:after="90" w:afterAutospacing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211FC7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4,0 - 70 – 79 points,</w:t>
            </w:r>
          </w:p>
          <w:p w14:paraId="3898A867" w14:textId="77777777" w:rsidR="00BC36BD" w:rsidRPr="00211FC7" w:rsidRDefault="00BC36BD" w:rsidP="00BC36BD">
            <w:pPr>
              <w:pStyle w:val="NormalnyWeb"/>
              <w:spacing w:before="0" w:beforeAutospacing="0" w:after="90" w:afterAutospacing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211FC7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3,5 - 60 – 69 points,</w:t>
            </w:r>
          </w:p>
          <w:p w14:paraId="552A104E" w14:textId="538136CE" w:rsidR="00BC36BD" w:rsidRPr="00A76008" w:rsidRDefault="00BC36BD" w:rsidP="00BC36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11FC7">
              <w:rPr>
                <w:rFonts w:cstheme="minorHAnsi"/>
                <w:sz w:val="20"/>
                <w:szCs w:val="20"/>
                <w:lang w:val="en-US"/>
              </w:rPr>
              <w:t>3,0 - 5</w:t>
            </w: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211FC7">
              <w:rPr>
                <w:rFonts w:cstheme="minorHAnsi"/>
                <w:sz w:val="20"/>
                <w:szCs w:val="20"/>
                <w:lang w:val="en-US"/>
              </w:rPr>
              <w:t xml:space="preserve"> – 59 points.</w:t>
            </w:r>
          </w:p>
        </w:tc>
      </w:tr>
    </w:tbl>
    <w:p w14:paraId="552A1050" w14:textId="77777777" w:rsidR="00D055F6" w:rsidRPr="00A76008" w:rsidRDefault="00D055F6">
      <w:pPr>
        <w:rPr>
          <w:rFonts w:cstheme="minorHAnsi"/>
          <w:sz w:val="20"/>
          <w:szCs w:val="20"/>
          <w:lang w:val="en-US"/>
        </w:rPr>
      </w:pPr>
    </w:p>
    <w:sectPr w:rsidR="00D055F6" w:rsidRPr="00A76008" w:rsidSect="00A76008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35C4" w14:textId="77777777" w:rsidR="009661FF" w:rsidRDefault="009661FF" w:rsidP="006E7390">
      <w:pPr>
        <w:spacing w:after="0" w:line="240" w:lineRule="auto"/>
      </w:pPr>
      <w:r>
        <w:separator/>
      </w:r>
    </w:p>
  </w:endnote>
  <w:endnote w:type="continuationSeparator" w:id="0">
    <w:p w14:paraId="0EE49B0F" w14:textId="77777777" w:rsidR="009661FF" w:rsidRDefault="009661FF" w:rsidP="006E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8983" w14:textId="77777777" w:rsidR="009661FF" w:rsidRDefault="009661FF" w:rsidP="006E7390">
      <w:pPr>
        <w:spacing w:after="0" w:line="240" w:lineRule="auto"/>
      </w:pPr>
      <w:r>
        <w:separator/>
      </w:r>
    </w:p>
  </w:footnote>
  <w:footnote w:type="continuationSeparator" w:id="0">
    <w:p w14:paraId="580F1B8B" w14:textId="77777777" w:rsidR="009661FF" w:rsidRDefault="009661FF" w:rsidP="006E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1AC"/>
    <w:multiLevelType w:val="hybridMultilevel"/>
    <w:tmpl w:val="D642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C05"/>
    <w:multiLevelType w:val="hybridMultilevel"/>
    <w:tmpl w:val="F5CAD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0C4"/>
    <w:multiLevelType w:val="multilevel"/>
    <w:tmpl w:val="804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21FC6"/>
    <w:multiLevelType w:val="hybridMultilevel"/>
    <w:tmpl w:val="2C6EC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77C3"/>
    <w:multiLevelType w:val="hybridMultilevel"/>
    <w:tmpl w:val="2016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375"/>
    <w:multiLevelType w:val="hybridMultilevel"/>
    <w:tmpl w:val="42984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179C"/>
    <w:multiLevelType w:val="hybridMultilevel"/>
    <w:tmpl w:val="51CE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D373E"/>
    <w:multiLevelType w:val="multilevel"/>
    <w:tmpl w:val="804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63B24"/>
    <w:multiLevelType w:val="hybridMultilevel"/>
    <w:tmpl w:val="FB603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A2A05"/>
    <w:multiLevelType w:val="hybridMultilevel"/>
    <w:tmpl w:val="55DA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F1C70"/>
    <w:multiLevelType w:val="multilevel"/>
    <w:tmpl w:val="26F4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50826"/>
    <w:multiLevelType w:val="hybridMultilevel"/>
    <w:tmpl w:val="A2AA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F116F"/>
    <w:multiLevelType w:val="hybridMultilevel"/>
    <w:tmpl w:val="958CC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B388D"/>
    <w:multiLevelType w:val="multilevel"/>
    <w:tmpl w:val="804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52DC9"/>
    <w:multiLevelType w:val="multilevel"/>
    <w:tmpl w:val="2E70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27222"/>
    <w:multiLevelType w:val="hybridMultilevel"/>
    <w:tmpl w:val="99A8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5D14"/>
    <w:multiLevelType w:val="multilevel"/>
    <w:tmpl w:val="804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10303"/>
    <w:multiLevelType w:val="multilevel"/>
    <w:tmpl w:val="64E4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B6A92"/>
    <w:multiLevelType w:val="hybridMultilevel"/>
    <w:tmpl w:val="F8FE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2"/>
  </w:num>
  <w:num w:numId="5">
    <w:abstractNumId w:val="17"/>
  </w:num>
  <w:num w:numId="6">
    <w:abstractNumId w:val="14"/>
  </w:num>
  <w:num w:numId="7">
    <w:abstractNumId w:val="10"/>
  </w:num>
  <w:num w:numId="8">
    <w:abstractNumId w:val="13"/>
  </w:num>
  <w:num w:numId="9">
    <w:abstractNumId w:val="7"/>
  </w:num>
  <w:num w:numId="10">
    <w:abstractNumId w:val="5"/>
  </w:num>
  <w:num w:numId="11">
    <w:abstractNumId w:val="18"/>
  </w:num>
  <w:num w:numId="12">
    <w:abstractNumId w:val="3"/>
  </w:num>
  <w:num w:numId="13">
    <w:abstractNumId w:val="12"/>
  </w:num>
  <w:num w:numId="14">
    <w:abstractNumId w:val="0"/>
  </w:num>
  <w:num w:numId="15">
    <w:abstractNumId w:val="8"/>
  </w:num>
  <w:num w:numId="16">
    <w:abstractNumId w:val="9"/>
  </w:num>
  <w:num w:numId="17">
    <w:abstractNumId w:val="1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34"/>
    <w:rsid w:val="00050FC2"/>
    <w:rsid w:val="00061BB8"/>
    <w:rsid w:val="000C2FD8"/>
    <w:rsid w:val="000E6206"/>
    <w:rsid w:val="000F5A36"/>
    <w:rsid w:val="00156121"/>
    <w:rsid w:val="001843FB"/>
    <w:rsid w:val="001C2D1A"/>
    <w:rsid w:val="001E424A"/>
    <w:rsid w:val="00211FC7"/>
    <w:rsid w:val="00216ADF"/>
    <w:rsid w:val="002E3EE7"/>
    <w:rsid w:val="003233B4"/>
    <w:rsid w:val="00376BF8"/>
    <w:rsid w:val="003D1DA3"/>
    <w:rsid w:val="003E5E2B"/>
    <w:rsid w:val="00487710"/>
    <w:rsid w:val="004A5506"/>
    <w:rsid w:val="004D7065"/>
    <w:rsid w:val="0050630E"/>
    <w:rsid w:val="00527CFC"/>
    <w:rsid w:val="00544B72"/>
    <w:rsid w:val="00560D3B"/>
    <w:rsid w:val="005862CA"/>
    <w:rsid w:val="005F1CAD"/>
    <w:rsid w:val="00670459"/>
    <w:rsid w:val="00693951"/>
    <w:rsid w:val="006A6A42"/>
    <w:rsid w:val="006D36F2"/>
    <w:rsid w:val="006E7390"/>
    <w:rsid w:val="00716989"/>
    <w:rsid w:val="00735AA7"/>
    <w:rsid w:val="00754C7B"/>
    <w:rsid w:val="007A495E"/>
    <w:rsid w:val="00806345"/>
    <w:rsid w:val="008D113F"/>
    <w:rsid w:val="00961677"/>
    <w:rsid w:val="009661FF"/>
    <w:rsid w:val="00984CEB"/>
    <w:rsid w:val="009C378A"/>
    <w:rsid w:val="009E034D"/>
    <w:rsid w:val="00A01276"/>
    <w:rsid w:val="00A31D4C"/>
    <w:rsid w:val="00A4414B"/>
    <w:rsid w:val="00A55BB8"/>
    <w:rsid w:val="00A76008"/>
    <w:rsid w:val="00AD176F"/>
    <w:rsid w:val="00B03010"/>
    <w:rsid w:val="00B4286C"/>
    <w:rsid w:val="00B663F1"/>
    <w:rsid w:val="00B72C3F"/>
    <w:rsid w:val="00B924CD"/>
    <w:rsid w:val="00BA02F8"/>
    <w:rsid w:val="00BC36BD"/>
    <w:rsid w:val="00C16322"/>
    <w:rsid w:val="00C31C17"/>
    <w:rsid w:val="00C6593B"/>
    <w:rsid w:val="00D055F6"/>
    <w:rsid w:val="00D503FD"/>
    <w:rsid w:val="00D52B9B"/>
    <w:rsid w:val="00DB1F45"/>
    <w:rsid w:val="00DD1534"/>
    <w:rsid w:val="00E022BE"/>
    <w:rsid w:val="00E51CC8"/>
    <w:rsid w:val="00EB396A"/>
    <w:rsid w:val="00ED2D78"/>
    <w:rsid w:val="00ED4704"/>
    <w:rsid w:val="00EE607D"/>
    <w:rsid w:val="00F01226"/>
    <w:rsid w:val="00F053C7"/>
    <w:rsid w:val="00FA6F83"/>
    <w:rsid w:val="00FD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0FF3"/>
  <w15:docId w15:val="{9895E88D-FD8D-4C36-BF24-EA05B9BF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1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15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36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39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862CA"/>
  </w:style>
  <w:style w:type="character" w:styleId="Hipercze">
    <w:name w:val="Hyperlink"/>
    <w:basedOn w:val="Domylnaczcionkaakapitu"/>
    <w:uiPriority w:val="99"/>
    <w:unhideWhenUsed/>
    <w:rsid w:val="009E034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C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1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cs.pl/en/courses-in-english-2021-2022,2158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web/regions-and-c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mcs.pl/en/courses-in-english,2110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regions-and-citi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66D1-2B65-4C85-8859-1D568725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Piotr Wetoszka</cp:lastModifiedBy>
  <cp:revision>4</cp:revision>
  <dcterms:created xsi:type="dcterms:W3CDTF">2022-04-01T17:28:00Z</dcterms:created>
  <dcterms:modified xsi:type="dcterms:W3CDTF">2022-04-05T11:57:00Z</dcterms:modified>
</cp:coreProperties>
</file>