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227"/>
        <w:gridCol w:w="6946"/>
      </w:tblGrid>
      <w:tr w:rsidR="001843FB" w:rsidRPr="00723875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B23608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5B6103" w:rsidRPr="00723875">
              <w:rPr>
                <w:rFonts w:cstheme="minorHAnsi"/>
                <w:bCs/>
                <w:sz w:val="20"/>
                <w:szCs w:val="20"/>
              </w:rPr>
              <w:t>r Kalina Grzesiuk</w:t>
            </w:r>
          </w:p>
        </w:tc>
      </w:tr>
      <w:tr w:rsidR="00754C7B" w:rsidRPr="00723875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C7B" w:rsidRPr="00723875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C7B" w:rsidRPr="00723875" w:rsidRDefault="00E51093" w:rsidP="005B6103">
            <w:pPr>
              <w:rPr>
                <w:rFonts w:cstheme="minorHAnsi"/>
                <w:bCs/>
                <w:sz w:val="20"/>
                <w:szCs w:val="20"/>
              </w:rPr>
            </w:pPr>
            <w:r w:rsidRPr="00723875">
              <w:rPr>
                <w:rFonts w:cstheme="minorHAnsi"/>
                <w:bCs/>
                <w:sz w:val="20"/>
                <w:szCs w:val="20"/>
              </w:rPr>
              <w:t>NIE</w:t>
            </w:r>
            <w:r w:rsidR="00754C7B" w:rsidRPr="0072387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843FB" w:rsidRPr="00723875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2387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1843FB" w:rsidP="005B6103">
            <w:pPr>
              <w:rPr>
                <w:rFonts w:cstheme="minorHAnsi"/>
                <w:bCs/>
                <w:sz w:val="20"/>
                <w:szCs w:val="20"/>
              </w:rPr>
            </w:pPr>
            <w:r w:rsidRPr="00723875">
              <w:rPr>
                <w:rFonts w:cstheme="minorHAnsi"/>
                <w:bCs/>
                <w:sz w:val="20"/>
                <w:szCs w:val="20"/>
              </w:rPr>
              <w:t xml:space="preserve">TAK </w:t>
            </w:r>
          </w:p>
        </w:tc>
      </w:tr>
      <w:tr w:rsidR="001843FB" w:rsidRPr="00723875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23875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23875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 w:rsidRPr="00723875">
              <w:rPr>
                <w:rFonts w:cstheme="minorHAnsi"/>
                <w:b/>
                <w:sz w:val="20"/>
                <w:szCs w:val="20"/>
              </w:rPr>
              <w:t xml:space="preserve"> (*</w:t>
            </w:r>
            <w:bookmarkStart w:id="0" w:name="_GoBack"/>
            <w:bookmarkEnd w:id="0"/>
            <w:r w:rsidR="00961677" w:rsidRPr="00723875">
              <w:rPr>
                <w:rFonts w:cstheme="minorHAnsi"/>
                <w:b/>
                <w:sz w:val="20"/>
                <w:szCs w:val="20"/>
              </w:rPr>
              <w:t>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E51093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23875">
              <w:rPr>
                <w:rFonts w:cstheme="minorHAnsi"/>
                <w:bCs/>
                <w:sz w:val="20"/>
                <w:szCs w:val="20"/>
              </w:rPr>
              <w:t>Nie dotyczy</w:t>
            </w:r>
          </w:p>
        </w:tc>
      </w:tr>
      <w:tr w:rsidR="001843FB" w:rsidRPr="00723875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 w:rsidRPr="00723875">
              <w:rPr>
                <w:rFonts w:cstheme="minorHAnsi"/>
                <w:b/>
                <w:sz w:val="20"/>
                <w:szCs w:val="20"/>
              </w:rPr>
              <w:t>2</w:t>
            </w:r>
            <w:r w:rsidRPr="00723875">
              <w:rPr>
                <w:rFonts w:cstheme="minorHAnsi"/>
                <w:b/>
                <w:sz w:val="20"/>
                <w:szCs w:val="20"/>
              </w:rPr>
              <w:t>/202</w:t>
            </w:r>
            <w:r w:rsidR="00D503FD" w:rsidRPr="0072387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23875"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:rsidR="001843FB" w:rsidRPr="00723875" w:rsidRDefault="00754C7B">
      <w:pPr>
        <w:rPr>
          <w:sz w:val="18"/>
          <w:szCs w:val="18"/>
        </w:rPr>
      </w:pPr>
      <w:r w:rsidRPr="00723875">
        <w:rPr>
          <w:sz w:val="18"/>
          <w:szCs w:val="18"/>
        </w:rPr>
        <w:t>* PJO – przedmiot w języku obcym dla studentów polskich / PJOE – przedmiot w języku obcym dla studentów Erasmus+</w:t>
      </w:r>
      <w:r w:rsidRPr="00723875">
        <w:rPr>
          <w:sz w:val="18"/>
          <w:szCs w:val="18"/>
        </w:rPr>
        <w:br/>
        <w:t>** zostawić właściwe</w:t>
      </w:r>
    </w:p>
    <w:p w:rsidR="00754C7B" w:rsidRPr="00723875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GB"/>
        </w:rPr>
      </w:pPr>
      <w:r w:rsidRPr="00723875">
        <w:rPr>
          <w:rFonts w:eastAsia="Times New Roman" w:cstheme="minorHAnsi"/>
          <w:sz w:val="20"/>
          <w:szCs w:val="20"/>
          <w:lang w:val="en-GB"/>
        </w:rPr>
        <w:t>BASIC INFORMATION ABOUT THE SUBJECT (INDEPENDENT OF THE CYCLE)</w:t>
      </w:r>
    </w:p>
    <w:tbl>
      <w:tblPr>
        <w:tblStyle w:val="Tabela-Siatka"/>
        <w:tblW w:w="0" w:type="auto"/>
        <w:tblLook w:val="04A0"/>
      </w:tblPr>
      <w:tblGrid>
        <w:gridCol w:w="3227"/>
        <w:gridCol w:w="6946"/>
      </w:tblGrid>
      <w:tr w:rsidR="001843FB" w:rsidRPr="00723875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B" w:rsidRPr="00723875" w:rsidRDefault="001843FB" w:rsidP="00762272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FB" w:rsidRPr="00723875" w:rsidRDefault="00053C49" w:rsidP="00762272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Corporate Social Responsibility</w:t>
            </w: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DD1534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DD1534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E51093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2" w:rsidRPr="00053C49" w:rsidRDefault="00E65E3C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053C49">
                <w:rPr>
                  <w:rStyle w:val="Hipercze"/>
                </w:rPr>
                <w:t>https://www.umcs.pl/en/courses-in-english-2021-2022,21582.htm</w:t>
              </w:r>
            </w:hyperlink>
            <w:r w:rsidR="00D503FD" w:rsidRPr="00053C49">
              <w:t xml:space="preserve"> </w:t>
            </w:r>
            <w:r w:rsidR="00C16322" w:rsidRPr="00053C49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053C49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E51093" w:rsidP="00053C49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Management Basics</w:t>
            </w:r>
            <w:r w:rsidR="007A2EA3">
              <w:rPr>
                <w:rFonts w:cstheme="minorHAnsi"/>
                <w:bCs/>
                <w:sz w:val="20"/>
                <w:szCs w:val="20"/>
                <w:lang w:val="en-GB"/>
              </w:rPr>
              <w:t xml:space="preserve">, </w:t>
            </w:r>
            <w:r w:rsidR="00053C49">
              <w:rPr>
                <w:rFonts w:cstheme="minorHAnsi"/>
                <w:bCs/>
                <w:sz w:val="20"/>
                <w:szCs w:val="20"/>
                <w:lang w:val="en-GB"/>
              </w:rPr>
              <w:t>Marketing Basics</w:t>
            </w:r>
          </w:p>
        </w:tc>
      </w:tr>
      <w:tr w:rsidR="00DD1534" w:rsidRPr="00053C49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B" w:rsidRPr="00723875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:rsidR="00A4414B" w:rsidRPr="00723875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:rsidR="00A4414B" w:rsidRPr="00723875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</w:p>
          <w:p w:rsidR="00DD1534" w:rsidRPr="00723875" w:rsidRDefault="00A4414B" w:rsidP="00A4414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053C49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E51093" w:rsidP="00E51093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case stud</w:t>
            </w:r>
            <w:r w:rsidR="00F71304">
              <w:rPr>
                <w:rFonts w:cstheme="minorHAnsi"/>
                <w:bCs/>
                <w:sz w:val="20"/>
                <w:szCs w:val="20"/>
                <w:lang w:val="en-GB"/>
              </w:rPr>
              <w:t>ies</w:t>
            </w:r>
          </w:p>
        </w:tc>
      </w:tr>
      <w:tr w:rsidR="00DD1534" w:rsidRPr="00053C49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723875" w:rsidP="00624DF2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This course covers the topic of </w:t>
            </w:r>
            <w:r w:rsidR="00053C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Corporate Social </w:t>
            </w:r>
            <w:r w:rsidR="00624DF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Responsibility (CSR). The starting point is introducing the concept of sustainability as a framework for CSR. Than the course follows with introduction to basic concepts of CSR (CSR pyramid, internal/external CSR). Next topics address CSR both in relation to three pillars of sustainability (social, environmental and economic) and selected areas of management (human resource management, marketing and strategic management).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This course integrates theoretical approach (lecture) and practical skills (case studies). It requires </w:t>
            </w:r>
            <w:r w:rsidR="00794D4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some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knowledge of principles of management</w:t>
            </w:r>
            <w:r w:rsidR="00FD373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and organizational behaviours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DD1534" w:rsidRPr="009E0678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8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Carroll, A. B., &amp; Brown, J. A. (2018). Corporate Social Responsibility: A Review of Current Concepts, Research, and Issues. In J. Weber &amp; W. D. (Eds.), Corporate Social Responsibility (pp. 39–69). </w:t>
            </w:r>
            <w:hyperlink r:id="rId9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https://doi.org/10.1108/s2514-175920180000002002</w:t>
              </w:r>
            </w:hyperlink>
          </w:p>
          <w:p w:rsidR="009E0678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Wagner-Tsukamoto, S., &amp; Le, L. (2018). In Search of Ethics : From Carroll to Integrative CSR Economics In Search of Ethics : From Carroll to Integrative CSR Economics. Social Responsibility Journal, 1–29.</w:t>
            </w:r>
          </w:p>
          <w:p w:rsidR="009E0678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Xiao, M., Cooke, F. L.,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Xu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J., &amp;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Bian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H. (2020). To what extent is corporate social responsibility part of human resource management in the Chinese context? A review of literature and future research directions. Human Resource Management Review, 30(4), 100726. </w:t>
            </w:r>
            <w:hyperlink r:id="rId10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https://doi.org/10.1016/j.hrmr.2019.100726</w:t>
              </w:r>
            </w:hyperlink>
          </w:p>
          <w:p w:rsidR="009E0678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Macassa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G., McGrath, C.,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Tomaselli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G., &amp;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Buttigieg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S. C. (2021). Corporate social responsibility and internal stakeholders’ health and well-being in Europe: A systematic descriptive review. Health Promotion International, 36(3), 866–883. </w:t>
            </w:r>
            <w:hyperlink r:id="rId11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https://doi.org/10.1093/heapro/daaa071</w:t>
              </w:r>
            </w:hyperlink>
          </w:p>
          <w:p w:rsidR="005D3A49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ElAlfy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Palaschuk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N., El-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Bassiouny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D., Wilson, J., &amp; Weber, O. (2020). Scoping the evolution of corporate social responsibility (CSR) research in the sustainable development goals (SDGS) era.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Sustainability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Switzerland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), 12(14). </w:t>
            </w:r>
            <w:hyperlink r:id="rId12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https://doi.org/10.3390/su12145544</w:t>
              </w:r>
            </w:hyperlink>
          </w:p>
        </w:tc>
      </w:tr>
      <w:tr w:rsidR="00DD1534" w:rsidRPr="00053C49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Pr="00723875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</w:t>
            </w:r>
            <w:r w:rsidR="000C2FD8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</w:t>
            </w:r>
            <w:r w:rsidR="00271A3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knows and </w:t>
            </w:r>
            <w:r w:rsidR="009A04E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understands</w:t>
            </w:r>
          </w:p>
          <w:p w:rsidR="000C2FD8" w:rsidRDefault="009A04E1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Terms and theories of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Corporate Social </w:t>
            </w:r>
            <w:r w:rsidR="00012CD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Responsibility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relation to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lastRenderedPageBreak/>
              <w:t>sustainability and selected management areas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(K_W02)</w:t>
            </w:r>
          </w:p>
          <w:p w:rsidR="009A04E1" w:rsidRDefault="009A04E1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Characteristics of human beings as subjects of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strategies (K_W03)</w:t>
            </w:r>
          </w:p>
          <w:p w:rsidR="009A04E1" w:rsidRDefault="009A04E1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Basic methods, techniques and tools of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 strategies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 (K_W05)</w:t>
            </w:r>
          </w:p>
          <w:p w:rsidR="009A04E1" w:rsidRPr="00723875" w:rsidRDefault="009A04E1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Ethical standards in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creating CSR strategies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 (K_W07)</w:t>
            </w:r>
          </w:p>
          <w:p w:rsidR="000C2FD8" w:rsidRPr="00723875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  <w:r w:rsidR="009A04E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can</w:t>
            </w:r>
          </w:p>
          <w:p w:rsidR="000C2FD8" w:rsidRDefault="009A04E1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Use acquired knowledge in solving practical problems related to </w:t>
            </w:r>
            <w:r w:rsidR="00F713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 strategies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 (K_U01)</w:t>
            </w:r>
          </w:p>
          <w:p w:rsidR="009A04E1" w:rsidRPr="00723875" w:rsidRDefault="009A04E1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Resolve dilemmas related to </w:t>
            </w:r>
            <w:r w:rsidR="00F713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(K_U03)</w:t>
            </w:r>
          </w:p>
          <w:p w:rsidR="005862CA" w:rsidRPr="00723875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ATTITUDES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is ready to</w:t>
            </w:r>
          </w:p>
          <w:p w:rsidR="000C2FD8" w:rsidRPr="00B0706C" w:rsidRDefault="00F71304" w:rsidP="003233B4">
            <w:pPr>
              <w:pStyle w:val="Akapitzlist"/>
              <w:numPr>
                <w:ilvl w:val="0"/>
                <w:numId w:val="14"/>
              </w:numPr>
              <w:rPr>
                <w:rStyle w:val="q4iawc"/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Style w:val="q4iawc"/>
                <w:lang w:val="en-GB"/>
              </w:rPr>
              <w:t>R</w:t>
            </w:r>
            <w:r w:rsidR="00B0706C" w:rsidRPr="00053C49">
              <w:rPr>
                <w:rStyle w:val="q4iawc"/>
                <w:lang w:val="en-GB"/>
              </w:rPr>
              <w:t xml:space="preserve">ecognize the importance of expertise knowledge in solving problems related to </w:t>
            </w:r>
            <w:r>
              <w:rPr>
                <w:rStyle w:val="q4iawc"/>
                <w:lang w:val="en-GB"/>
              </w:rPr>
              <w:t>CSR</w:t>
            </w:r>
            <w:r w:rsidR="00B0706C" w:rsidRPr="00053C49">
              <w:rPr>
                <w:rStyle w:val="q4iawc"/>
                <w:lang w:val="en-GB"/>
              </w:rPr>
              <w:t xml:space="preserve"> in organisations (K_K02)</w:t>
            </w:r>
          </w:p>
          <w:p w:rsidR="00B0706C" w:rsidRDefault="00F71304" w:rsidP="003233B4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espect the rules of professional ethics related to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 (K_K07)</w:t>
            </w:r>
          </w:p>
          <w:p w:rsidR="00B0706C" w:rsidRPr="00723875" w:rsidRDefault="00F71304" w:rsidP="00F71304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onduct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 related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activities in a professional manner (K_K08)</w:t>
            </w: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1C2D1A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n/a</w:t>
            </w:r>
          </w:p>
        </w:tc>
      </w:tr>
    </w:tbl>
    <w:p w:rsidR="00DD1534" w:rsidRPr="00723875" w:rsidRDefault="00DD1534" w:rsidP="00DD1534">
      <w:pPr>
        <w:rPr>
          <w:rFonts w:cstheme="minorHAnsi"/>
          <w:sz w:val="20"/>
          <w:szCs w:val="20"/>
          <w:lang w:val="en-GB"/>
        </w:rPr>
      </w:pPr>
    </w:p>
    <w:p w:rsidR="000C2FD8" w:rsidRPr="00723875" w:rsidRDefault="000C2FD8">
      <w:pPr>
        <w:rPr>
          <w:rFonts w:eastAsia="Times New Roman" w:cstheme="minorHAnsi"/>
          <w:sz w:val="20"/>
          <w:szCs w:val="20"/>
          <w:lang w:val="en-GB"/>
        </w:rPr>
      </w:pPr>
      <w:r w:rsidRPr="00723875">
        <w:rPr>
          <w:rFonts w:cstheme="minorHAnsi"/>
          <w:lang w:val="en-GB"/>
        </w:rPr>
        <w:br w:type="page"/>
      </w:r>
    </w:p>
    <w:p w:rsidR="00DD1534" w:rsidRPr="00723875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GB"/>
        </w:rPr>
      </w:pPr>
      <w:r w:rsidRPr="00723875">
        <w:rPr>
          <w:rFonts w:asciiTheme="minorHAnsi" w:hAnsiTheme="minorHAnsi" w:cstheme="minorHAnsi"/>
          <w:lang w:val="en-GB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FA6F83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3" w:rsidRPr="00723875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83" w:rsidRPr="00053C49" w:rsidRDefault="00E65E3C" w:rsidP="00FA6F8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B72C3F" w:rsidRPr="00053C49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053C49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053C49">
              <w:rPr>
                <w:rFonts w:cstheme="minorHAnsi"/>
                <w:sz w:val="20"/>
                <w:szCs w:val="20"/>
              </w:rPr>
              <w:br/>
            </w:r>
            <w:r w:rsidR="00C16322" w:rsidRPr="00053C49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3" w:rsidRPr="00723875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83" w:rsidRPr="00723875" w:rsidRDefault="00600A48" w:rsidP="00F053C7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Case studies</w:t>
            </w:r>
          </w:p>
        </w:tc>
      </w:tr>
      <w:tr w:rsidR="00DD1534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DD153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23608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08" w:rsidRPr="00723875" w:rsidRDefault="00B23608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Carroll, A. B., &amp; Brown, J. A. (2018). Corporate Social Responsibility: A Review of Current Concepts, Research, and Issues. In J. Weber &amp; W. D. (Eds.), Corporate Social Responsibility (pp. 39–69). </w:t>
            </w:r>
            <w:hyperlink r:id="rId14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https://doi.org/10.1108/s2514-175920180000002002</w:t>
              </w:r>
            </w:hyperlink>
          </w:p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Wagner-Tsukamoto, S., &amp; Le, L. (2018). In Search of Ethics : From Carroll to Integrative CSR Economics In Search of Ethics : From Carroll to Integrative CSR Economics. Social Responsibility Journal, 1–29.</w:t>
            </w:r>
          </w:p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Xiao, M., Cooke, F. L.,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Xu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J., &amp;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Bian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H. (2020). To what extent is corporate social responsibility part of human resource management in the Chinese context? A review of literature and future research directions. Human Resource Management Review, 30(4), 100726. </w:t>
            </w:r>
            <w:hyperlink r:id="rId15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https://doi.org/10.1016/j.hrmr.2019.100726</w:t>
              </w:r>
            </w:hyperlink>
          </w:p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Macassa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G., McGrath, C.,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Tomaselli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G., &amp;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Buttigieg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S. C. (2021). Corporate social responsibility and internal stakeholders’ health and well-being in Europe: A systematic descriptive review. Health Promotion International, 36(3), 866–883. </w:t>
            </w:r>
            <w:hyperlink r:id="rId16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https://doi.org/10.1093/heapro/daaa071</w:t>
              </w:r>
            </w:hyperlink>
          </w:p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ElAlfy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Palaschuk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N., El-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Bassiouny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D., Wilson, J., &amp; Weber, O. (2020). Scoping the evolution of corporate social responsibility (CSR) research in the sustainable development goals (SDGS) era. Sustainability (Switzerland), 12(14). </w:t>
            </w:r>
            <w:hyperlink r:id="rId17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https://doi.org/10.3390/su12145544</w:t>
              </w:r>
            </w:hyperlink>
          </w:p>
        </w:tc>
      </w:tr>
      <w:tr w:rsidR="00600A48" w:rsidRPr="00600A4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48" w:rsidRPr="00723875" w:rsidRDefault="00600A48" w:rsidP="00B72C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8" w:rsidRPr="00723875" w:rsidRDefault="00600A48" w:rsidP="00EC4A6A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knows and understands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Terms and theories of Corporate Social Responsibility in relation to sustainability and selected management areas (K_W02)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Characteristics of human beings as subjects of CSR strategies (K_W03)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methods, techniques and tools of CSR strategies in organisations (K_W05)</w:t>
            </w:r>
          </w:p>
          <w:p w:rsidR="00600A48" w:rsidRPr="00723875" w:rsidRDefault="00600A48" w:rsidP="00600A4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Ethical standards in creating CSR strategies in organisations (K_W07)</w:t>
            </w:r>
          </w:p>
          <w:p w:rsidR="00600A48" w:rsidRPr="00723875" w:rsidRDefault="00600A48" w:rsidP="00EC4A6A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can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Use acquired knowledge in solving practical problems related to CSR strategies in organisations (K_U01)</w:t>
            </w:r>
          </w:p>
          <w:p w:rsidR="00600A48" w:rsidRPr="00723875" w:rsidRDefault="00600A48" w:rsidP="00600A48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Resolve dilemmas related to CSR in organisations (K_U03)</w:t>
            </w:r>
          </w:p>
          <w:p w:rsidR="00600A48" w:rsidRPr="00723875" w:rsidRDefault="00600A48" w:rsidP="00EC4A6A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ATTITUDES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is ready to</w:t>
            </w:r>
          </w:p>
          <w:p w:rsidR="00600A48" w:rsidRPr="00B0706C" w:rsidRDefault="00600A48" w:rsidP="00600A48">
            <w:pPr>
              <w:pStyle w:val="Akapitzlist"/>
              <w:numPr>
                <w:ilvl w:val="0"/>
                <w:numId w:val="14"/>
              </w:numPr>
              <w:rPr>
                <w:rStyle w:val="q4iawc"/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Style w:val="q4iawc"/>
                <w:lang w:val="en-GB"/>
              </w:rPr>
              <w:t>R</w:t>
            </w:r>
            <w:r w:rsidRPr="00053C49">
              <w:rPr>
                <w:rStyle w:val="q4iawc"/>
                <w:lang w:val="en-GB"/>
              </w:rPr>
              <w:t xml:space="preserve">ecognize the importance of expertise knowledge in solving problems related to </w:t>
            </w:r>
            <w:r>
              <w:rPr>
                <w:rStyle w:val="q4iawc"/>
                <w:lang w:val="en-GB"/>
              </w:rPr>
              <w:t>CSR</w:t>
            </w:r>
            <w:r w:rsidRPr="00053C49">
              <w:rPr>
                <w:rStyle w:val="q4iawc"/>
                <w:lang w:val="en-GB"/>
              </w:rPr>
              <w:t xml:space="preserve"> in organisations (K_K02)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Respect the rules of professional ethics related to CSR in organisations (K_K07)</w:t>
            </w:r>
          </w:p>
          <w:p w:rsidR="00600A48" w:rsidRPr="00723875" w:rsidRDefault="00600A48" w:rsidP="00600A48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Conduct CSR related activities in a professional manner (K_K08)</w:t>
            </w:r>
          </w:p>
        </w:tc>
      </w:tr>
      <w:tr w:rsidR="00B72C3F" w:rsidRPr="001269DC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3F" w:rsidRPr="00723875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C" w:rsidRPr="001269DC" w:rsidRDefault="00B72C3F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="001269DC">
              <w:rPr>
                <w:rFonts w:eastAsia="Times New Roman" w:cstheme="minorHAnsi"/>
                <w:sz w:val="20"/>
                <w:szCs w:val="20"/>
                <w:lang w:val="en-GB"/>
              </w:rPr>
              <w:t>I</w:t>
            </w:r>
            <w:r w:rsidR="001269D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ntroduction to CSR- the concept of sustainability</w:t>
            </w:r>
          </w:p>
          <w:p w:rsidR="001269DC" w:rsidRPr="001269DC" w:rsidRDefault="001269DC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lastRenderedPageBreak/>
              <w:t xml:space="preserve">introduction to basic concepts of CSR (CSR pyramid, internal/external CSR). </w:t>
            </w:r>
          </w:p>
          <w:p w:rsidR="001269DC" w:rsidRPr="001269DC" w:rsidRDefault="001269DC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 in relation to three pillars of sustainability (social, environmental and economic)</w:t>
            </w:r>
          </w:p>
          <w:p w:rsidR="001269DC" w:rsidRPr="001269DC" w:rsidRDefault="001269DC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CSR in relation to selected areas of management (human resource management, marketing and strategic management). </w:t>
            </w:r>
          </w:p>
          <w:p w:rsidR="00B72C3F" w:rsidRPr="00723875" w:rsidRDefault="001269DC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Summary of the course</w:t>
            </w:r>
          </w:p>
        </w:tc>
      </w:tr>
      <w:tr w:rsidR="004B717C" w:rsidRPr="004B717C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7C" w:rsidRPr="00723875" w:rsidRDefault="004B717C" w:rsidP="00B72C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C" w:rsidRPr="00723875" w:rsidRDefault="004B717C" w:rsidP="00EC4A6A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Interactive multimedia lecture, classroom discussion, case study</w:t>
            </w:r>
          </w:p>
        </w:tc>
      </w:tr>
      <w:tr w:rsidR="004B717C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7C" w:rsidRPr="00723875" w:rsidRDefault="004B717C" w:rsidP="00B72C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C" w:rsidRPr="00723875" w:rsidRDefault="004B717C" w:rsidP="00B72C3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Case studies’ evaluation</w:t>
            </w:r>
          </w:p>
        </w:tc>
      </w:tr>
    </w:tbl>
    <w:p w:rsidR="00D055F6" w:rsidRPr="00723875" w:rsidRDefault="00D055F6">
      <w:pPr>
        <w:rPr>
          <w:rFonts w:cstheme="minorHAnsi"/>
          <w:sz w:val="20"/>
          <w:szCs w:val="20"/>
          <w:lang w:val="en-GB"/>
        </w:rPr>
      </w:pPr>
    </w:p>
    <w:p w:rsidR="009E0678" w:rsidRPr="00723875" w:rsidRDefault="009E0678">
      <w:pPr>
        <w:rPr>
          <w:rFonts w:cstheme="minorHAnsi"/>
          <w:sz w:val="20"/>
          <w:szCs w:val="20"/>
          <w:lang w:val="en-GB"/>
        </w:rPr>
      </w:pPr>
    </w:p>
    <w:sectPr w:rsidR="009E0678" w:rsidRPr="00723875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29" w:rsidRDefault="002E5429" w:rsidP="006E7390">
      <w:pPr>
        <w:spacing w:after="0" w:line="240" w:lineRule="auto"/>
      </w:pPr>
      <w:r>
        <w:separator/>
      </w:r>
    </w:p>
  </w:endnote>
  <w:endnote w:type="continuationSeparator" w:id="0">
    <w:p w:rsidR="002E5429" w:rsidRDefault="002E5429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29" w:rsidRDefault="002E5429" w:rsidP="006E7390">
      <w:pPr>
        <w:spacing w:after="0" w:line="240" w:lineRule="auto"/>
      </w:pPr>
      <w:r>
        <w:separator/>
      </w:r>
    </w:p>
  </w:footnote>
  <w:footnote w:type="continuationSeparator" w:id="0">
    <w:p w:rsidR="002E5429" w:rsidRDefault="002E5429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47D6B"/>
    <w:multiLevelType w:val="hybridMultilevel"/>
    <w:tmpl w:val="A2EE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926C1"/>
    <w:multiLevelType w:val="hybridMultilevel"/>
    <w:tmpl w:val="0320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06114"/>
    <w:multiLevelType w:val="hybridMultilevel"/>
    <w:tmpl w:val="89983732"/>
    <w:lvl w:ilvl="0" w:tplc="D9868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C4782"/>
    <w:multiLevelType w:val="hybridMultilevel"/>
    <w:tmpl w:val="1398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D5794"/>
    <w:multiLevelType w:val="hybridMultilevel"/>
    <w:tmpl w:val="0320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75A"/>
    <w:multiLevelType w:val="hybridMultilevel"/>
    <w:tmpl w:val="3A842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20D7F"/>
    <w:multiLevelType w:val="hybridMultilevel"/>
    <w:tmpl w:val="E29E684A"/>
    <w:lvl w:ilvl="0" w:tplc="89A4E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2"/>
  </w:num>
  <w:num w:numId="5">
    <w:abstractNumId w:val="24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5"/>
  </w:num>
  <w:num w:numId="11">
    <w:abstractNumId w:val="25"/>
  </w:num>
  <w:num w:numId="12">
    <w:abstractNumId w:val="3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22"/>
  </w:num>
  <w:num w:numId="19">
    <w:abstractNumId w:val="4"/>
  </w:num>
  <w:num w:numId="20">
    <w:abstractNumId w:val="14"/>
  </w:num>
  <w:num w:numId="21">
    <w:abstractNumId w:val="17"/>
  </w:num>
  <w:num w:numId="22">
    <w:abstractNumId w:val="18"/>
  </w:num>
  <w:num w:numId="23">
    <w:abstractNumId w:val="8"/>
  </w:num>
  <w:num w:numId="24">
    <w:abstractNumId w:val="13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534"/>
    <w:rsid w:val="00012CDD"/>
    <w:rsid w:val="00050FC2"/>
    <w:rsid w:val="00053C49"/>
    <w:rsid w:val="00061BB8"/>
    <w:rsid w:val="000C2FD8"/>
    <w:rsid w:val="000E6206"/>
    <w:rsid w:val="001269DC"/>
    <w:rsid w:val="00156121"/>
    <w:rsid w:val="001843FB"/>
    <w:rsid w:val="001C2D1A"/>
    <w:rsid w:val="001E424A"/>
    <w:rsid w:val="00216ADF"/>
    <w:rsid w:val="00271698"/>
    <w:rsid w:val="00271A38"/>
    <w:rsid w:val="002E3EE7"/>
    <w:rsid w:val="002E5429"/>
    <w:rsid w:val="003233B4"/>
    <w:rsid w:val="003D1DA3"/>
    <w:rsid w:val="003E5E2B"/>
    <w:rsid w:val="00420378"/>
    <w:rsid w:val="00487710"/>
    <w:rsid w:val="004B717C"/>
    <w:rsid w:val="004D7065"/>
    <w:rsid w:val="0050630E"/>
    <w:rsid w:val="00544B72"/>
    <w:rsid w:val="00560D3B"/>
    <w:rsid w:val="005862CA"/>
    <w:rsid w:val="005B6103"/>
    <w:rsid w:val="005D3A49"/>
    <w:rsid w:val="005F1CAD"/>
    <w:rsid w:val="00600A48"/>
    <w:rsid w:val="00624DF2"/>
    <w:rsid w:val="00670459"/>
    <w:rsid w:val="00693951"/>
    <w:rsid w:val="006A6A42"/>
    <w:rsid w:val="006D36F2"/>
    <w:rsid w:val="006E7390"/>
    <w:rsid w:val="00716989"/>
    <w:rsid w:val="00723875"/>
    <w:rsid w:val="00735AA7"/>
    <w:rsid w:val="00754C7B"/>
    <w:rsid w:val="00794D48"/>
    <w:rsid w:val="007A2EA3"/>
    <w:rsid w:val="007A495E"/>
    <w:rsid w:val="00806345"/>
    <w:rsid w:val="008D113F"/>
    <w:rsid w:val="00961677"/>
    <w:rsid w:val="009A04E1"/>
    <w:rsid w:val="009A3668"/>
    <w:rsid w:val="009C378A"/>
    <w:rsid w:val="009E034D"/>
    <w:rsid w:val="009E0678"/>
    <w:rsid w:val="00A01276"/>
    <w:rsid w:val="00A4414B"/>
    <w:rsid w:val="00A55BB8"/>
    <w:rsid w:val="00A76008"/>
    <w:rsid w:val="00AD176F"/>
    <w:rsid w:val="00B03010"/>
    <w:rsid w:val="00B0706C"/>
    <w:rsid w:val="00B23608"/>
    <w:rsid w:val="00B72C3F"/>
    <w:rsid w:val="00BA02F8"/>
    <w:rsid w:val="00BC7884"/>
    <w:rsid w:val="00C16322"/>
    <w:rsid w:val="00C31C17"/>
    <w:rsid w:val="00C6593B"/>
    <w:rsid w:val="00D055F6"/>
    <w:rsid w:val="00D503FD"/>
    <w:rsid w:val="00D52B9B"/>
    <w:rsid w:val="00DB1F45"/>
    <w:rsid w:val="00DD1534"/>
    <w:rsid w:val="00E022BE"/>
    <w:rsid w:val="00E51093"/>
    <w:rsid w:val="00E65E3C"/>
    <w:rsid w:val="00ED4704"/>
    <w:rsid w:val="00EE607D"/>
    <w:rsid w:val="00F01226"/>
    <w:rsid w:val="00F053C7"/>
    <w:rsid w:val="00F71304"/>
    <w:rsid w:val="00FA6F83"/>
    <w:rsid w:val="00FD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610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D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4iawc">
    <w:name w:val="q4iawc"/>
    <w:basedOn w:val="Domylnaczcionkaakapitu"/>
    <w:rsid w:val="00B0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hyperlink" Target="https://www.umcs.pl/en/courses-in-english,21103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390/su12145544" TargetMode="External"/><Relationship Id="rId17" Type="http://schemas.openxmlformats.org/officeDocument/2006/relationships/hyperlink" Target="https://doi.org/10.3390/su121455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93/heapro/daaa0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heapro/daaa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hrmr.2019.100726" TargetMode="External"/><Relationship Id="rId10" Type="http://schemas.openxmlformats.org/officeDocument/2006/relationships/hyperlink" Target="https://doi.org/10.1016/j.hrmr.2019.1007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108/s2514-175920180000002002" TargetMode="External"/><Relationship Id="rId14" Type="http://schemas.openxmlformats.org/officeDocument/2006/relationships/hyperlink" Target="https://doi.org/10.1108/s2514-1759201800000020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B580-49E4-4B75-BCC7-4734E3C8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Kalina Grzesiuk</cp:lastModifiedBy>
  <cp:revision>9</cp:revision>
  <dcterms:created xsi:type="dcterms:W3CDTF">2022-04-13T13:37:00Z</dcterms:created>
  <dcterms:modified xsi:type="dcterms:W3CDTF">2022-04-13T15:13:00Z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http://www.zotero.org/styles/energies</vt:lpwstr>
  </property>
  <property fmtid="{D5CDD505-2E9C-101B-9397-08002B2CF9AE}" pid="13" name="Mendeley Recent Style Name 5_1">
    <vt:lpwstr>Energies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759850fa-2554-320c-a133-805ba9e66eb2</vt:lpwstr>
  </property>
</Properties>
</file>