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2B24" w14:textId="4855444C" w:rsidR="001D086F" w:rsidRPr="00B55C9E" w:rsidRDefault="001D086F" w:rsidP="001D0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 xml:space="preserve">Załącznik numer 1 do uchwały nr…./…/ 2019 Rady Naukowej Instytutu Historii UMCS w Lublinie z dnia </w:t>
      </w:r>
      <w:bookmarkStart w:id="0" w:name="_GoBack"/>
      <w:r w:rsidRPr="00B55C9E">
        <w:rPr>
          <w:rFonts w:ascii="Times New Roman" w:hAnsi="Times New Roman" w:cs="Times New Roman"/>
          <w:b/>
          <w:sz w:val="24"/>
          <w:szCs w:val="24"/>
        </w:rPr>
        <w:t>27 listopada 2019 roku w sprawie przyjęcia strategii rozwoju dyscypliny historia w Instytucie Historii UMCS</w:t>
      </w:r>
    </w:p>
    <w:p w14:paraId="1D6F6B33" w14:textId="2B180AA6" w:rsidR="001D086F" w:rsidRPr="00B55C9E" w:rsidRDefault="001D086F" w:rsidP="001D0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446CC" w14:textId="39A1AD3C" w:rsidR="00BF5009" w:rsidRPr="00B55C9E" w:rsidRDefault="00BF5009" w:rsidP="001D0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STATEGIA I PLANY ROZWOJU IH UMCS.</w:t>
      </w:r>
    </w:p>
    <w:bookmarkEnd w:id="0"/>
    <w:p w14:paraId="6D7E771F" w14:textId="77777777" w:rsidR="002B0D32" w:rsidRPr="00B55C9E" w:rsidRDefault="002B0D32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Filozofią tworzenia strategii jest jej praktyczny wymiar i możliwość korzystania z niego choćby w bieżących działaniach (także oceny sprawności funkcjonowania Dyrekcji!). Stąd zawiera ona, często wbrew powszechnemu przekonaniu o istocie strategii, szereg szczegółowych rozwiązań i kierunków aktywności zarówno o charakterze doraźnym, jak długoterminowym. </w:t>
      </w:r>
    </w:p>
    <w:p w14:paraId="27ACDBBF" w14:textId="103FD784" w:rsidR="00BF5009" w:rsidRPr="00B55C9E" w:rsidRDefault="00E534FB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Merytoryczną p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odstawą tworzenia strategii IH UMCS 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w nowej rzeczywistości prawnej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jest diagnoza potencjału naukowego </w:t>
      </w:r>
      <w:r w:rsidR="002F0C04" w:rsidRPr="00B55C9E">
        <w:rPr>
          <w:rFonts w:ascii="Times New Roman" w:hAnsi="Times New Roman" w:cs="Times New Roman"/>
          <w:sz w:val="24"/>
          <w:szCs w:val="24"/>
        </w:rPr>
        <w:t>I</w:t>
      </w:r>
      <w:r w:rsidR="00BF5009" w:rsidRPr="00B55C9E">
        <w:rPr>
          <w:rFonts w:ascii="Times New Roman" w:hAnsi="Times New Roman" w:cs="Times New Roman"/>
          <w:sz w:val="24"/>
          <w:szCs w:val="24"/>
        </w:rPr>
        <w:t>nstytutu</w:t>
      </w:r>
      <w:r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797342" w:rsidRPr="00B55C9E">
        <w:rPr>
          <w:rFonts w:ascii="Times New Roman" w:hAnsi="Times New Roman" w:cs="Times New Roman"/>
          <w:sz w:val="24"/>
          <w:szCs w:val="24"/>
        </w:rPr>
        <w:t>pr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zeprowadzona w oparciu o dotychczasowe sprawozdania roczne (zwłaszcza z lat 2017-2018), </w:t>
      </w:r>
      <w:r w:rsidR="00797342" w:rsidRPr="00B55C9E">
        <w:rPr>
          <w:rFonts w:ascii="Times New Roman" w:hAnsi="Times New Roman" w:cs="Times New Roman"/>
          <w:sz w:val="24"/>
          <w:szCs w:val="24"/>
        </w:rPr>
        <w:t>indywidualne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rozmowy z większością pracowników (odbywane począwszy od miesiąca lipca 2019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r.) oraz bieżącą obserwację publikacji naukowych z wykorzystaniem systemu PBN. Pomocne 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w tym względzie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okazały się także: analiza uzyskanych i kierowanych przez pracowników IH UMCS grantów; tematyka realizowanych w IH rozpraw doktorskich; konsultacje z Centrum Współpracy Międzynarodowej. Wzięto także pod uwagę kwestie organizacji pracy w IH (nową strukturę katedralną i jej merytoryczne </w:t>
      </w:r>
      <w:r w:rsidR="00350D03" w:rsidRPr="00B55C9E">
        <w:rPr>
          <w:rFonts w:ascii="Times New Roman" w:hAnsi="Times New Roman" w:cs="Times New Roman"/>
          <w:sz w:val="24"/>
          <w:szCs w:val="24"/>
        </w:rPr>
        <w:t>wy</w:t>
      </w:r>
      <w:r w:rsidR="00BF5009" w:rsidRPr="00B55C9E">
        <w:rPr>
          <w:rFonts w:ascii="Times New Roman" w:hAnsi="Times New Roman" w:cs="Times New Roman"/>
          <w:sz w:val="24"/>
          <w:szCs w:val="24"/>
        </w:rPr>
        <w:t>profilowanie) oraz kondycję finansową jednostki. Analiza ta potwierdza, że w IH UMCS tkwi spory, a nie w pełni wykorzystany potencjał naukowy. Potwierdzeniem</w:t>
      </w:r>
      <w:r w:rsidR="00797342" w:rsidRPr="00B55C9E">
        <w:rPr>
          <w:rFonts w:ascii="Times New Roman" w:hAnsi="Times New Roman" w:cs="Times New Roman"/>
          <w:sz w:val="24"/>
          <w:szCs w:val="24"/>
        </w:rPr>
        <w:t>, raczej ilustracją tego dobrze rozpoznanego zjawiska,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są choćby sprawnie przebiegające awanse naukowe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i relatywnie wysoka liczba publikacji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. Jednakże stanowiące podstawę 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tych 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awansów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oraz dorobek publikacyjny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nie są w wystarczającym stopniu dostrzegane w świecie naukowym. Świadczą o tym dobitnie indeksy </w:t>
      </w:r>
      <w:r w:rsidR="00797342" w:rsidRPr="00B55C9E">
        <w:rPr>
          <w:rFonts w:ascii="Times New Roman" w:hAnsi="Times New Roman" w:cs="Times New Roman"/>
          <w:sz w:val="24"/>
          <w:szCs w:val="24"/>
        </w:rPr>
        <w:t>cytowań</w:t>
      </w:r>
      <w:r w:rsidR="002F0C04" w:rsidRPr="00B55C9E">
        <w:rPr>
          <w:rFonts w:ascii="Times New Roman" w:hAnsi="Times New Roman" w:cs="Times New Roman"/>
          <w:sz w:val="24"/>
          <w:szCs w:val="24"/>
        </w:rPr>
        <w:t>. Niepokoi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mała liczba publikacji zagranicznych lub w językach kongresowych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, nieuzasadnione 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obawy 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wielu pracowników 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przed aplikowaniem do redakcji 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krajowych </w:t>
      </w:r>
      <w:r w:rsidR="00797342" w:rsidRPr="00B55C9E">
        <w:rPr>
          <w:rFonts w:ascii="Times New Roman" w:hAnsi="Times New Roman" w:cs="Times New Roman"/>
          <w:sz w:val="24"/>
          <w:szCs w:val="24"/>
        </w:rPr>
        <w:t>czasopism o uznanej renomie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. </w:t>
      </w:r>
      <w:r w:rsidR="002F0C04" w:rsidRPr="00B55C9E">
        <w:rPr>
          <w:rFonts w:ascii="Times New Roman" w:hAnsi="Times New Roman" w:cs="Times New Roman"/>
          <w:sz w:val="24"/>
          <w:szCs w:val="24"/>
        </w:rPr>
        <w:t>Bez r</w:t>
      </w:r>
      <w:r w:rsidR="00797342" w:rsidRPr="00B55C9E">
        <w:rPr>
          <w:rFonts w:ascii="Times New Roman" w:hAnsi="Times New Roman" w:cs="Times New Roman"/>
          <w:sz w:val="24"/>
          <w:szCs w:val="24"/>
        </w:rPr>
        <w:t>oztropn</w:t>
      </w:r>
      <w:r w:rsidR="002F0C04" w:rsidRPr="00B55C9E">
        <w:rPr>
          <w:rFonts w:ascii="Times New Roman" w:hAnsi="Times New Roman" w:cs="Times New Roman"/>
          <w:sz w:val="24"/>
          <w:szCs w:val="24"/>
        </w:rPr>
        <w:t>ej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polityk</w:t>
      </w:r>
      <w:r w:rsidR="002F0C04" w:rsidRPr="00B55C9E">
        <w:rPr>
          <w:rFonts w:ascii="Times New Roman" w:hAnsi="Times New Roman" w:cs="Times New Roman"/>
          <w:sz w:val="24"/>
          <w:szCs w:val="24"/>
        </w:rPr>
        <w:t>i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publikacyjn</w:t>
      </w:r>
      <w:r w:rsidR="002F0C04" w:rsidRPr="00B55C9E">
        <w:rPr>
          <w:rFonts w:ascii="Times New Roman" w:hAnsi="Times New Roman" w:cs="Times New Roman"/>
          <w:sz w:val="24"/>
          <w:szCs w:val="24"/>
        </w:rPr>
        <w:t>ej oddalamy się od głównego nurtu badań, ograniczając naszą rolę do prowincjonalnego ośrodka studiów historycznych.</w:t>
      </w:r>
      <w:r w:rsidR="00797342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2F0C04" w:rsidRPr="00B55C9E">
        <w:rPr>
          <w:rFonts w:ascii="Times New Roman" w:hAnsi="Times New Roman" w:cs="Times New Roman"/>
          <w:sz w:val="24"/>
          <w:szCs w:val="24"/>
        </w:rPr>
        <w:t>Towarzyszy temu dychotomia postaw: atmosfera apatii, bezradności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2F0C04" w:rsidRPr="00B55C9E">
        <w:rPr>
          <w:rFonts w:ascii="Times New Roman" w:hAnsi="Times New Roman" w:cs="Times New Roman"/>
          <w:sz w:val="24"/>
          <w:szCs w:val="24"/>
        </w:rPr>
        <w:t>lub nieuprawnionego samozadowolenia, niedostatki empatii, solidarności wewnętrznej</w:t>
      </w:r>
      <w:r w:rsidR="00061EF8" w:rsidRPr="00B55C9E">
        <w:rPr>
          <w:rFonts w:ascii="Times New Roman" w:hAnsi="Times New Roman" w:cs="Times New Roman"/>
          <w:sz w:val="24"/>
          <w:szCs w:val="24"/>
        </w:rPr>
        <w:t xml:space="preserve"> etc.</w:t>
      </w:r>
      <w:r w:rsidR="002F0C04" w:rsidRPr="00B5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EF0D" w14:textId="44C16F84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Nowa katedralna struktura IH może wyznaczać określone profile badań i stymulować powstanie zespołów badawczych, ale bardziej skuteczną metodą aktywności naukowej wydaje się wyznaczenie wiodących, węzłowych kierunków badań </w:t>
      </w:r>
      <w:r w:rsidR="00061EF8" w:rsidRPr="00B55C9E">
        <w:rPr>
          <w:rFonts w:ascii="Times New Roman" w:hAnsi="Times New Roman" w:cs="Times New Roman"/>
          <w:sz w:val="24"/>
          <w:szCs w:val="24"/>
        </w:rPr>
        <w:t xml:space="preserve">angażujących pracowników i doktorantów ze </w:t>
      </w:r>
      <w:r w:rsidRPr="00B55C9E">
        <w:rPr>
          <w:rFonts w:ascii="Times New Roman" w:hAnsi="Times New Roman" w:cs="Times New Roman"/>
          <w:sz w:val="24"/>
          <w:szCs w:val="24"/>
        </w:rPr>
        <w:t>Szko</w:t>
      </w:r>
      <w:r w:rsidR="00061EF8" w:rsidRPr="00B55C9E">
        <w:rPr>
          <w:rFonts w:ascii="Times New Roman" w:hAnsi="Times New Roman" w:cs="Times New Roman"/>
          <w:sz w:val="24"/>
          <w:szCs w:val="24"/>
        </w:rPr>
        <w:t>ły</w:t>
      </w:r>
      <w:r w:rsidRPr="00B55C9E">
        <w:rPr>
          <w:rFonts w:ascii="Times New Roman" w:hAnsi="Times New Roman" w:cs="Times New Roman"/>
          <w:sz w:val="24"/>
          <w:szCs w:val="24"/>
        </w:rPr>
        <w:t xml:space="preserve"> Doktorskiej. 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Przyjęcie takich rudymentów implikuje możliwość koordynowania badań, tworzenia zespołów badawczych </w:t>
      </w:r>
      <w:r w:rsidR="00A534C5" w:rsidRPr="00B55C9E">
        <w:rPr>
          <w:rFonts w:ascii="Times New Roman" w:hAnsi="Times New Roman" w:cs="Times New Roman"/>
          <w:b/>
          <w:sz w:val="24"/>
          <w:szCs w:val="24"/>
        </w:rPr>
        <w:t xml:space="preserve">zwłaszcza o charakterze międzyinstytutowym, 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opartych wyłącznie na realizowanych przedsięwzięciach, </w:t>
      </w:r>
      <w:r w:rsidR="00350D03" w:rsidRPr="00B55C9E">
        <w:rPr>
          <w:rFonts w:ascii="Times New Roman" w:hAnsi="Times New Roman" w:cs="Times New Roman"/>
          <w:b/>
          <w:sz w:val="24"/>
          <w:szCs w:val="24"/>
        </w:rPr>
        <w:t>stwarza szanse na uzyskanie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 spójności proponowanych tematów prac doktorskich/magisterskich, grantów i konferencji naukowych. Innymi słowy, tematy wiodące kreować powinny zarówno znaczącą tożsamość, markę i rozpoznawalność IH UMCS w świecie naukowym i otoczeniu społecznym, jak i stanowić rodzaj spoiwa wewnętrznego, efektem którego okazywać się powinna konieczna synergia działań</w:t>
      </w:r>
      <w:r w:rsidRPr="00B55C9E">
        <w:rPr>
          <w:rFonts w:ascii="Times New Roman" w:hAnsi="Times New Roman" w:cs="Times New Roman"/>
          <w:sz w:val="24"/>
          <w:szCs w:val="24"/>
        </w:rPr>
        <w:t>.</w:t>
      </w:r>
      <w:r w:rsidR="00A534C5" w:rsidRPr="00B55C9E">
        <w:rPr>
          <w:rFonts w:ascii="Times New Roman" w:hAnsi="Times New Roman" w:cs="Times New Roman"/>
          <w:sz w:val="24"/>
          <w:szCs w:val="24"/>
        </w:rPr>
        <w:t xml:space="preserve"> Nie należy zapominać o budowaniu marki Instytutu </w:t>
      </w:r>
      <w:r w:rsidR="00E45710" w:rsidRPr="00B55C9E">
        <w:rPr>
          <w:rFonts w:ascii="Times New Roman" w:hAnsi="Times New Roman" w:cs="Times New Roman"/>
          <w:sz w:val="24"/>
          <w:szCs w:val="24"/>
        </w:rPr>
        <w:t xml:space="preserve">np. </w:t>
      </w:r>
      <w:r w:rsidR="00A534C5" w:rsidRPr="00B55C9E">
        <w:rPr>
          <w:rFonts w:ascii="Times New Roman" w:hAnsi="Times New Roman" w:cs="Times New Roman"/>
          <w:sz w:val="24"/>
          <w:szCs w:val="24"/>
        </w:rPr>
        <w:t xml:space="preserve">poprzez zachęcanie pracowników do aktywności polegającej na </w:t>
      </w:r>
      <w:r w:rsidR="00A534C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zasiadaniu w komitetach organizacyjnych różnorakich uroczystości, działalnoś</w:t>
      </w:r>
      <w:r w:rsidR="00350D03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A534C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stowarzyszeniach i </w:t>
      </w:r>
      <w:r w:rsidR="00A534C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gremiach naukowych zarówno o znaczeniu ogólnopolskim i międzynarodowym</w:t>
      </w:r>
      <w:r w:rsidR="00350D03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534C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lokalnym. </w:t>
      </w:r>
    </w:p>
    <w:p w14:paraId="46BD9632" w14:textId="77777777" w:rsidR="00BF5009" w:rsidRPr="00B55C9E" w:rsidRDefault="00684C1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Niezależne od nas o</w:t>
      </w:r>
      <w:r w:rsidR="00CC6C61" w:rsidRPr="00B55C9E">
        <w:rPr>
          <w:rFonts w:ascii="Times New Roman" w:hAnsi="Times New Roman" w:cs="Times New Roman"/>
          <w:sz w:val="24"/>
          <w:szCs w:val="24"/>
        </w:rPr>
        <w:t>koliczności determinują fakt, iż s</w:t>
      </w:r>
      <w:r w:rsidR="00BF5009" w:rsidRPr="00B55C9E">
        <w:rPr>
          <w:rFonts w:ascii="Times New Roman" w:hAnsi="Times New Roman" w:cs="Times New Roman"/>
          <w:sz w:val="24"/>
          <w:szCs w:val="24"/>
        </w:rPr>
        <w:t>trategia musi zawierać działania krótkoterminowe zamykające się datą 31 grudnia 2020 roku oraz politykę IH UMCS w dłuższej perspektywie czasu</w:t>
      </w:r>
      <w:r w:rsidR="00CC6C61" w:rsidRPr="00B55C9E">
        <w:rPr>
          <w:rFonts w:ascii="Times New Roman" w:hAnsi="Times New Roman" w:cs="Times New Roman"/>
          <w:sz w:val="24"/>
          <w:szCs w:val="24"/>
        </w:rPr>
        <w:t>,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obejmującej lata kolejnej ewaluacji (czyli okres 2021-2024). Tak rozłożone w czasie zadania nie mogą się zasadniczo różnić, bo każde z nich winno zakładać progresję w kluczowych, zewnętrznych ocenach IH UMCS. Każde mieścić się musi również w trzech obowiązujących obszarach ewaluacji: polityce publikacyjnej (osiągnięcia naukowe), pozyskiwaniu środków zewnętrznych oraz współpracy z otoczeniem społeczno-gospodarczym (tzw. wdrożenia). </w:t>
      </w:r>
      <w:r w:rsidR="00CC6C61" w:rsidRPr="00B55C9E">
        <w:rPr>
          <w:rFonts w:ascii="Times New Roman" w:hAnsi="Times New Roman" w:cs="Times New Roman"/>
          <w:sz w:val="24"/>
          <w:szCs w:val="24"/>
        </w:rPr>
        <w:t xml:space="preserve">Wszystkie też powinny opierać się na pełnej świadomości pracowników o konieczności realizacji wspólnych celów. </w:t>
      </w:r>
      <w:r w:rsidR="00BF5009" w:rsidRPr="00B55C9E">
        <w:rPr>
          <w:rFonts w:ascii="Times New Roman" w:hAnsi="Times New Roman" w:cs="Times New Roman"/>
          <w:sz w:val="24"/>
          <w:szCs w:val="24"/>
        </w:rPr>
        <w:t>Różnice natomiast sprowadzać się powinny niemal wyłącznie do roztropnego rozmieszczenia w czasie (harmonogramie działań) możliwych do realizacji zadań.</w:t>
      </w:r>
    </w:p>
    <w:p w14:paraId="7237D926" w14:textId="77777777" w:rsidR="00BF5009" w:rsidRPr="00B55C9E" w:rsidRDefault="00BF5009" w:rsidP="00BF500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Ad1. Strategia krótkoterminowa</w:t>
      </w:r>
      <w:r w:rsidRPr="00B55C9E">
        <w:rPr>
          <w:rFonts w:ascii="Times New Roman" w:hAnsi="Times New Roman" w:cs="Times New Roman"/>
          <w:sz w:val="24"/>
          <w:szCs w:val="24"/>
        </w:rPr>
        <w:t>.</w:t>
      </w:r>
    </w:p>
    <w:p w14:paraId="6392709A" w14:textId="77777777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Obiektywne </w:t>
      </w:r>
      <w:r w:rsidR="00684C19" w:rsidRPr="00B55C9E">
        <w:rPr>
          <w:rFonts w:ascii="Times New Roman" w:hAnsi="Times New Roman" w:cs="Times New Roman"/>
          <w:sz w:val="24"/>
          <w:szCs w:val="24"/>
        </w:rPr>
        <w:t xml:space="preserve">uwarunkowania </w:t>
      </w:r>
      <w:r w:rsidRPr="00B55C9E">
        <w:rPr>
          <w:rFonts w:ascii="Times New Roman" w:hAnsi="Times New Roman" w:cs="Times New Roman"/>
          <w:sz w:val="24"/>
          <w:szCs w:val="24"/>
        </w:rPr>
        <w:t>funkcjonowania IH w okresie pozostałym do 31 grudnia 2020 roku sprawiają, że w ciągu najbliższych 14 miesięcy działania doraźne muszą dominować nad systematycznymi i długoterminowymi („tożsamościowymi”). Powinny one jednak stanowić logiczny poligon aktywności zakładanej do przeprowadzenia w dłuższej perspektywie czasowej</w:t>
      </w:r>
      <w:r w:rsidR="00684C19" w:rsidRPr="00B55C9E">
        <w:rPr>
          <w:rFonts w:ascii="Times New Roman" w:hAnsi="Times New Roman" w:cs="Times New Roman"/>
          <w:sz w:val="24"/>
          <w:szCs w:val="24"/>
        </w:rPr>
        <w:t xml:space="preserve"> (reguła ciągłości i możliwości doskonalenia rozwiązań)</w:t>
      </w:r>
      <w:r w:rsidRPr="00B55C9E">
        <w:rPr>
          <w:rFonts w:ascii="Times New Roman" w:hAnsi="Times New Roman" w:cs="Times New Roman"/>
          <w:sz w:val="24"/>
          <w:szCs w:val="24"/>
        </w:rPr>
        <w:t>. Zasadniczy i jedyny cel doraźnej działalności wyznacza osiągni</w:t>
      </w:r>
      <w:r w:rsidR="00684C19" w:rsidRPr="00B55C9E">
        <w:rPr>
          <w:rFonts w:ascii="Times New Roman" w:hAnsi="Times New Roman" w:cs="Times New Roman"/>
          <w:sz w:val="24"/>
          <w:szCs w:val="24"/>
        </w:rPr>
        <w:t>ę</w:t>
      </w:r>
      <w:r w:rsidRPr="00B55C9E">
        <w:rPr>
          <w:rFonts w:ascii="Times New Roman" w:hAnsi="Times New Roman" w:cs="Times New Roman"/>
          <w:sz w:val="24"/>
          <w:szCs w:val="24"/>
        </w:rPr>
        <w:t>cie w najbliższej ewaluacji (latem 2021 r.) w planie maksimum</w:t>
      </w:r>
      <w:r w:rsidR="00684C19" w:rsidRPr="00B55C9E">
        <w:rPr>
          <w:rFonts w:ascii="Times New Roman" w:hAnsi="Times New Roman" w:cs="Times New Roman"/>
          <w:sz w:val="24"/>
          <w:szCs w:val="24"/>
        </w:rPr>
        <w:t>:</w:t>
      </w:r>
      <w:r w:rsidRPr="00B55C9E">
        <w:rPr>
          <w:rFonts w:ascii="Times New Roman" w:hAnsi="Times New Roman" w:cs="Times New Roman"/>
          <w:sz w:val="24"/>
          <w:szCs w:val="24"/>
        </w:rPr>
        <w:t xml:space="preserve"> kategorii „A” lub, w założeniu minimum</w:t>
      </w:r>
      <w:r w:rsidR="00684C19" w:rsidRPr="00B55C9E">
        <w:rPr>
          <w:rFonts w:ascii="Times New Roman" w:hAnsi="Times New Roman" w:cs="Times New Roman"/>
          <w:sz w:val="24"/>
          <w:szCs w:val="24"/>
        </w:rPr>
        <w:t>:</w:t>
      </w:r>
      <w:r w:rsidRPr="00B55C9E">
        <w:rPr>
          <w:rFonts w:ascii="Times New Roman" w:hAnsi="Times New Roman" w:cs="Times New Roman"/>
          <w:sz w:val="24"/>
          <w:szCs w:val="24"/>
        </w:rPr>
        <w:t xml:space="preserve"> kategorii „B plus”. Bez </w:t>
      </w:r>
      <w:r w:rsidR="00684C19" w:rsidRPr="00B55C9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B55C9E">
        <w:rPr>
          <w:rFonts w:ascii="Times New Roman" w:hAnsi="Times New Roman" w:cs="Times New Roman"/>
          <w:sz w:val="24"/>
          <w:szCs w:val="24"/>
        </w:rPr>
        <w:t xml:space="preserve">któregokolwiek z tych celów dalsze istnienie IH UMCS, pojmowane głównie jako utrzymanie dotychczasowych miejsc pracy, stoi pod olbrzymim znakiem zapytania. </w:t>
      </w:r>
    </w:p>
    <w:p w14:paraId="03F6B012" w14:textId="3510CF75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Bieżący monitoring osiągnięć naukowych wskazuje na kilka zagrożeń związanych z realizacją wyartykułowanych wyżej celów. Niepokoi zwłaszcza niewielka liczba sprawozdawanych w ciągu 2019 roku artykułów publikowanych w wysoko punktowanych czasopismach. Choć są to dane cząstkowe (liczyć należy, że większość publikacji za rok 2019 dopiero się ukaże),  obawy budzi relatywnie duża liczba rozdziałów w pracach zbiorowych i nisko punktowanych artykułów w periodykach oraz </w:t>
      </w:r>
      <w:r w:rsidR="00684C19" w:rsidRPr="00B55C9E">
        <w:rPr>
          <w:rFonts w:ascii="Times New Roman" w:hAnsi="Times New Roman" w:cs="Times New Roman"/>
          <w:sz w:val="24"/>
          <w:szCs w:val="24"/>
        </w:rPr>
        <w:t>„</w:t>
      </w:r>
      <w:r w:rsidRPr="00B55C9E">
        <w:rPr>
          <w:rFonts w:ascii="Times New Roman" w:hAnsi="Times New Roman" w:cs="Times New Roman"/>
          <w:sz w:val="24"/>
          <w:szCs w:val="24"/>
        </w:rPr>
        <w:t>ucieczka</w:t>
      </w:r>
      <w:r w:rsidR="00684C19" w:rsidRPr="00B55C9E">
        <w:rPr>
          <w:rFonts w:ascii="Times New Roman" w:hAnsi="Times New Roman" w:cs="Times New Roman"/>
          <w:sz w:val="24"/>
          <w:szCs w:val="24"/>
        </w:rPr>
        <w:t>”</w:t>
      </w:r>
      <w:r w:rsidRPr="00B55C9E">
        <w:rPr>
          <w:rFonts w:ascii="Times New Roman" w:hAnsi="Times New Roman" w:cs="Times New Roman"/>
          <w:sz w:val="24"/>
          <w:szCs w:val="24"/>
        </w:rPr>
        <w:t xml:space="preserve"> w publikowanie recenzji i artykułów recenzyjn</w:t>
      </w:r>
      <w:r w:rsidR="00684C19" w:rsidRPr="00B55C9E">
        <w:rPr>
          <w:rFonts w:ascii="Times New Roman" w:hAnsi="Times New Roman" w:cs="Times New Roman"/>
          <w:sz w:val="24"/>
          <w:szCs w:val="24"/>
        </w:rPr>
        <w:t>ych</w:t>
      </w:r>
      <w:r w:rsidRPr="00B55C9E">
        <w:rPr>
          <w:rFonts w:ascii="Times New Roman" w:hAnsi="Times New Roman" w:cs="Times New Roman"/>
          <w:sz w:val="24"/>
          <w:szCs w:val="24"/>
        </w:rPr>
        <w:t>. Z perspektywy osiągnięcia wskazanych wyżej celów samo uzyskanie stanu, w którym nie ma tzw. „N</w:t>
      </w:r>
      <w:r w:rsidR="00684C19" w:rsidRPr="00B55C9E">
        <w:rPr>
          <w:rFonts w:ascii="Times New Roman" w:hAnsi="Times New Roman" w:cs="Times New Roman"/>
          <w:sz w:val="24"/>
          <w:szCs w:val="24"/>
        </w:rPr>
        <w:t>0</w:t>
      </w:r>
      <w:r w:rsidRPr="00B55C9E">
        <w:rPr>
          <w:rFonts w:ascii="Times New Roman" w:hAnsi="Times New Roman" w:cs="Times New Roman"/>
          <w:sz w:val="24"/>
          <w:szCs w:val="24"/>
        </w:rPr>
        <w:t>”, nie jest żadnym gwarantem jego osiągnięcia. Co prawda</w:t>
      </w:r>
      <w:r w:rsidR="00684C19" w:rsidRPr="00B55C9E">
        <w:rPr>
          <w:rFonts w:ascii="Times New Roman" w:hAnsi="Times New Roman" w:cs="Times New Roman"/>
          <w:sz w:val="24"/>
          <w:szCs w:val="24"/>
        </w:rPr>
        <w:t>,</w:t>
      </w:r>
      <w:r w:rsidRPr="00B55C9E">
        <w:rPr>
          <w:rFonts w:ascii="Times New Roman" w:hAnsi="Times New Roman" w:cs="Times New Roman"/>
          <w:sz w:val="24"/>
          <w:szCs w:val="24"/>
        </w:rPr>
        <w:t xml:space="preserve"> w ewaluacji liczony jest dorobek każdego bez wyjątku pracownika, ale słabe </w:t>
      </w:r>
      <w:r w:rsidR="00684C19" w:rsidRPr="00B55C9E">
        <w:rPr>
          <w:rFonts w:ascii="Times New Roman" w:hAnsi="Times New Roman" w:cs="Times New Roman"/>
          <w:sz w:val="24"/>
          <w:szCs w:val="24"/>
        </w:rPr>
        <w:t xml:space="preserve">tzw. </w:t>
      </w:r>
      <w:r w:rsidRPr="00B55C9E">
        <w:rPr>
          <w:rFonts w:ascii="Times New Roman" w:hAnsi="Times New Roman" w:cs="Times New Roman"/>
          <w:i/>
          <w:sz w:val="24"/>
          <w:szCs w:val="24"/>
        </w:rPr>
        <w:t>sloty</w:t>
      </w:r>
      <w:r w:rsidRPr="00B55C9E">
        <w:rPr>
          <w:rFonts w:ascii="Times New Roman" w:hAnsi="Times New Roman" w:cs="Times New Roman"/>
          <w:sz w:val="24"/>
          <w:szCs w:val="24"/>
        </w:rPr>
        <w:t xml:space="preserve"> działają na niekorzyść ocenianej jednostki, która aspiruje przynajmniej do kategorii „B plus”. </w:t>
      </w:r>
    </w:p>
    <w:p w14:paraId="29CD5A23" w14:textId="266134F1" w:rsidR="00B33DE9" w:rsidRPr="00B55C9E" w:rsidRDefault="00BF5009" w:rsidP="00B33D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Aby zakładane kategorie osiągnąć, w</w:t>
      </w:r>
      <w:r w:rsidR="00684C19" w:rsidRPr="00B55C9E">
        <w:rPr>
          <w:rFonts w:ascii="Times New Roman" w:hAnsi="Times New Roman" w:cs="Times New Roman"/>
          <w:sz w:val="24"/>
          <w:szCs w:val="24"/>
        </w:rPr>
        <w:t xml:space="preserve"> niemal codziennej</w:t>
      </w:r>
      <w:r w:rsidRPr="00B55C9E">
        <w:rPr>
          <w:rFonts w:ascii="Times New Roman" w:hAnsi="Times New Roman" w:cs="Times New Roman"/>
          <w:sz w:val="24"/>
          <w:szCs w:val="24"/>
        </w:rPr>
        <w:t xml:space="preserve"> współpracy z Kierownikami Katedr</w:t>
      </w:r>
      <w:r w:rsidR="00684C19" w:rsidRPr="00B55C9E">
        <w:rPr>
          <w:rFonts w:ascii="Times New Roman" w:hAnsi="Times New Roman" w:cs="Times New Roman"/>
          <w:sz w:val="24"/>
          <w:szCs w:val="24"/>
        </w:rPr>
        <w:t>,</w:t>
      </w:r>
      <w:r w:rsidRPr="00B55C9E">
        <w:rPr>
          <w:rFonts w:ascii="Times New Roman" w:hAnsi="Times New Roman" w:cs="Times New Roman"/>
          <w:sz w:val="24"/>
          <w:szCs w:val="24"/>
        </w:rPr>
        <w:t xml:space="preserve"> prowadzone są bieżące działania, polegające głównie na indywidualnych rozmowach z pracownikami, których dorobek</w:t>
      </w:r>
      <w:r w:rsidR="00684C19" w:rsidRPr="00B55C9E">
        <w:rPr>
          <w:rFonts w:ascii="Times New Roman" w:hAnsi="Times New Roman" w:cs="Times New Roman"/>
          <w:sz w:val="24"/>
          <w:szCs w:val="24"/>
        </w:rPr>
        <w:t>, z różnych powodów</w:t>
      </w:r>
      <w:r w:rsidR="00684C19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84C19" w:rsidRPr="00B55C9E">
        <w:rPr>
          <w:rFonts w:ascii="Times New Roman" w:hAnsi="Times New Roman" w:cs="Times New Roman"/>
          <w:sz w:val="24"/>
          <w:szCs w:val="24"/>
        </w:rPr>
        <w:t>,</w:t>
      </w:r>
      <w:r w:rsidRPr="00B55C9E">
        <w:rPr>
          <w:rFonts w:ascii="Times New Roman" w:hAnsi="Times New Roman" w:cs="Times New Roman"/>
          <w:sz w:val="24"/>
          <w:szCs w:val="24"/>
        </w:rPr>
        <w:t xml:space="preserve"> budzi wątpliwości. Nieuniknionymi staną się też kierowane do JM Rektora wnioski o przeprowadzenie nadzwyczajnej oceny niektórych pracowników naukowych. </w:t>
      </w:r>
      <w:r w:rsidR="00B33DE9" w:rsidRPr="00B55C9E">
        <w:rPr>
          <w:rFonts w:ascii="Times New Roman" w:hAnsi="Times New Roman" w:cs="Times New Roman"/>
          <w:sz w:val="24"/>
          <w:szCs w:val="24"/>
        </w:rPr>
        <w:t>W interesie IH pozostaje konsekwentnie egzekwowanie od poszczególnyc</w:t>
      </w:r>
      <w:r w:rsidR="00F15A54" w:rsidRPr="00B55C9E">
        <w:rPr>
          <w:rFonts w:ascii="Times New Roman" w:hAnsi="Times New Roman" w:cs="Times New Roman"/>
          <w:sz w:val="24"/>
          <w:szCs w:val="24"/>
        </w:rPr>
        <w:t>h pracowników aktywności naukowej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 wynikającej z regulaminu ocen dorobku naukowego. Kierownicy Katedr i Dyrekcja powinni też korzystać z narzędzia, jakim jest kierowanie pracownika </w:t>
      </w:r>
      <w:r w:rsidR="00EA402C" w:rsidRPr="00B55C9E">
        <w:rPr>
          <w:rFonts w:ascii="Times New Roman" w:hAnsi="Times New Roman" w:cs="Times New Roman"/>
          <w:sz w:val="24"/>
          <w:szCs w:val="24"/>
        </w:rPr>
        <w:t xml:space="preserve">do </w:t>
      </w:r>
      <w:r w:rsidR="00B33DE9" w:rsidRPr="00B55C9E">
        <w:rPr>
          <w:rFonts w:ascii="Times New Roman" w:hAnsi="Times New Roman" w:cs="Times New Roman"/>
          <w:sz w:val="24"/>
          <w:szCs w:val="24"/>
        </w:rPr>
        <w:t>oceny nadzwyczajnej</w:t>
      </w:r>
      <w:r w:rsidR="00EA402C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B33DE9" w:rsidRPr="00B55C9E">
        <w:rPr>
          <w:rFonts w:ascii="Times New Roman" w:hAnsi="Times New Roman" w:cs="Times New Roman"/>
          <w:sz w:val="24"/>
          <w:szCs w:val="24"/>
        </w:rPr>
        <w:t>. Jeśli chodzi o awanse naukowe, to powinny być w pełni zgodne z wymogami Statutu UMCS oraz naszym głębokim przekonaniem, że w przypadku dyscypliny historia powinn</w:t>
      </w:r>
      <w:r w:rsidR="00966351" w:rsidRPr="00B55C9E">
        <w:rPr>
          <w:rFonts w:ascii="Times New Roman" w:hAnsi="Times New Roman" w:cs="Times New Roman"/>
          <w:sz w:val="24"/>
          <w:szCs w:val="24"/>
        </w:rPr>
        <w:t>o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966351" w:rsidRPr="00B55C9E">
        <w:rPr>
          <w:rFonts w:ascii="Times New Roman" w:hAnsi="Times New Roman" w:cs="Times New Roman"/>
          <w:sz w:val="24"/>
          <w:szCs w:val="24"/>
        </w:rPr>
        <w:t>j</w:t>
      </w:r>
      <w:r w:rsidR="00B33DE9" w:rsidRPr="00B55C9E">
        <w:rPr>
          <w:rFonts w:ascii="Times New Roman" w:hAnsi="Times New Roman" w:cs="Times New Roman"/>
          <w:sz w:val="24"/>
          <w:szCs w:val="24"/>
        </w:rPr>
        <w:t>e poprzedz</w:t>
      </w:r>
      <w:r w:rsidR="00966351" w:rsidRPr="00B55C9E">
        <w:rPr>
          <w:rFonts w:ascii="Times New Roman" w:hAnsi="Times New Roman" w:cs="Times New Roman"/>
          <w:sz w:val="24"/>
          <w:szCs w:val="24"/>
        </w:rPr>
        <w:t>ać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 opublikowanie </w:t>
      </w:r>
      <w:r w:rsidR="00B33DE9" w:rsidRPr="00B55C9E">
        <w:rPr>
          <w:rFonts w:ascii="Times New Roman" w:hAnsi="Times New Roman" w:cs="Times New Roman"/>
          <w:sz w:val="24"/>
          <w:szCs w:val="24"/>
        </w:rPr>
        <w:lastRenderedPageBreak/>
        <w:t xml:space="preserve">monografii autorskiej.  Należy zintensyfikować wnioski o uzyskanie tytułu profesora (coraz liczniejsza grupa profesorów uczelnianych i doktorów habilitowanych).  </w:t>
      </w:r>
    </w:p>
    <w:p w14:paraId="4607C203" w14:textId="77777777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Dyrekcja deklaruje otwartość w zakresie reguł „gry” czy polityki </w:t>
      </w:r>
      <w:r w:rsidR="00AA4B9D" w:rsidRPr="00B55C9E">
        <w:rPr>
          <w:rFonts w:ascii="Times New Roman" w:hAnsi="Times New Roman" w:cs="Times New Roman"/>
          <w:sz w:val="24"/>
          <w:szCs w:val="24"/>
        </w:rPr>
        <w:t>ewalua</w:t>
      </w:r>
      <w:r w:rsidRPr="00B55C9E">
        <w:rPr>
          <w:rFonts w:ascii="Times New Roman" w:hAnsi="Times New Roman" w:cs="Times New Roman"/>
          <w:sz w:val="24"/>
          <w:szCs w:val="24"/>
        </w:rPr>
        <w:t xml:space="preserve">cyjnej. Chodzi o najbardziej efektywne i </w:t>
      </w:r>
      <w:r w:rsidR="00EA402C" w:rsidRPr="00B55C9E">
        <w:rPr>
          <w:rFonts w:ascii="Times New Roman" w:hAnsi="Times New Roman" w:cs="Times New Roman"/>
          <w:sz w:val="24"/>
          <w:szCs w:val="24"/>
        </w:rPr>
        <w:t>„</w:t>
      </w:r>
      <w:r w:rsidRPr="00B55C9E">
        <w:rPr>
          <w:rFonts w:ascii="Times New Roman" w:hAnsi="Times New Roman" w:cs="Times New Roman"/>
          <w:sz w:val="24"/>
          <w:szCs w:val="24"/>
        </w:rPr>
        <w:t>punktodajne</w:t>
      </w:r>
      <w:r w:rsidR="00EA402C" w:rsidRPr="00B55C9E">
        <w:rPr>
          <w:rFonts w:ascii="Times New Roman" w:hAnsi="Times New Roman" w:cs="Times New Roman"/>
          <w:sz w:val="24"/>
          <w:szCs w:val="24"/>
        </w:rPr>
        <w:t>”</w:t>
      </w:r>
      <w:r w:rsidRPr="00B55C9E">
        <w:rPr>
          <w:rFonts w:ascii="Times New Roman" w:hAnsi="Times New Roman" w:cs="Times New Roman"/>
          <w:sz w:val="24"/>
          <w:szCs w:val="24"/>
        </w:rPr>
        <w:t xml:space="preserve"> budowanie 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niezbędnych dla IH slotów, ale też </w:t>
      </w:r>
      <w:r w:rsidRPr="00B55C9E">
        <w:rPr>
          <w:rFonts w:ascii="Times New Roman" w:hAnsi="Times New Roman" w:cs="Times New Roman"/>
          <w:sz w:val="24"/>
          <w:szCs w:val="24"/>
        </w:rPr>
        <w:t>indywidualnego dorobku naukowego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 (kwestie te nie są tożsame)</w:t>
      </w:r>
      <w:r w:rsidRPr="00B55C9E">
        <w:rPr>
          <w:rFonts w:ascii="Times New Roman" w:hAnsi="Times New Roman" w:cs="Times New Roman"/>
          <w:sz w:val="24"/>
          <w:szCs w:val="24"/>
        </w:rPr>
        <w:t xml:space="preserve">, unikanie publikacji już w jakiś sposób dla tych osiągnięć aktualnie </w:t>
      </w:r>
      <w:r w:rsidR="00AA4B9D" w:rsidRPr="00B55C9E">
        <w:rPr>
          <w:rFonts w:ascii="Times New Roman" w:hAnsi="Times New Roman" w:cs="Times New Roman"/>
          <w:sz w:val="24"/>
          <w:szCs w:val="24"/>
        </w:rPr>
        <w:t>„</w:t>
      </w:r>
      <w:r w:rsidRPr="00B55C9E">
        <w:rPr>
          <w:rFonts w:ascii="Times New Roman" w:hAnsi="Times New Roman" w:cs="Times New Roman"/>
          <w:sz w:val="24"/>
          <w:szCs w:val="24"/>
        </w:rPr>
        <w:t>niepoliczalnych</w:t>
      </w:r>
      <w:r w:rsidR="00AA4B9D" w:rsidRPr="00B55C9E">
        <w:rPr>
          <w:rFonts w:ascii="Times New Roman" w:hAnsi="Times New Roman" w:cs="Times New Roman"/>
          <w:sz w:val="24"/>
          <w:szCs w:val="24"/>
        </w:rPr>
        <w:t>”</w:t>
      </w:r>
      <w:r w:rsidRPr="00B55C9E">
        <w:rPr>
          <w:rFonts w:ascii="Times New Roman" w:hAnsi="Times New Roman" w:cs="Times New Roman"/>
          <w:sz w:val="24"/>
          <w:szCs w:val="24"/>
        </w:rPr>
        <w:t>, innymi słowy wartych zawieszenia i przesunięcia w czasie (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przykład stanowią </w:t>
      </w:r>
      <w:r w:rsidRPr="00B55C9E">
        <w:rPr>
          <w:rFonts w:ascii="Times New Roman" w:hAnsi="Times New Roman" w:cs="Times New Roman"/>
          <w:sz w:val="24"/>
          <w:szCs w:val="24"/>
        </w:rPr>
        <w:t>monografi</w:t>
      </w:r>
      <w:r w:rsidR="00AA4B9D" w:rsidRPr="00B55C9E">
        <w:rPr>
          <w:rFonts w:ascii="Times New Roman" w:hAnsi="Times New Roman" w:cs="Times New Roman"/>
          <w:sz w:val="24"/>
          <w:szCs w:val="24"/>
        </w:rPr>
        <w:t>e</w:t>
      </w:r>
      <w:r w:rsidRPr="00B55C9E">
        <w:rPr>
          <w:rFonts w:ascii="Times New Roman" w:hAnsi="Times New Roman" w:cs="Times New Roman"/>
          <w:sz w:val="24"/>
          <w:szCs w:val="24"/>
        </w:rPr>
        <w:t xml:space="preserve"> autorski</w:t>
      </w:r>
      <w:r w:rsidR="00AA4B9D" w:rsidRPr="00B55C9E">
        <w:rPr>
          <w:rFonts w:ascii="Times New Roman" w:hAnsi="Times New Roman" w:cs="Times New Roman"/>
          <w:sz w:val="24"/>
          <w:szCs w:val="24"/>
        </w:rPr>
        <w:t>e, których liczba zbliża się do wymaganych od nas za lata 2017-2020 35 książek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 /w formie tradycyjnej i e-booków/</w:t>
      </w:r>
      <w:r w:rsidR="00AA4B9D" w:rsidRPr="00B55C9E">
        <w:rPr>
          <w:rFonts w:ascii="Times New Roman" w:hAnsi="Times New Roman" w:cs="Times New Roman"/>
          <w:sz w:val="24"/>
          <w:szCs w:val="24"/>
        </w:rPr>
        <w:t>, wobec czego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B55C9E">
        <w:rPr>
          <w:rFonts w:ascii="Times New Roman" w:hAnsi="Times New Roman" w:cs="Times New Roman"/>
          <w:sz w:val="24"/>
          <w:szCs w:val="24"/>
        </w:rPr>
        <w:t>now</w:t>
      </w:r>
      <w:r w:rsidR="00AA4B9D" w:rsidRPr="00B55C9E">
        <w:rPr>
          <w:rFonts w:ascii="Times New Roman" w:hAnsi="Times New Roman" w:cs="Times New Roman"/>
          <w:sz w:val="24"/>
          <w:szCs w:val="24"/>
        </w:rPr>
        <w:t>ych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publikacji tego typu </w:t>
      </w:r>
      <w:r w:rsidRPr="00B55C9E">
        <w:rPr>
          <w:rFonts w:ascii="Times New Roman" w:hAnsi="Times New Roman" w:cs="Times New Roman"/>
          <w:sz w:val="24"/>
          <w:szCs w:val="24"/>
        </w:rPr>
        <w:t>n</w:t>
      </w:r>
      <w:r w:rsidR="00AA4B9D" w:rsidRPr="00B55C9E">
        <w:rPr>
          <w:rFonts w:ascii="Times New Roman" w:hAnsi="Times New Roman" w:cs="Times New Roman"/>
          <w:sz w:val="24"/>
          <w:szCs w:val="24"/>
        </w:rPr>
        <w:t>ależy wykazywać sporą wstrzemię</w:t>
      </w:r>
      <w:r w:rsidR="002B0D32" w:rsidRPr="00B55C9E">
        <w:rPr>
          <w:rFonts w:ascii="Times New Roman" w:hAnsi="Times New Roman" w:cs="Times New Roman"/>
          <w:sz w:val="24"/>
          <w:szCs w:val="24"/>
        </w:rPr>
        <w:t>ź</w:t>
      </w:r>
      <w:r w:rsidR="00AA4B9D" w:rsidRPr="00B55C9E">
        <w:rPr>
          <w:rFonts w:ascii="Times New Roman" w:hAnsi="Times New Roman" w:cs="Times New Roman"/>
          <w:sz w:val="24"/>
          <w:szCs w:val="24"/>
        </w:rPr>
        <w:t>liwoś</w:t>
      </w:r>
      <w:r w:rsidR="002B0D32" w:rsidRPr="00B55C9E">
        <w:rPr>
          <w:rFonts w:ascii="Times New Roman" w:hAnsi="Times New Roman" w:cs="Times New Roman"/>
          <w:sz w:val="24"/>
          <w:szCs w:val="24"/>
        </w:rPr>
        <w:t>cią</w:t>
      </w:r>
      <w:r w:rsidR="00AA4B9D" w:rsidRPr="00B55C9E">
        <w:rPr>
          <w:rFonts w:ascii="Times New Roman" w:hAnsi="Times New Roman" w:cs="Times New Roman"/>
          <w:sz w:val="24"/>
          <w:szCs w:val="24"/>
        </w:rPr>
        <w:t>…</w:t>
      </w:r>
      <w:r w:rsidRPr="00B55C9E">
        <w:rPr>
          <w:rFonts w:ascii="Times New Roman" w:hAnsi="Times New Roman" w:cs="Times New Roman"/>
          <w:sz w:val="24"/>
          <w:szCs w:val="24"/>
        </w:rPr>
        <w:t xml:space="preserve">). </w:t>
      </w:r>
      <w:r w:rsidR="00AA4B9D" w:rsidRPr="00B55C9E">
        <w:rPr>
          <w:rFonts w:ascii="Times New Roman" w:hAnsi="Times New Roman" w:cs="Times New Roman"/>
          <w:sz w:val="24"/>
          <w:szCs w:val="24"/>
        </w:rPr>
        <w:t>W zakresie owej „gry ewaluacyjnej” sta</w:t>
      </w:r>
      <w:r w:rsidRPr="00B55C9E">
        <w:rPr>
          <w:rFonts w:ascii="Times New Roman" w:hAnsi="Times New Roman" w:cs="Times New Roman"/>
          <w:sz w:val="24"/>
          <w:szCs w:val="24"/>
        </w:rPr>
        <w:t xml:space="preserve">le </w:t>
      </w:r>
      <w:r w:rsidR="00AA4B9D" w:rsidRPr="00B55C9E">
        <w:rPr>
          <w:rFonts w:ascii="Times New Roman" w:hAnsi="Times New Roman" w:cs="Times New Roman"/>
          <w:sz w:val="24"/>
          <w:szCs w:val="24"/>
        </w:rPr>
        <w:t>prowadzone</w:t>
      </w:r>
      <w:r w:rsidRPr="00B55C9E">
        <w:rPr>
          <w:rFonts w:ascii="Times New Roman" w:hAnsi="Times New Roman" w:cs="Times New Roman"/>
          <w:sz w:val="24"/>
          <w:szCs w:val="24"/>
        </w:rPr>
        <w:t xml:space="preserve"> są indywidualne konsultacje. </w:t>
      </w:r>
    </w:p>
    <w:p w14:paraId="32AACA01" w14:textId="77777777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Dyrekcja na bieżąco poszukuje możliwości publikacyjnych dla pracowników IH w różnych czasopismach  naukowych i stymuluje przekazywanie informacji między pracownikami na ten temat. W dalszym ciągu  promuje się aktywność w zakresie pozyskiwania grantów zwłaszcza tych, które mogą być finansowane już od czerwca 2020 roku. Efektem wspomnianych rozmów z pracownikami jest możliwość weryfikowania składanych przez pracowników deklaracji, co do indywidualnej „polityki publikacyjnej”</w:t>
      </w:r>
      <w:r w:rsidR="00AA4B9D" w:rsidRPr="00B55C9E">
        <w:rPr>
          <w:rFonts w:ascii="Times New Roman" w:hAnsi="Times New Roman" w:cs="Times New Roman"/>
          <w:sz w:val="24"/>
          <w:szCs w:val="24"/>
        </w:rPr>
        <w:t>. Takie same rozmowy maj</w:t>
      </w:r>
      <w:r w:rsidR="00860A24" w:rsidRPr="00B55C9E">
        <w:rPr>
          <w:rFonts w:ascii="Times New Roman" w:hAnsi="Times New Roman" w:cs="Times New Roman"/>
          <w:sz w:val="24"/>
          <w:szCs w:val="24"/>
        </w:rPr>
        <w:t>ą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 zachęcać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AA4B9D" w:rsidRPr="00B55C9E">
        <w:rPr>
          <w:rFonts w:ascii="Times New Roman" w:hAnsi="Times New Roman" w:cs="Times New Roman"/>
          <w:sz w:val="24"/>
          <w:szCs w:val="24"/>
        </w:rPr>
        <w:t>d</w:t>
      </w:r>
      <w:r w:rsidRPr="00B55C9E">
        <w:rPr>
          <w:rFonts w:ascii="Times New Roman" w:hAnsi="Times New Roman" w:cs="Times New Roman"/>
          <w:sz w:val="24"/>
          <w:szCs w:val="24"/>
        </w:rPr>
        <w:t>o skutecznego aplikowania o granty (co mieści się w I i II obszarze oceny</w:t>
      </w:r>
      <w:r w:rsidR="00AA4B9D" w:rsidRPr="00B55C9E">
        <w:rPr>
          <w:rFonts w:ascii="Times New Roman" w:hAnsi="Times New Roman" w:cs="Times New Roman"/>
          <w:sz w:val="24"/>
          <w:szCs w:val="24"/>
        </w:rPr>
        <w:t xml:space="preserve"> IH</w:t>
      </w:r>
      <w:r w:rsidRPr="00B55C9E">
        <w:rPr>
          <w:rFonts w:ascii="Times New Roman" w:hAnsi="Times New Roman" w:cs="Times New Roman"/>
          <w:sz w:val="24"/>
          <w:szCs w:val="24"/>
        </w:rPr>
        <w:t xml:space="preserve">). W obu perspektywach (krótkiej i długiej) jako bezwzględną zasadę należy przyjąć, że </w:t>
      </w:r>
      <w:r w:rsidRPr="00B55C9E">
        <w:rPr>
          <w:rFonts w:ascii="Times New Roman" w:hAnsi="Times New Roman" w:cs="Times New Roman"/>
          <w:b/>
          <w:sz w:val="24"/>
          <w:szCs w:val="24"/>
        </w:rPr>
        <w:t>każdy pracownik powinien być albo kierownikiem realizowanego w IH grantu, albo jego wykonawcą</w:t>
      </w:r>
      <w:r w:rsidR="00826802" w:rsidRPr="00B55C9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B55C9E">
        <w:rPr>
          <w:rFonts w:ascii="Times New Roman" w:hAnsi="Times New Roman" w:cs="Times New Roman"/>
          <w:b/>
          <w:sz w:val="24"/>
          <w:szCs w:val="24"/>
        </w:rPr>
        <w:t>.</w:t>
      </w:r>
      <w:r w:rsidRPr="00B55C9E">
        <w:rPr>
          <w:rFonts w:ascii="Times New Roman" w:hAnsi="Times New Roman" w:cs="Times New Roman"/>
          <w:sz w:val="24"/>
          <w:szCs w:val="24"/>
        </w:rPr>
        <w:t xml:space="preserve"> Ze skutecznego aplikowania o środki zewnętrzne należy uczynić jedno z podstawowych kryteriów pozytywnej oceny okresowej pracownika. Promowanie grantów stało się powodem działań Dyrekcji w zakresie służbowych wyjazdów pracownika finansowanych z</w:t>
      </w:r>
      <w:r w:rsidR="00860A24" w:rsidRPr="00B55C9E">
        <w:rPr>
          <w:rFonts w:ascii="Times New Roman" w:hAnsi="Times New Roman" w:cs="Times New Roman"/>
          <w:sz w:val="24"/>
          <w:szCs w:val="24"/>
        </w:rPr>
        <w:t>e środków własnych Instytutu</w:t>
      </w:r>
      <w:r w:rsidRPr="00B55C9E">
        <w:rPr>
          <w:rFonts w:ascii="Times New Roman" w:hAnsi="Times New Roman" w:cs="Times New Roman"/>
          <w:sz w:val="24"/>
          <w:szCs w:val="24"/>
        </w:rPr>
        <w:t xml:space="preserve">. Korzystający z nich pracownicy zobowiązani są do wskazywania naukowych celów osiąganych dzięki takim wyjazdom (warto zauważyć, iż w podobny sposób wygląda planowanie wyjazdów </w:t>
      </w:r>
      <w:r w:rsidR="00860A24" w:rsidRPr="00B55C9E">
        <w:rPr>
          <w:rFonts w:ascii="Times New Roman" w:hAnsi="Times New Roman" w:cs="Times New Roman"/>
          <w:sz w:val="24"/>
          <w:szCs w:val="24"/>
        </w:rPr>
        <w:t>przewidyw</w:t>
      </w:r>
      <w:r w:rsidRPr="00B55C9E">
        <w:rPr>
          <w:rFonts w:ascii="Times New Roman" w:hAnsi="Times New Roman" w:cs="Times New Roman"/>
          <w:sz w:val="24"/>
          <w:szCs w:val="24"/>
        </w:rPr>
        <w:t>anych i odbywanych w ramach grantów)</w:t>
      </w:r>
      <w:r w:rsidR="00860A24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55C9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1444D4" w14:textId="77777777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Skoro mankamentem/słabą stroną funkcjonowania IH była i pozostaje 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wspomniana wyżej </w:t>
      </w:r>
      <w:r w:rsidRPr="00B55C9E">
        <w:rPr>
          <w:rFonts w:ascii="Times New Roman" w:hAnsi="Times New Roman" w:cs="Times New Roman"/>
          <w:sz w:val="24"/>
          <w:szCs w:val="24"/>
        </w:rPr>
        <w:t xml:space="preserve">skala umiędzynarodowienia badań (nie jest to tożsame ze współpracą międzynarodową), </w:t>
      </w:r>
      <w:r w:rsidR="00860A24" w:rsidRPr="00B55C9E">
        <w:rPr>
          <w:rFonts w:ascii="Times New Roman" w:hAnsi="Times New Roman" w:cs="Times New Roman"/>
          <w:sz w:val="24"/>
          <w:szCs w:val="24"/>
        </w:rPr>
        <w:t>to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860A24" w:rsidRPr="00B55C9E">
        <w:rPr>
          <w:rFonts w:ascii="Times New Roman" w:hAnsi="Times New Roman" w:cs="Times New Roman"/>
          <w:sz w:val="24"/>
          <w:szCs w:val="24"/>
        </w:rPr>
        <w:t>s</w:t>
      </w:r>
      <w:r w:rsidRPr="00B55C9E">
        <w:rPr>
          <w:rFonts w:ascii="Times New Roman" w:hAnsi="Times New Roman" w:cs="Times New Roman"/>
          <w:sz w:val="24"/>
          <w:szCs w:val="24"/>
        </w:rPr>
        <w:t xml:space="preserve">zansą zmiany tej sytuacji jest promowanie publikacji 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w </w:t>
      </w:r>
      <w:r w:rsidRPr="00B55C9E">
        <w:rPr>
          <w:rFonts w:ascii="Times New Roman" w:hAnsi="Times New Roman" w:cs="Times New Roman"/>
          <w:sz w:val="24"/>
          <w:szCs w:val="24"/>
        </w:rPr>
        <w:t xml:space="preserve">zagranicznych periodykach z listy ministerialnej poprzez dowartościowanie takich dokonań w okresowej ocenie pracownika 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a także wykorzystanie </w:t>
      </w:r>
      <w:r w:rsidRPr="00B55C9E">
        <w:rPr>
          <w:rFonts w:ascii="Times New Roman" w:hAnsi="Times New Roman" w:cs="Times New Roman"/>
          <w:sz w:val="24"/>
          <w:szCs w:val="24"/>
        </w:rPr>
        <w:t>system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u preferencyjnych </w:t>
      </w:r>
      <w:r w:rsidRPr="00B55C9E">
        <w:rPr>
          <w:rFonts w:ascii="Times New Roman" w:hAnsi="Times New Roman" w:cs="Times New Roman"/>
          <w:sz w:val="24"/>
          <w:szCs w:val="24"/>
        </w:rPr>
        <w:t xml:space="preserve"> nagród rektorskich). </w:t>
      </w:r>
      <w:r w:rsidR="00860A24" w:rsidRPr="00B55C9E">
        <w:rPr>
          <w:rFonts w:ascii="Times New Roman" w:hAnsi="Times New Roman" w:cs="Times New Roman"/>
          <w:sz w:val="24"/>
          <w:szCs w:val="24"/>
        </w:rPr>
        <w:t>Działania doraźne w tym zakresie opierają się na finansowaniu wyjazdów zagranicznych gwarantujących wymagan</w:t>
      </w:r>
      <w:r w:rsidR="002B0D32" w:rsidRPr="00B55C9E">
        <w:rPr>
          <w:rFonts w:ascii="Times New Roman" w:hAnsi="Times New Roman" w:cs="Times New Roman"/>
          <w:sz w:val="24"/>
          <w:szCs w:val="24"/>
        </w:rPr>
        <w:t>ą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 jakość publik</w:t>
      </w:r>
      <w:r w:rsidR="002B0D32" w:rsidRPr="00B55C9E">
        <w:rPr>
          <w:rFonts w:ascii="Times New Roman" w:hAnsi="Times New Roman" w:cs="Times New Roman"/>
          <w:sz w:val="24"/>
          <w:szCs w:val="24"/>
        </w:rPr>
        <w:t>a</w:t>
      </w:r>
      <w:r w:rsidR="00860A24" w:rsidRPr="00B55C9E">
        <w:rPr>
          <w:rFonts w:ascii="Times New Roman" w:hAnsi="Times New Roman" w:cs="Times New Roman"/>
          <w:sz w:val="24"/>
          <w:szCs w:val="24"/>
        </w:rPr>
        <w:t xml:space="preserve">cji, oraz pokrywanie kosztów tłumaczeń (ew. wnoszenia opłat za publikacje w </w:t>
      </w:r>
      <w:r w:rsidR="002B0D32" w:rsidRPr="00B55C9E">
        <w:rPr>
          <w:rFonts w:ascii="Times New Roman" w:hAnsi="Times New Roman" w:cs="Times New Roman"/>
          <w:sz w:val="24"/>
          <w:szCs w:val="24"/>
        </w:rPr>
        <w:t>wysoko punktowanych płatnych periodykach)</w:t>
      </w:r>
      <w:r w:rsidR="005C3DA1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B0D32" w:rsidRPr="00B55C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16941" w14:textId="77777777" w:rsidR="00641FAD" w:rsidRPr="00B55C9E" w:rsidRDefault="002B0D32" w:rsidP="00641FAD">
      <w:pPr>
        <w:pStyle w:val="Default"/>
        <w:ind w:firstLine="708"/>
        <w:jc w:val="both"/>
        <w:rPr>
          <w:bCs/>
          <w:color w:val="auto"/>
        </w:rPr>
      </w:pPr>
      <w:r w:rsidRPr="00B55C9E">
        <w:rPr>
          <w:color w:val="auto"/>
        </w:rPr>
        <w:t>W okresie do końca 2020 roku powinny wejść w życie wszelkie regulacje</w:t>
      </w:r>
      <w:r w:rsidR="00641FAD" w:rsidRPr="00B55C9E">
        <w:rPr>
          <w:color w:val="auto"/>
        </w:rPr>
        <w:t xml:space="preserve"> prawne porządkujące relacje mię</w:t>
      </w:r>
      <w:r w:rsidRPr="00B55C9E">
        <w:rPr>
          <w:color w:val="auto"/>
        </w:rPr>
        <w:t xml:space="preserve">dzy IH a Szkołą Doktorską Nauk Humanistycznych w zakresie historii. Naczelnymi zasadami określającymi sposób rekrutowania, jak realizacji tematów badawczych </w:t>
      </w:r>
      <w:r w:rsidR="00641FAD" w:rsidRPr="00B55C9E">
        <w:rPr>
          <w:color w:val="auto"/>
        </w:rPr>
        <w:t xml:space="preserve">w Szkole, </w:t>
      </w:r>
      <w:r w:rsidRPr="00B55C9E">
        <w:rPr>
          <w:color w:val="auto"/>
        </w:rPr>
        <w:t>powinny być transparentność</w:t>
      </w:r>
      <w:r w:rsidR="00641FAD" w:rsidRPr="00B55C9E">
        <w:rPr>
          <w:color w:val="auto"/>
        </w:rPr>
        <w:t xml:space="preserve"> wszelkich działań</w:t>
      </w:r>
      <w:r w:rsidRPr="00B55C9E">
        <w:rPr>
          <w:color w:val="auto"/>
        </w:rPr>
        <w:t xml:space="preserve">, </w:t>
      </w:r>
      <w:r w:rsidR="00641FAD" w:rsidRPr="00B55C9E">
        <w:rPr>
          <w:color w:val="auto"/>
        </w:rPr>
        <w:t xml:space="preserve">dbanie o zachowanie </w:t>
      </w:r>
      <w:r w:rsidRPr="00B55C9E">
        <w:rPr>
          <w:color w:val="auto"/>
        </w:rPr>
        <w:t>najwyższych standard</w:t>
      </w:r>
      <w:r w:rsidR="00641FAD" w:rsidRPr="00B55C9E">
        <w:rPr>
          <w:color w:val="auto"/>
        </w:rPr>
        <w:t xml:space="preserve">ów poziomu naukowego oraz skoordynowanie tematów prac doktorskich </w:t>
      </w:r>
      <w:r w:rsidR="00641FAD" w:rsidRPr="00B55C9E">
        <w:rPr>
          <w:color w:val="auto"/>
        </w:rPr>
        <w:lastRenderedPageBreak/>
        <w:t>z określonymi niżej tematami wiodącymi w badaniach IH. Celowi temu mają służyć uchwały Rady Naukowej IH w sprawie</w:t>
      </w:r>
      <w:r w:rsidR="00F15A54" w:rsidRPr="00B55C9E">
        <w:rPr>
          <w:color w:val="auto"/>
        </w:rPr>
        <w:t>:</w:t>
      </w:r>
      <w:r w:rsidR="00641FAD" w:rsidRPr="00B55C9E">
        <w:rPr>
          <w:color w:val="auto"/>
        </w:rPr>
        <w:t xml:space="preserve"> powoływania promotorów, </w:t>
      </w:r>
      <w:r w:rsidR="00F15A54" w:rsidRPr="00B55C9E">
        <w:rPr>
          <w:color w:val="auto"/>
        </w:rPr>
        <w:t>tworze</w:t>
      </w:r>
      <w:r w:rsidR="00641FAD" w:rsidRPr="00B55C9E">
        <w:rPr>
          <w:color w:val="auto"/>
        </w:rPr>
        <w:t xml:space="preserve">nia komisji do przeprowadzenia </w:t>
      </w:r>
      <w:r w:rsidR="00641FAD" w:rsidRPr="00B55C9E">
        <w:rPr>
          <w:bCs/>
          <w:color w:val="auto"/>
        </w:rPr>
        <w:t>postępowań w sprawie nadania stopnia doktora</w:t>
      </w:r>
      <w:r w:rsidR="00641FAD" w:rsidRPr="00B55C9E">
        <w:rPr>
          <w:color w:val="auto"/>
        </w:rPr>
        <w:t xml:space="preserve"> w dyscyplinie historia, w sprawie przyjęcia projektu indywidualnego planu badawczego doktorantów Szkoły Doktorskiej N</w:t>
      </w:r>
      <w:r w:rsidR="00641FAD" w:rsidRPr="00B55C9E">
        <w:rPr>
          <w:bCs/>
          <w:color w:val="auto"/>
        </w:rPr>
        <w:t xml:space="preserve">auk Humanistycznych  w Uniwersytecie Marii Curie-Skłodowskiej w Lublinie w dyscyplinie historia (dawne wysłuchania) oraz </w:t>
      </w:r>
      <w:r w:rsidR="00641FAD" w:rsidRPr="00B55C9E">
        <w:rPr>
          <w:color w:val="auto"/>
        </w:rPr>
        <w:t xml:space="preserve">w </w:t>
      </w:r>
      <w:r w:rsidR="00F15A54" w:rsidRPr="00B55C9E">
        <w:rPr>
          <w:color w:val="auto"/>
        </w:rPr>
        <w:t xml:space="preserve">kwestii </w:t>
      </w:r>
      <w:r w:rsidR="00641FAD" w:rsidRPr="00B55C9E">
        <w:rPr>
          <w:color w:val="auto"/>
        </w:rPr>
        <w:t>wytycznych do przygotowania indywidualnych planów badawczych doktorantów Szkoły Doktorskiej N</w:t>
      </w:r>
      <w:r w:rsidR="00641FAD" w:rsidRPr="00B55C9E">
        <w:rPr>
          <w:bCs/>
          <w:color w:val="auto"/>
        </w:rPr>
        <w:t>auk Humanistycznych w U</w:t>
      </w:r>
      <w:r w:rsidR="00F15A54" w:rsidRPr="00B55C9E">
        <w:rPr>
          <w:bCs/>
          <w:color w:val="auto"/>
        </w:rPr>
        <w:t xml:space="preserve">MCS </w:t>
      </w:r>
      <w:r w:rsidR="00641FAD" w:rsidRPr="00B55C9E">
        <w:rPr>
          <w:bCs/>
          <w:color w:val="auto"/>
        </w:rPr>
        <w:t>w Lublinie w dyscyplinie historia</w:t>
      </w:r>
      <w:r w:rsidR="005C3DA1" w:rsidRPr="00B55C9E">
        <w:rPr>
          <w:bCs/>
          <w:color w:val="auto"/>
        </w:rPr>
        <w:t>.</w:t>
      </w:r>
    </w:p>
    <w:p w14:paraId="644FE68F" w14:textId="77777777" w:rsidR="002B0D32" w:rsidRPr="00B55C9E" w:rsidRDefault="002B0D32" w:rsidP="002B0D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Periodyki</w:t>
      </w:r>
      <w:r w:rsidR="00641FAD" w:rsidRPr="00B55C9E">
        <w:rPr>
          <w:rFonts w:ascii="Times New Roman" w:hAnsi="Times New Roman" w:cs="Times New Roman"/>
          <w:sz w:val="24"/>
          <w:szCs w:val="24"/>
        </w:rPr>
        <w:t xml:space="preserve"> finansowane ze środków IH, które uzyskały odpowiednie finansowanie grantowe powinny realizować cele wyznaczone przez te projekty (zwłaszcza umiędzynarodowienie publikacji) w drodze do wejścia do bazy Scopus. </w:t>
      </w:r>
      <w:r w:rsidR="00884FEC" w:rsidRPr="00B55C9E">
        <w:rPr>
          <w:rFonts w:ascii="Times New Roman" w:hAnsi="Times New Roman" w:cs="Times New Roman"/>
          <w:sz w:val="24"/>
          <w:szCs w:val="24"/>
        </w:rPr>
        <w:t>Należy wspierać ścisłą współpracę</w:t>
      </w:r>
      <w:r w:rsidR="00641FAD" w:rsidRPr="00B55C9E">
        <w:rPr>
          <w:rFonts w:ascii="Times New Roman" w:hAnsi="Times New Roman" w:cs="Times New Roman"/>
          <w:sz w:val="24"/>
          <w:szCs w:val="24"/>
        </w:rPr>
        <w:t xml:space="preserve">  </w:t>
      </w:r>
      <w:r w:rsidR="00884FEC" w:rsidRPr="00B55C9E">
        <w:rPr>
          <w:rFonts w:ascii="Times New Roman" w:hAnsi="Times New Roman" w:cs="Times New Roman"/>
          <w:sz w:val="24"/>
          <w:szCs w:val="24"/>
        </w:rPr>
        <w:t>ich redakcji oraz podjąć dyskusję na temat stworzenia dla każdego z nich indywidualnego profilu publikacyjnego. Stanowią one wspólne dobro instytutu, obowiązkiem każdego pracownika powinno być wspieranie redakcji w pozyskiwaniu artykułów-zwłaszcza autorów</w:t>
      </w:r>
      <w:r w:rsidR="00F15A54" w:rsidRPr="00B55C9E">
        <w:rPr>
          <w:rFonts w:ascii="Times New Roman" w:hAnsi="Times New Roman" w:cs="Times New Roman"/>
          <w:sz w:val="24"/>
          <w:szCs w:val="24"/>
        </w:rPr>
        <w:t xml:space="preserve"> spoza Polski</w:t>
      </w:r>
      <w:r w:rsidR="00884FEC" w:rsidRPr="00B55C9E">
        <w:rPr>
          <w:rFonts w:ascii="Times New Roman" w:hAnsi="Times New Roman" w:cs="Times New Roman"/>
          <w:sz w:val="24"/>
          <w:szCs w:val="24"/>
        </w:rPr>
        <w:t>, zagranicznych członków Rad Naukowych. Zaowocuje to dalszym wzmacnianiem ich pozycji w świecie nauki a w konsekwencji również rozpoznawalności IH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 (zwłaszcza poprzez promowanie węzłowych kierunków badań – patrz poniżej)</w:t>
      </w:r>
      <w:r w:rsidR="00884FEC" w:rsidRPr="00B55C9E">
        <w:rPr>
          <w:rFonts w:ascii="Times New Roman" w:hAnsi="Times New Roman" w:cs="Times New Roman"/>
          <w:sz w:val="24"/>
          <w:szCs w:val="24"/>
        </w:rPr>
        <w:t>.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F734" w14:textId="77777777" w:rsidR="00884FEC" w:rsidRPr="00B55C9E" w:rsidRDefault="00884FEC" w:rsidP="002B0D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Wspierane finansowo przez IH konferencje powinny bezwzględnie spełniać warunki konferencji międzynarodowych, opartych na zasadach zapraszania wybitnych uczonych z zewnątrz. Ich efekt w postaci przygotowanych tekstów powinien być publikowan</w:t>
      </w:r>
      <w:r w:rsidR="00B8200C" w:rsidRPr="00B55C9E">
        <w:rPr>
          <w:rFonts w:ascii="Times New Roman" w:hAnsi="Times New Roman" w:cs="Times New Roman"/>
          <w:sz w:val="24"/>
          <w:szCs w:val="24"/>
        </w:rPr>
        <w:t>y</w:t>
      </w:r>
      <w:r w:rsidRPr="00B55C9E">
        <w:rPr>
          <w:rFonts w:ascii="Times New Roman" w:hAnsi="Times New Roman" w:cs="Times New Roman"/>
          <w:sz w:val="24"/>
          <w:szCs w:val="24"/>
        </w:rPr>
        <w:t>ch na łamach instytutowych periodyków.</w:t>
      </w:r>
    </w:p>
    <w:p w14:paraId="6BB47E5F" w14:textId="2CBB1531" w:rsidR="00860A24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W III obszarze ewaluacji za największe </w:t>
      </w:r>
      <w:r w:rsidR="0029556B" w:rsidRPr="00B55C9E">
        <w:rPr>
          <w:rFonts w:ascii="Times New Roman" w:hAnsi="Times New Roman" w:cs="Times New Roman"/>
          <w:sz w:val="24"/>
          <w:szCs w:val="24"/>
        </w:rPr>
        <w:t xml:space="preserve">dotychczasowe </w:t>
      </w:r>
      <w:r w:rsidRPr="00B55C9E">
        <w:rPr>
          <w:rFonts w:ascii="Times New Roman" w:hAnsi="Times New Roman" w:cs="Times New Roman"/>
          <w:sz w:val="24"/>
          <w:szCs w:val="24"/>
        </w:rPr>
        <w:t xml:space="preserve">osiągnięcie uznać należy finansowe efekty XX Powszechnego Zjazdu Historyków Polskich zorganizowanego dzięki grantowi ministerialnemu. Spodziewać się można, że echo Zjazdu przełoży się nie tylko na efekty punktowe, ale i rozpoznawalność IH UMCS. </w:t>
      </w:r>
      <w:r w:rsidR="0029556B" w:rsidRPr="00B55C9E">
        <w:rPr>
          <w:rFonts w:ascii="Times New Roman" w:hAnsi="Times New Roman" w:cs="Times New Roman"/>
          <w:sz w:val="24"/>
          <w:szCs w:val="24"/>
        </w:rPr>
        <w:t xml:space="preserve">Instytut posiada liczące się osiągnięcia w popularyzacji historii przy użyciu nowoczesnych 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29556B" w:rsidRPr="00B55C9E">
        <w:rPr>
          <w:rFonts w:ascii="Times New Roman" w:hAnsi="Times New Roman" w:cs="Times New Roman"/>
          <w:sz w:val="24"/>
          <w:szCs w:val="24"/>
        </w:rPr>
        <w:t xml:space="preserve">form i niestandardowych sposobów narracji historycznej. W tym względzie należy przedsiębrać konkretne działania mające na celu tworzenie startup’ów, rozeznanie możliwości 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29556B"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wzorów użytkowych i przemysłowych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Patentowego RP. Olbrzymi dorobek IH w zakresie badań regionalnych daje szanse aplikowania o środki finansowe od różnego szczebla samorządów na realizację konkretnych celów, jednak nie na zasadzie umów prywatnych z autorami, lecz </w:t>
      </w:r>
      <w:r w:rsidR="00E45710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</w:t>
      </w:r>
      <w:r w:rsidR="00E45710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dzieła poprzez umowę z UMCS. </w:t>
      </w:r>
      <w:r w:rsidR="000C16E7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jest określenie </w:t>
      </w:r>
      <w:r w:rsidR="000C16E7" w:rsidRPr="00B55C9E">
        <w:rPr>
          <w:rFonts w:ascii="Times New Roman" w:eastAsia="Calibri" w:hAnsi="Times New Roman" w:cs="Times New Roman"/>
          <w:sz w:val="24"/>
          <w:szCs w:val="24"/>
        </w:rPr>
        <w:t>wpływu naszych badań na doskonalenie prowadzenia działalności archiwalnej (rozumianej jako gromadzenie, opracowywanie i udostępnianie materiałów archiwalnych) i zarządzania tą działalnością. Wydaje się możliwe zebranie potwierdzeń takiego wpływu</w:t>
      </w:r>
      <w:r w:rsidR="00E45710" w:rsidRPr="00B55C9E">
        <w:rPr>
          <w:rFonts w:ascii="Times New Roman" w:eastAsia="Calibri" w:hAnsi="Times New Roman" w:cs="Times New Roman"/>
          <w:sz w:val="24"/>
          <w:szCs w:val="24"/>
        </w:rPr>
        <w:t>.</w:t>
      </w:r>
      <w:r w:rsidR="000C16E7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Szerokie spektrum badań prowadzonych przez pracowników  i doktorantów IH kreuje możliwości pozyskiwania środków </w:t>
      </w:r>
      <w:r w:rsidR="0028227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29556B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8227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instytucji, organizacji i biznesu (np. historia komunikacji, kolejnictwa, bankowości itd.)</w:t>
      </w:r>
      <w:r w:rsidR="00E45710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275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celu konieczne jest szybkie reagowanie na takie zlecenia na przykład poprzez odpowiednio formułowane tematy prac dyplomowych i doktorskich.</w:t>
      </w:r>
    </w:p>
    <w:p w14:paraId="066105B7" w14:textId="77777777" w:rsidR="00BF5009" w:rsidRPr="00B55C9E" w:rsidRDefault="00BF5009" w:rsidP="00BF500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Strategia długoterminowa</w:t>
      </w:r>
      <w:r w:rsidRPr="00B55C9E">
        <w:rPr>
          <w:rFonts w:ascii="Times New Roman" w:hAnsi="Times New Roman" w:cs="Times New Roman"/>
          <w:sz w:val="24"/>
          <w:szCs w:val="24"/>
        </w:rPr>
        <w:t>.</w:t>
      </w:r>
    </w:p>
    <w:p w14:paraId="5324F30E" w14:textId="77777777" w:rsidR="00BF5009" w:rsidRPr="00B55C9E" w:rsidRDefault="00BF5009" w:rsidP="00BF50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Strategia długoterminowa </w:t>
      </w:r>
      <w:r w:rsidR="00282275" w:rsidRPr="00B55C9E">
        <w:rPr>
          <w:rFonts w:ascii="Times New Roman" w:hAnsi="Times New Roman" w:cs="Times New Roman"/>
          <w:sz w:val="24"/>
          <w:szCs w:val="24"/>
        </w:rPr>
        <w:t>powinna być konsekwencją i rozwinięciem strategii krótkoterminowej. P</w:t>
      </w:r>
      <w:r w:rsidRPr="00B55C9E">
        <w:rPr>
          <w:rFonts w:ascii="Times New Roman" w:hAnsi="Times New Roman" w:cs="Times New Roman"/>
          <w:sz w:val="24"/>
          <w:szCs w:val="24"/>
        </w:rPr>
        <w:t xml:space="preserve">ozostanie </w:t>
      </w:r>
      <w:r w:rsidR="00282275" w:rsidRPr="00B55C9E">
        <w:rPr>
          <w:rFonts w:ascii="Times New Roman" w:hAnsi="Times New Roman" w:cs="Times New Roman"/>
          <w:sz w:val="24"/>
          <w:szCs w:val="24"/>
        </w:rPr>
        <w:t xml:space="preserve">też </w:t>
      </w:r>
      <w:r w:rsidRPr="00B55C9E">
        <w:rPr>
          <w:rFonts w:ascii="Times New Roman" w:hAnsi="Times New Roman" w:cs="Times New Roman"/>
          <w:sz w:val="24"/>
          <w:szCs w:val="24"/>
        </w:rPr>
        <w:t>pochodną ewaluacji z lata 2021 r. i dyskont</w:t>
      </w:r>
      <w:r w:rsidR="00282275" w:rsidRPr="00B55C9E">
        <w:rPr>
          <w:rFonts w:ascii="Times New Roman" w:hAnsi="Times New Roman" w:cs="Times New Roman"/>
          <w:sz w:val="24"/>
          <w:szCs w:val="24"/>
        </w:rPr>
        <w:t>ować będzie</w:t>
      </w:r>
      <w:r w:rsidRPr="00B55C9E">
        <w:rPr>
          <w:rFonts w:ascii="Times New Roman" w:hAnsi="Times New Roman" w:cs="Times New Roman"/>
          <w:sz w:val="24"/>
          <w:szCs w:val="24"/>
        </w:rPr>
        <w:t xml:space="preserve"> wszelkie złe i dobre doświadczenia zdobyte w okresie oceny za lata 2017-2020. Pozostaje mieć nadzieję, że podstawą jej tworzenia stanie się diagnoza dotychczasowego potencjału IH (co do liczby pracowników i jakości prowadzonych przez nich badań). Ufać należy także, że priorytetem działań w latach 2021-2024 będzie umocnienie </w:t>
      </w:r>
      <w:r w:rsidR="00282275" w:rsidRPr="00B55C9E">
        <w:rPr>
          <w:rFonts w:ascii="Times New Roman" w:hAnsi="Times New Roman" w:cs="Times New Roman"/>
          <w:sz w:val="24"/>
          <w:szCs w:val="24"/>
        </w:rPr>
        <w:t xml:space="preserve">zadawalającego </w:t>
      </w:r>
      <w:r w:rsidRPr="00B55C9E">
        <w:rPr>
          <w:rFonts w:ascii="Times New Roman" w:hAnsi="Times New Roman" w:cs="Times New Roman"/>
          <w:sz w:val="24"/>
          <w:szCs w:val="24"/>
        </w:rPr>
        <w:t xml:space="preserve">statusu </w:t>
      </w:r>
      <w:r w:rsidRPr="00B55C9E">
        <w:rPr>
          <w:rFonts w:ascii="Times New Roman" w:hAnsi="Times New Roman" w:cs="Times New Roman"/>
          <w:sz w:val="24"/>
          <w:szCs w:val="24"/>
        </w:rPr>
        <w:lastRenderedPageBreak/>
        <w:t xml:space="preserve">osiągniętego w poprzedniej ewaluacji. Niezmienne pozostaną zapewne obszary </w:t>
      </w:r>
      <w:r w:rsidR="00282275" w:rsidRPr="00B55C9E">
        <w:rPr>
          <w:rFonts w:ascii="Times New Roman" w:hAnsi="Times New Roman" w:cs="Times New Roman"/>
          <w:sz w:val="24"/>
          <w:szCs w:val="24"/>
        </w:rPr>
        <w:t xml:space="preserve">i zasady </w:t>
      </w:r>
      <w:r w:rsidRPr="00B55C9E">
        <w:rPr>
          <w:rFonts w:ascii="Times New Roman" w:hAnsi="Times New Roman" w:cs="Times New Roman"/>
          <w:sz w:val="24"/>
          <w:szCs w:val="24"/>
        </w:rPr>
        <w:t>ewaluacji</w:t>
      </w:r>
      <w:r w:rsidR="00282275" w:rsidRPr="00B55C9E">
        <w:rPr>
          <w:rFonts w:ascii="Times New Roman" w:hAnsi="Times New Roman" w:cs="Times New Roman"/>
          <w:sz w:val="24"/>
          <w:szCs w:val="24"/>
        </w:rPr>
        <w:t xml:space="preserve"> za lata 2021-2024</w:t>
      </w:r>
      <w:r w:rsidR="00282275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B55C9E">
        <w:rPr>
          <w:rFonts w:ascii="Times New Roman" w:hAnsi="Times New Roman" w:cs="Times New Roman"/>
          <w:sz w:val="24"/>
          <w:szCs w:val="24"/>
        </w:rPr>
        <w:t>.</w:t>
      </w:r>
    </w:p>
    <w:p w14:paraId="4B8D350E" w14:textId="77777777" w:rsidR="00BF5009" w:rsidRPr="00B55C9E" w:rsidRDefault="00BF5009" w:rsidP="00BF5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Obszar nauki:</w:t>
      </w:r>
    </w:p>
    <w:p w14:paraId="0339332E" w14:textId="77777777" w:rsidR="00BF5009" w:rsidRPr="00B55C9E" w:rsidRDefault="00BF5009" w:rsidP="002822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 xml:space="preserve">W obszarze nauki dominować będzie wysoka jakość oraz realizowane na wysokim poziomie, w pełni skoordynowane i spójne tematy badawcze. Ich efektem stać się powinna niezwykle ważna we współczesnej nauce tożsamość, marka i brand oparte na tradycji prowadzonych dotąd eksploracji, potrzebach/konieczności </w:t>
      </w:r>
      <w:r w:rsidR="00F15A54" w:rsidRPr="00B55C9E">
        <w:rPr>
          <w:rFonts w:ascii="Times New Roman" w:hAnsi="Times New Roman" w:cs="Times New Roman"/>
          <w:b/>
          <w:sz w:val="24"/>
          <w:szCs w:val="24"/>
        </w:rPr>
        <w:t>realizowa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nia określonych badań, obiektywnych czynnikach determinujących ich rozwój (archiwa, źródła) i wyobrażeniach na temat profilu naukowego IH UMCS. </w:t>
      </w:r>
    </w:p>
    <w:p w14:paraId="446D1E10" w14:textId="77777777" w:rsidR="00BF5009" w:rsidRPr="00B55C9E" w:rsidRDefault="00BF5009" w:rsidP="007E47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Uważać należy za błędne zbytnie rozproszenie oraz niespójność wiodącej tematyki. Czynniki wymienione powyżej powinny być uwzględnione w konkretnych propozycjach tematów, których liczba powinna </w:t>
      </w:r>
      <w:r w:rsidR="007E4794" w:rsidRPr="00B55C9E">
        <w:rPr>
          <w:rFonts w:ascii="Times New Roman" w:hAnsi="Times New Roman" w:cs="Times New Roman"/>
          <w:sz w:val="24"/>
          <w:szCs w:val="24"/>
        </w:rPr>
        <w:t>być ograniczona do kilku. Nie należy w tym względzie kierować się liczbą Katedr, a obiektywną oceną potencjału badawczego Instytutu i wolą pracowników tworzenia merytorycznych zespołów badawczych</w:t>
      </w:r>
      <w:r w:rsidRPr="00B55C9E">
        <w:rPr>
          <w:rFonts w:ascii="Times New Roman" w:hAnsi="Times New Roman" w:cs="Times New Roman"/>
          <w:sz w:val="24"/>
          <w:szCs w:val="24"/>
        </w:rPr>
        <w:t xml:space="preserve">. Węzłowe problemy badawcze powinny wyznaczać kierunki zespołowej i indywidualnej aktywności badawczej zarówno pracowników IH (planów wydawniczych, projektów grantowych, tematyki konferencji, profilu periodyków IH etc), jak i przygotowywanych pod ich kierunkiem prac dyplomowych, zwłaszcza rozpraw doktorskich. </w:t>
      </w:r>
      <w:r w:rsidRPr="00B55C9E">
        <w:rPr>
          <w:rFonts w:ascii="Times New Roman" w:hAnsi="Times New Roman" w:cs="Times New Roman"/>
          <w:b/>
          <w:sz w:val="24"/>
          <w:szCs w:val="24"/>
        </w:rPr>
        <w:t>Nie wyobrażamy sobie sytuacji, w której kandydat do szkoły doktorskiej niejako narzuca własny temat badawczy. Wydaje się bardziej właściwe odwrócenie tych relacji czyli coroczne publikowa</w:t>
      </w:r>
      <w:r w:rsidR="007E4794" w:rsidRPr="00B55C9E">
        <w:rPr>
          <w:rFonts w:ascii="Times New Roman" w:hAnsi="Times New Roman" w:cs="Times New Roman"/>
          <w:b/>
          <w:sz w:val="24"/>
          <w:szCs w:val="24"/>
        </w:rPr>
        <w:t>nie propozycji tematów prac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 mieszczących się w strategii badań naukowych IH UMCS.</w:t>
      </w:r>
      <w:r w:rsidRPr="00B55C9E">
        <w:rPr>
          <w:rFonts w:ascii="Times New Roman" w:hAnsi="Times New Roman" w:cs="Times New Roman"/>
          <w:sz w:val="24"/>
          <w:szCs w:val="24"/>
        </w:rPr>
        <w:t xml:space="preserve"> Innymi słowy</w:t>
      </w:r>
      <w:r w:rsidR="007E4794" w:rsidRPr="00B55C9E">
        <w:rPr>
          <w:rFonts w:ascii="Times New Roman" w:hAnsi="Times New Roman" w:cs="Times New Roman"/>
          <w:sz w:val="24"/>
          <w:szCs w:val="24"/>
        </w:rPr>
        <w:t>,</w:t>
      </w:r>
      <w:r w:rsidRPr="00B55C9E">
        <w:rPr>
          <w:rFonts w:ascii="Times New Roman" w:hAnsi="Times New Roman" w:cs="Times New Roman"/>
          <w:sz w:val="24"/>
          <w:szCs w:val="24"/>
        </w:rPr>
        <w:t xml:space="preserve"> odpowiedzialnie formułowane tematy byłyby gotową ofertą dla potencjalnych doktorantów</w:t>
      </w:r>
      <w:r w:rsidR="007E4794" w:rsidRPr="00B55C9E">
        <w:rPr>
          <w:rFonts w:ascii="Times New Roman" w:hAnsi="Times New Roman" w:cs="Times New Roman"/>
          <w:sz w:val="24"/>
          <w:szCs w:val="24"/>
        </w:rPr>
        <w:t xml:space="preserve"> i w możliwym zakresie spełniały również oczekiwania tzw. środowiska zewnętrznego</w:t>
      </w:r>
      <w:r w:rsidRPr="00B55C9E">
        <w:rPr>
          <w:rFonts w:ascii="Times New Roman" w:hAnsi="Times New Roman" w:cs="Times New Roman"/>
          <w:sz w:val="24"/>
          <w:szCs w:val="24"/>
        </w:rPr>
        <w:t>.</w:t>
      </w:r>
      <w:r w:rsidR="007E4794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65E9C" w14:textId="77777777" w:rsidR="00210F1E" w:rsidRPr="00B55C9E" w:rsidRDefault="00BF5009" w:rsidP="00210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TEMAT</w:t>
      </w:r>
      <w:r w:rsidR="007E4794" w:rsidRPr="00B55C9E">
        <w:rPr>
          <w:rFonts w:ascii="Times New Roman" w:hAnsi="Times New Roman" w:cs="Times New Roman"/>
          <w:sz w:val="24"/>
          <w:szCs w:val="24"/>
        </w:rPr>
        <w:t>Y</w:t>
      </w:r>
      <w:r w:rsidRPr="00B55C9E">
        <w:rPr>
          <w:rFonts w:ascii="Times New Roman" w:hAnsi="Times New Roman" w:cs="Times New Roman"/>
          <w:sz w:val="24"/>
          <w:szCs w:val="24"/>
        </w:rPr>
        <w:t xml:space="preserve"> WĘZŁOW</w:t>
      </w:r>
      <w:r w:rsidR="007E4794" w:rsidRPr="00B55C9E">
        <w:rPr>
          <w:rFonts w:ascii="Times New Roman" w:hAnsi="Times New Roman" w:cs="Times New Roman"/>
          <w:sz w:val="24"/>
          <w:szCs w:val="24"/>
        </w:rPr>
        <w:t>E</w:t>
      </w:r>
      <w:r w:rsidRPr="00B55C9E">
        <w:rPr>
          <w:rFonts w:ascii="Times New Roman" w:hAnsi="Times New Roman" w:cs="Times New Roman"/>
          <w:sz w:val="24"/>
          <w:szCs w:val="24"/>
        </w:rPr>
        <w:t>:</w:t>
      </w:r>
      <w:r w:rsidR="007E4794" w:rsidRPr="00B55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6F2D9" w14:textId="670B3ACD" w:rsidR="00A534C5" w:rsidRPr="00B55C9E" w:rsidRDefault="00A7607F" w:rsidP="00210F1E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Elity </w:t>
      </w:r>
      <w:r w:rsidR="006D131F"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wykluczeni. Modele, ideologia i praktyki społeczne  </w:t>
      </w:r>
    </w:p>
    <w:p w14:paraId="5623716D" w14:textId="63F28CB7" w:rsidR="00C047F5" w:rsidRPr="00B55C9E" w:rsidRDefault="00C047F5" w:rsidP="00A534C5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Pogranicza jako przestrzeń </w:t>
      </w:r>
      <w:r w:rsidR="006D131F"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interakcji społecznych i kreowania stereotypów </w:t>
      </w:r>
    </w:p>
    <w:p w14:paraId="1DDF028E" w14:textId="194633B1" w:rsidR="00C047F5" w:rsidRPr="00B55C9E" w:rsidRDefault="00C047F5" w:rsidP="00C047F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Przeobrażenia </w:t>
      </w:r>
      <w:r w:rsidR="00EE5108"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cywilizacyjne </w:t>
      </w: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dobie industrialnej i postindustrialnej (XIX – XXI w.) </w:t>
      </w:r>
    </w:p>
    <w:p w14:paraId="3E79D95A" w14:textId="0295198B" w:rsidR="00A534C5" w:rsidRPr="00B55C9E" w:rsidRDefault="00A534C5" w:rsidP="00A534C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Badania nad dokumentacją, kancelariami, archiwami </w:t>
      </w:r>
      <w:r w:rsidR="00B91EBE"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bibliotekami oraz </w:t>
      </w:r>
      <w:r w:rsidRPr="00B55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biurokracją na przestrzeni dziejów i współcześnie. </w:t>
      </w:r>
    </w:p>
    <w:p w14:paraId="3DFB72C9" w14:textId="420687D3" w:rsidR="007E4794" w:rsidRPr="00B55C9E" w:rsidRDefault="006D131F" w:rsidP="007A34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 xml:space="preserve">Rodzina, ród i wspólnoty w dziejach </w:t>
      </w:r>
    </w:p>
    <w:p w14:paraId="168D5B02" w14:textId="5959AF4D" w:rsidR="007A3496" w:rsidRPr="00B55C9E" w:rsidRDefault="006D131F" w:rsidP="007A34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 xml:space="preserve">Recepcja i mediatyzacja przeszłości w przestrzeni publicznej </w:t>
      </w:r>
    </w:p>
    <w:p w14:paraId="27361D9A" w14:textId="21DD7233" w:rsidR="006D131F" w:rsidRPr="00B55C9E" w:rsidRDefault="006D131F" w:rsidP="007A34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Źródłoznawstwo</w:t>
      </w:r>
      <w:r w:rsidR="00B91EBE" w:rsidRPr="00B55C9E">
        <w:rPr>
          <w:rFonts w:ascii="Times New Roman" w:hAnsi="Times New Roman" w:cs="Times New Roman"/>
          <w:b/>
          <w:sz w:val="24"/>
          <w:szCs w:val="24"/>
        </w:rPr>
        <w:t>, nauki pomocnicze historii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 i edytorstwo historyczne </w:t>
      </w:r>
    </w:p>
    <w:p w14:paraId="571CEB91" w14:textId="38148C54" w:rsidR="00B91EBE" w:rsidRPr="00B55C9E" w:rsidRDefault="00B91EBE" w:rsidP="007A34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b/>
          <w:sz w:val="24"/>
          <w:szCs w:val="24"/>
        </w:rPr>
        <w:t>Metodologia historii i dzieje historiografii</w:t>
      </w:r>
    </w:p>
    <w:p w14:paraId="726F5718" w14:textId="77777777" w:rsidR="00BF5009" w:rsidRPr="00B55C9E" w:rsidRDefault="00BF5009" w:rsidP="00BF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CELE I DZIAŁANIA SZCZEGÓŁOWE: </w:t>
      </w:r>
    </w:p>
    <w:p w14:paraId="346D17E6" w14:textId="562DB9AC" w:rsidR="00BF5009" w:rsidRPr="00B55C9E" w:rsidRDefault="00996749" w:rsidP="009967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P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eriodyki 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finansowane ze środków IH </w:t>
      </w:r>
      <w:r w:rsidRPr="00B55C9E">
        <w:rPr>
          <w:rFonts w:ascii="Times New Roman" w:hAnsi="Times New Roman" w:cs="Times New Roman"/>
          <w:sz w:val="24"/>
          <w:szCs w:val="24"/>
        </w:rPr>
        <w:t>po wejściu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do bazy Scopus </w:t>
      </w:r>
      <w:r w:rsidR="00B8200C" w:rsidRPr="00B55C9E">
        <w:rPr>
          <w:rFonts w:ascii="Times New Roman" w:hAnsi="Times New Roman" w:cs="Times New Roman"/>
          <w:sz w:val="24"/>
          <w:szCs w:val="24"/>
        </w:rPr>
        <w:t>zachow</w:t>
      </w:r>
      <w:r w:rsidRPr="00B55C9E">
        <w:rPr>
          <w:rFonts w:ascii="Times New Roman" w:hAnsi="Times New Roman" w:cs="Times New Roman"/>
          <w:sz w:val="24"/>
          <w:szCs w:val="24"/>
        </w:rPr>
        <w:t>a</w:t>
      </w:r>
      <w:r w:rsidR="00B8200C" w:rsidRPr="00B55C9E">
        <w:rPr>
          <w:rFonts w:ascii="Times New Roman" w:hAnsi="Times New Roman" w:cs="Times New Roman"/>
          <w:sz w:val="24"/>
          <w:szCs w:val="24"/>
        </w:rPr>
        <w:t>ją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tożsamość 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 IH UMCS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(węzłowych badań)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Kontynuowany będzie proces ich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710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rozdziel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sfer zainteresowania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F5009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by nie konkurowały ze sobą. </w:t>
      </w:r>
      <w:r w:rsidR="00B8200C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dylatacja może mieć charakter podziału na epoki lub określony, zgodny z profilem IH UMCS, kierunek badawczy.  </w:t>
      </w:r>
    </w:p>
    <w:p w14:paraId="583AA6D9" w14:textId="4B31C984" w:rsidR="00BF5009" w:rsidRPr="00B55C9E" w:rsidRDefault="00996749" w:rsidP="00996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R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ozwijanie </w:t>
      </w:r>
      <w:r w:rsidR="00BF5009" w:rsidRPr="00B55C9E">
        <w:rPr>
          <w:rFonts w:ascii="Times New Roman" w:hAnsi="Times New Roman" w:cs="Times New Roman"/>
          <w:sz w:val="24"/>
          <w:szCs w:val="24"/>
        </w:rPr>
        <w:t>współprac</w:t>
      </w:r>
      <w:r w:rsidR="00B8200C" w:rsidRPr="00B55C9E">
        <w:rPr>
          <w:rFonts w:ascii="Times New Roman" w:hAnsi="Times New Roman" w:cs="Times New Roman"/>
          <w:sz w:val="24"/>
          <w:szCs w:val="24"/>
        </w:rPr>
        <w:t>y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B8200C" w:rsidRPr="00B55C9E">
        <w:rPr>
          <w:rFonts w:ascii="Times New Roman" w:hAnsi="Times New Roman" w:cs="Times New Roman"/>
          <w:sz w:val="24"/>
          <w:szCs w:val="24"/>
        </w:rPr>
        <w:t>ej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i umiędzynarodowieni</w:t>
      </w:r>
      <w:r w:rsidR="00B8200C"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badań </w:t>
      </w:r>
      <w:r w:rsidR="00B8200C" w:rsidRPr="00B55C9E">
        <w:rPr>
          <w:rFonts w:ascii="Times New Roman" w:hAnsi="Times New Roman" w:cs="Times New Roman"/>
          <w:sz w:val="24"/>
          <w:szCs w:val="24"/>
        </w:rPr>
        <w:t>będzie kontynuowan</w:t>
      </w:r>
      <w:r w:rsidRPr="00B55C9E">
        <w:rPr>
          <w:rFonts w:ascii="Times New Roman" w:hAnsi="Times New Roman" w:cs="Times New Roman"/>
          <w:sz w:val="24"/>
          <w:szCs w:val="24"/>
        </w:rPr>
        <w:t>e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na zasadzie ewaluacyjnie wymiernych korzyści naukowych </w:t>
      </w:r>
      <w:r w:rsidR="00B8200C" w:rsidRPr="00B55C9E">
        <w:rPr>
          <w:rFonts w:ascii="Times New Roman" w:hAnsi="Times New Roman" w:cs="Times New Roman"/>
          <w:sz w:val="24"/>
          <w:szCs w:val="24"/>
        </w:rPr>
        <w:t>(co dotyczy</w:t>
      </w:r>
      <w:r w:rsidR="00B8200C"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0C" w:rsidRPr="00B55C9E">
        <w:rPr>
          <w:rFonts w:ascii="Times New Roman" w:hAnsi="Times New Roman" w:cs="Times New Roman"/>
          <w:sz w:val="24"/>
          <w:szCs w:val="24"/>
        </w:rPr>
        <w:t>wyjazdów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na znaczące konferencje zagraniczne, zapraszani</w:t>
      </w:r>
      <w:r w:rsidR="00B8200C"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zagranicznych gości, </w:t>
      </w:r>
      <w:r w:rsidR="00B8200C" w:rsidRPr="00B55C9E">
        <w:rPr>
          <w:rFonts w:ascii="Times New Roman" w:hAnsi="Times New Roman" w:cs="Times New Roman"/>
          <w:sz w:val="24"/>
          <w:szCs w:val="24"/>
        </w:rPr>
        <w:t xml:space="preserve">tworzenia </w:t>
      </w:r>
      <w:r w:rsidR="00BF5009" w:rsidRPr="00B55C9E">
        <w:rPr>
          <w:rFonts w:ascii="Times New Roman" w:hAnsi="Times New Roman" w:cs="Times New Roman"/>
          <w:sz w:val="24"/>
          <w:szCs w:val="24"/>
        </w:rPr>
        <w:t>ofert</w:t>
      </w:r>
      <w:r w:rsidR="00B8200C" w:rsidRPr="00B55C9E">
        <w:rPr>
          <w:rFonts w:ascii="Times New Roman" w:hAnsi="Times New Roman" w:cs="Times New Roman"/>
          <w:sz w:val="24"/>
          <w:szCs w:val="24"/>
        </w:rPr>
        <w:t>y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zatrudnienio</w:t>
      </w:r>
      <w:r w:rsidR="00B8200C" w:rsidRPr="00B55C9E">
        <w:rPr>
          <w:rFonts w:ascii="Times New Roman" w:hAnsi="Times New Roman" w:cs="Times New Roman"/>
          <w:sz w:val="24"/>
          <w:szCs w:val="24"/>
        </w:rPr>
        <w:t>wej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Pr="00B55C9E">
        <w:rPr>
          <w:rFonts w:ascii="Times New Roman" w:hAnsi="Times New Roman" w:cs="Times New Roman"/>
          <w:sz w:val="24"/>
          <w:szCs w:val="24"/>
        </w:rPr>
        <w:t xml:space="preserve">kierowanej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do międzynarodowego odbiorcy, rozwój </w:t>
      </w:r>
      <w:r w:rsidR="00BF5009" w:rsidRPr="00B55C9E">
        <w:rPr>
          <w:rFonts w:ascii="Times New Roman" w:hAnsi="Times New Roman" w:cs="Times New Roman"/>
          <w:sz w:val="24"/>
          <w:szCs w:val="24"/>
        </w:rPr>
        <w:lastRenderedPageBreak/>
        <w:t xml:space="preserve">inicjatywy </w:t>
      </w:r>
      <w:r w:rsidRPr="00B55C9E">
        <w:rPr>
          <w:rFonts w:ascii="Times New Roman" w:hAnsi="Times New Roman" w:cs="Times New Roman"/>
          <w:sz w:val="24"/>
          <w:szCs w:val="24"/>
        </w:rPr>
        <w:t>„</w:t>
      </w:r>
      <w:r w:rsidR="00BF5009" w:rsidRPr="00B55C9E">
        <w:rPr>
          <w:rFonts w:ascii="Times New Roman" w:hAnsi="Times New Roman" w:cs="Times New Roman"/>
          <w:sz w:val="24"/>
          <w:szCs w:val="24"/>
        </w:rPr>
        <w:t>Research in Lublin</w:t>
      </w:r>
      <w:r w:rsidRPr="00B55C9E">
        <w:rPr>
          <w:rFonts w:ascii="Times New Roman" w:hAnsi="Times New Roman" w:cs="Times New Roman"/>
          <w:sz w:val="24"/>
          <w:szCs w:val="24"/>
        </w:rPr>
        <w:t>”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(</w:t>
      </w:r>
      <w:r w:rsidRPr="00B55C9E">
        <w:rPr>
          <w:rFonts w:ascii="Times New Roman" w:hAnsi="Times New Roman" w:cs="Times New Roman"/>
          <w:sz w:val="24"/>
          <w:szCs w:val="24"/>
        </w:rPr>
        <w:t xml:space="preserve">ścisła współpraca z </w:t>
      </w:r>
      <w:r w:rsidR="00BF5009" w:rsidRPr="00B55C9E">
        <w:rPr>
          <w:rFonts w:ascii="Times New Roman" w:hAnsi="Times New Roman" w:cs="Times New Roman"/>
          <w:sz w:val="24"/>
          <w:szCs w:val="24"/>
        </w:rPr>
        <w:t>C</w:t>
      </w:r>
      <w:r w:rsidRPr="00B55C9E">
        <w:rPr>
          <w:rFonts w:ascii="Times New Roman" w:hAnsi="Times New Roman" w:cs="Times New Roman"/>
          <w:sz w:val="24"/>
          <w:szCs w:val="24"/>
        </w:rPr>
        <w:t xml:space="preserve">entrum </w:t>
      </w:r>
      <w:r w:rsidR="00BF5009" w:rsidRPr="00B55C9E">
        <w:rPr>
          <w:rFonts w:ascii="Times New Roman" w:hAnsi="Times New Roman" w:cs="Times New Roman"/>
          <w:sz w:val="24"/>
          <w:szCs w:val="24"/>
        </w:rPr>
        <w:t>W</w:t>
      </w:r>
      <w:r w:rsidRPr="00B55C9E">
        <w:rPr>
          <w:rFonts w:ascii="Times New Roman" w:hAnsi="Times New Roman" w:cs="Times New Roman"/>
          <w:sz w:val="24"/>
          <w:szCs w:val="24"/>
        </w:rPr>
        <w:t xml:space="preserve">spółpracy </w:t>
      </w:r>
      <w:r w:rsidR="00BF5009" w:rsidRPr="00B55C9E">
        <w:rPr>
          <w:rFonts w:ascii="Times New Roman" w:hAnsi="Times New Roman" w:cs="Times New Roman"/>
          <w:sz w:val="24"/>
          <w:szCs w:val="24"/>
        </w:rPr>
        <w:t>M</w:t>
      </w:r>
      <w:r w:rsidRPr="00B55C9E">
        <w:rPr>
          <w:rFonts w:ascii="Times New Roman" w:hAnsi="Times New Roman" w:cs="Times New Roman"/>
          <w:sz w:val="24"/>
          <w:szCs w:val="24"/>
        </w:rPr>
        <w:t>iędzynarodowej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UMCS), stworzeni</w:t>
      </w:r>
      <w:r w:rsidR="00B8200C" w:rsidRPr="00B55C9E">
        <w:rPr>
          <w:rFonts w:ascii="Times New Roman" w:hAnsi="Times New Roman" w:cs="Times New Roman"/>
          <w:sz w:val="24"/>
          <w:szCs w:val="24"/>
        </w:rPr>
        <w:t>a spójnego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programu </w:t>
      </w:r>
      <w:r w:rsidR="00B8200C" w:rsidRPr="00B55C9E">
        <w:rPr>
          <w:rFonts w:ascii="Times New Roman" w:hAnsi="Times New Roman" w:cs="Times New Roman"/>
          <w:sz w:val="24"/>
          <w:szCs w:val="24"/>
        </w:rPr>
        <w:t>„</w:t>
      </w:r>
      <w:r w:rsidR="00BF5009" w:rsidRPr="00B55C9E">
        <w:rPr>
          <w:rFonts w:ascii="Times New Roman" w:hAnsi="Times New Roman" w:cs="Times New Roman"/>
          <w:sz w:val="24"/>
          <w:szCs w:val="24"/>
        </w:rPr>
        <w:t>visiting professors in Lublin</w:t>
      </w:r>
      <w:r w:rsidR="00B8200C" w:rsidRPr="00B55C9E">
        <w:rPr>
          <w:rFonts w:ascii="Times New Roman" w:hAnsi="Times New Roman" w:cs="Times New Roman"/>
          <w:sz w:val="24"/>
          <w:szCs w:val="24"/>
        </w:rPr>
        <w:t>”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, </w:t>
      </w:r>
      <w:r w:rsidR="00B8200C" w:rsidRPr="00B55C9E">
        <w:rPr>
          <w:rFonts w:ascii="Times New Roman" w:hAnsi="Times New Roman" w:cs="Times New Roman"/>
          <w:sz w:val="24"/>
          <w:szCs w:val="24"/>
        </w:rPr>
        <w:t>umiędzynarodowienia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zespołów badawczych, wchodzeni</w:t>
      </w:r>
      <w:r w:rsidR="00B8200C"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do zagr</w:t>
      </w:r>
      <w:r w:rsidR="00B8200C" w:rsidRPr="00B55C9E">
        <w:rPr>
          <w:rFonts w:ascii="Times New Roman" w:hAnsi="Times New Roman" w:cs="Times New Roman"/>
          <w:sz w:val="24"/>
          <w:szCs w:val="24"/>
        </w:rPr>
        <w:t>anicznych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grantów, publikowani</w:t>
      </w:r>
      <w:r w:rsidR="00B8200C"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w językach kongresowych</w:t>
      </w:r>
      <w:r w:rsidRPr="00B55C9E">
        <w:rPr>
          <w:rFonts w:ascii="Times New Roman" w:hAnsi="Times New Roman" w:cs="Times New Roman"/>
          <w:sz w:val="24"/>
          <w:szCs w:val="24"/>
        </w:rPr>
        <w:t>)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.  </w:t>
      </w:r>
      <w:r w:rsidR="00B8200C" w:rsidRPr="00B55C9E">
        <w:rPr>
          <w:rFonts w:ascii="Times New Roman" w:hAnsi="Times New Roman" w:cs="Times New Roman"/>
          <w:sz w:val="24"/>
          <w:szCs w:val="24"/>
        </w:rPr>
        <w:t>Cele te będą realizowane poprzez: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zwiększenie finansowania publikacji w językach obcych (tłumaczenia), zwiększenie cytowalności (</w:t>
      </w:r>
      <w:r w:rsidRPr="00B55C9E">
        <w:rPr>
          <w:rFonts w:ascii="Times New Roman" w:hAnsi="Times New Roman" w:cs="Times New Roman"/>
          <w:sz w:val="24"/>
          <w:szCs w:val="24"/>
        </w:rPr>
        <w:t xml:space="preserve">indywidualne profile pracowników na </w:t>
      </w:r>
      <w:r w:rsidR="00BF5009" w:rsidRPr="00B55C9E">
        <w:rPr>
          <w:rFonts w:ascii="Times New Roman" w:hAnsi="Times New Roman" w:cs="Times New Roman"/>
          <w:sz w:val="24"/>
          <w:szCs w:val="24"/>
        </w:rPr>
        <w:t>Academia.edu, Researchgate</w:t>
      </w:r>
      <w:r w:rsidRPr="00B55C9E">
        <w:rPr>
          <w:rFonts w:ascii="Times New Roman" w:hAnsi="Times New Roman" w:cs="Times New Roman"/>
          <w:sz w:val="24"/>
          <w:szCs w:val="24"/>
        </w:rPr>
        <w:t xml:space="preserve"> etc.</w:t>
      </w:r>
      <w:r w:rsidR="00BF5009" w:rsidRPr="00B55C9E">
        <w:rPr>
          <w:rFonts w:ascii="Times New Roman" w:hAnsi="Times New Roman" w:cs="Times New Roman"/>
          <w:sz w:val="24"/>
          <w:szCs w:val="24"/>
        </w:rPr>
        <w:t>)</w:t>
      </w:r>
      <w:r w:rsidRPr="00B55C9E">
        <w:rPr>
          <w:rFonts w:ascii="Times New Roman" w:hAnsi="Times New Roman" w:cs="Times New Roman"/>
          <w:sz w:val="24"/>
          <w:szCs w:val="24"/>
        </w:rPr>
        <w:t>,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promowanie aktywności w tym zakresie w okresowej ocenie pracownika; wykorzystanie rektorskiego systemu nagród; </w:t>
      </w:r>
      <w:r w:rsidRPr="00B55C9E">
        <w:rPr>
          <w:rFonts w:ascii="Times New Roman" w:hAnsi="Times New Roman" w:cs="Times New Roman"/>
          <w:sz w:val="24"/>
          <w:szCs w:val="24"/>
        </w:rPr>
        <w:t xml:space="preserve">jedna lub dwie </w:t>
      </w:r>
      <w:r w:rsidR="00BF5009" w:rsidRPr="00B55C9E">
        <w:rPr>
          <w:rFonts w:ascii="Times New Roman" w:hAnsi="Times New Roman" w:cs="Times New Roman"/>
          <w:sz w:val="24"/>
          <w:szCs w:val="24"/>
        </w:rPr>
        <w:t>rocznie uprofilowan</w:t>
      </w:r>
      <w:r w:rsidRPr="00B55C9E">
        <w:rPr>
          <w:rFonts w:ascii="Times New Roman" w:hAnsi="Times New Roman" w:cs="Times New Roman"/>
          <w:sz w:val="24"/>
          <w:szCs w:val="24"/>
        </w:rPr>
        <w:t>e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tematycznie międzynarodow</w:t>
      </w:r>
      <w:r w:rsidRPr="00B55C9E">
        <w:rPr>
          <w:rFonts w:ascii="Times New Roman" w:hAnsi="Times New Roman" w:cs="Times New Roman"/>
          <w:sz w:val="24"/>
          <w:szCs w:val="24"/>
        </w:rPr>
        <w:t>e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Pr="00B55C9E">
        <w:rPr>
          <w:rFonts w:ascii="Times New Roman" w:hAnsi="Times New Roman" w:cs="Times New Roman"/>
          <w:sz w:val="24"/>
          <w:szCs w:val="24"/>
        </w:rPr>
        <w:t>z udziałem roztropnie wybranych za</w:t>
      </w:r>
      <w:r w:rsidR="00BF5009" w:rsidRPr="00B55C9E">
        <w:rPr>
          <w:rFonts w:ascii="Times New Roman" w:hAnsi="Times New Roman" w:cs="Times New Roman"/>
          <w:sz w:val="24"/>
          <w:szCs w:val="24"/>
        </w:rPr>
        <w:t>pr</w:t>
      </w:r>
      <w:r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>sz</w:t>
      </w:r>
      <w:r w:rsidRPr="00B55C9E">
        <w:rPr>
          <w:rFonts w:ascii="Times New Roman" w:hAnsi="Times New Roman" w:cs="Times New Roman"/>
          <w:sz w:val="24"/>
          <w:szCs w:val="24"/>
        </w:rPr>
        <w:t>a</w:t>
      </w:r>
      <w:r w:rsidR="00BF5009" w:rsidRPr="00B55C9E">
        <w:rPr>
          <w:rFonts w:ascii="Times New Roman" w:hAnsi="Times New Roman" w:cs="Times New Roman"/>
          <w:sz w:val="24"/>
          <w:szCs w:val="24"/>
        </w:rPr>
        <w:t>nych</w:t>
      </w:r>
      <w:r w:rsidRPr="00B55C9E">
        <w:rPr>
          <w:rFonts w:ascii="Times New Roman" w:hAnsi="Times New Roman" w:cs="Times New Roman"/>
          <w:sz w:val="24"/>
          <w:szCs w:val="24"/>
        </w:rPr>
        <w:t xml:space="preserve"> gości</w:t>
      </w:r>
      <w:r w:rsidR="00DA74C2" w:rsidRPr="00B55C9E">
        <w:rPr>
          <w:rFonts w:ascii="Times New Roman" w:hAnsi="Times New Roman" w:cs="Times New Roman"/>
          <w:sz w:val="24"/>
          <w:szCs w:val="24"/>
        </w:rPr>
        <w:t>.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konferencji</w:t>
      </w:r>
      <w:r w:rsidR="00BF5009"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naukowych </w:t>
      </w:r>
      <w:r w:rsidRPr="00B55C9E">
        <w:rPr>
          <w:rFonts w:ascii="Times New Roman" w:hAnsi="Times New Roman" w:cs="Times New Roman"/>
          <w:sz w:val="24"/>
          <w:szCs w:val="24"/>
        </w:rPr>
        <w:t xml:space="preserve">z efektem </w:t>
      </w:r>
      <w:r w:rsidR="00BF5009" w:rsidRPr="00B55C9E">
        <w:rPr>
          <w:rFonts w:ascii="Times New Roman" w:hAnsi="Times New Roman" w:cs="Times New Roman"/>
          <w:sz w:val="24"/>
          <w:szCs w:val="24"/>
        </w:rPr>
        <w:t>publik</w:t>
      </w:r>
      <w:r w:rsidRPr="00B55C9E">
        <w:rPr>
          <w:rFonts w:ascii="Times New Roman" w:hAnsi="Times New Roman" w:cs="Times New Roman"/>
          <w:sz w:val="24"/>
          <w:szCs w:val="24"/>
        </w:rPr>
        <w:t xml:space="preserve">acyjnym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w </w:t>
      </w:r>
      <w:r w:rsidRPr="00B55C9E">
        <w:rPr>
          <w:rFonts w:ascii="Times New Roman" w:hAnsi="Times New Roman" w:cs="Times New Roman"/>
          <w:sz w:val="24"/>
          <w:szCs w:val="24"/>
        </w:rPr>
        <w:t xml:space="preserve">postaci tekstów w </w:t>
      </w:r>
      <w:r w:rsidR="00BF5009" w:rsidRPr="00B55C9E">
        <w:rPr>
          <w:rFonts w:ascii="Times New Roman" w:hAnsi="Times New Roman" w:cs="Times New Roman"/>
          <w:sz w:val="24"/>
          <w:szCs w:val="24"/>
        </w:rPr>
        <w:t>naszych periodykach</w:t>
      </w:r>
      <w:r w:rsidR="00DA74C2" w:rsidRPr="00B55C9E">
        <w:rPr>
          <w:rFonts w:ascii="Times New Roman" w:hAnsi="Times New Roman" w:cs="Times New Roman"/>
          <w:sz w:val="24"/>
          <w:szCs w:val="24"/>
        </w:rPr>
        <w:t xml:space="preserve">. </w:t>
      </w:r>
      <w:r w:rsidR="00DA74C2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istotne będą działania na kierunkach bezpośrednio związanych z historią Państwa i Narodu Polskiego</w:t>
      </w:r>
      <w:r w:rsidR="00E45710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74C2" w:rsidRPr="00B5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bezpośrednio przekłada się na przechowywane tam zasoby archiwalne i biblioteczne. Za kluczową uznać trzeba stałą obecność publikacji naszych pracowników w punktowanych periodykach krajów b. Imperium Rosyjskiego i ZSRR oraz krajach Europy Środkowej. </w:t>
      </w:r>
    </w:p>
    <w:p w14:paraId="5D1FB9EF" w14:textId="7FB3A4BC" w:rsidR="00BF5009" w:rsidRPr="00B55C9E" w:rsidRDefault="00996749" w:rsidP="008268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Skala i zasięg sięgania po środki zewnętrzne nie opiera się już na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09" w:rsidRPr="00B55C9E">
        <w:rPr>
          <w:rFonts w:ascii="Times New Roman" w:hAnsi="Times New Roman" w:cs="Times New Roman"/>
          <w:sz w:val="24"/>
          <w:szCs w:val="24"/>
        </w:rPr>
        <w:t>przekonani</w:t>
      </w:r>
      <w:r w:rsidRPr="00B55C9E">
        <w:rPr>
          <w:rFonts w:ascii="Times New Roman" w:hAnsi="Times New Roman" w:cs="Times New Roman"/>
          <w:sz w:val="24"/>
          <w:szCs w:val="24"/>
        </w:rPr>
        <w:t>u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, że samo aplikowanie o </w:t>
      </w:r>
      <w:r w:rsidRPr="00B55C9E">
        <w:rPr>
          <w:rFonts w:ascii="Times New Roman" w:hAnsi="Times New Roman" w:cs="Times New Roman"/>
          <w:sz w:val="24"/>
          <w:szCs w:val="24"/>
        </w:rPr>
        <w:t xml:space="preserve">projekt </w:t>
      </w:r>
      <w:r w:rsidR="00BF5009" w:rsidRPr="00B55C9E">
        <w:rPr>
          <w:rFonts w:ascii="Times New Roman" w:hAnsi="Times New Roman" w:cs="Times New Roman"/>
          <w:sz w:val="24"/>
          <w:szCs w:val="24"/>
        </w:rPr>
        <w:t>badawczy (</w:t>
      </w:r>
      <w:r w:rsidRPr="00B55C9E">
        <w:rPr>
          <w:rFonts w:ascii="Times New Roman" w:hAnsi="Times New Roman" w:cs="Times New Roman"/>
          <w:sz w:val="24"/>
          <w:szCs w:val="24"/>
        </w:rPr>
        <w:t>lub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dydaktyczny!) stanowi wystarczające kryterium </w:t>
      </w:r>
      <w:r w:rsidRPr="00B55C9E">
        <w:rPr>
          <w:rFonts w:ascii="Times New Roman" w:hAnsi="Times New Roman" w:cs="Times New Roman"/>
          <w:sz w:val="24"/>
          <w:szCs w:val="24"/>
        </w:rPr>
        <w:t xml:space="preserve">pozytywnej </w:t>
      </w:r>
      <w:r w:rsidR="00BF5009" w:rsidRPr="00B55C9E">
        <w:rPr>
          <w:rFonts w:ascii="Times New Roman" w:hAnsi="Times New Roman" w:cs="Times New Roman"/>
          <w:sz w:val="24"/>
          <w:szCs w:val="24"/>
        </w:rPr>
        <w:t>oceny okresowej pracownika.</w:t>
      </w:r>
      <w:r w:rsidR="00BF5009"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09" w:rsidRPr="00B55C9E">
        <w:rPr>
          <w:rFonts w:ascii="Times New Roman" w:hAnsi="Times New Roman" w:cs="Times New Roman"/>
          <w:sz w:val="24"/>
          <w:szCs w:val="24"/>
        </w:rPr>
        <w:t>Zasadą</w:t>
      </w:r>
      <w:r w:rsidRPr="00B55C9E">
        <w:rPr>
          <w:rFonts w:ascii="Times New Roman" w:hAnsi="Times New Roman" w:cs="Times New Roman"/>
          <w:sz w:val="24"/>
          <w:szCs w:val="24"/>
        </w:rPr>
        <w:t xml:space="preserve"> staje się</w:t>
      </w:r>
      <w:r w:rsidR="00BF5009" w:rsidRPr="00B55C9E">
        <w:rPr>
          <w:rFonts w:ascii="Times New Roman" w:hAnsi="Times New Roman" w:cs="Times New Roman"/>
          <w:sz w:val="24"/>
          <w:szCs w:val="24"/>
        </w:rPr>
        <w:t>, że każdy pracownik powinien być albo kierownikiem</w:t>
      </w:r>
      <w:r w:rsidRPr="00B55C9E">
        <w:rPr>
          <w:rFonts w:ascii="Times New Roman" w:hAnsi="Times New Roman" w:cs="Times New Roman"/>
          <w:sz w:val="24"/>
          <w:szCs w:val="24"/>
        </w:rPr>
        <w:t>,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albo realizatorem grantu realizowanego w ramach UMCS. Naturalną drogą zakończoną aplikowaniem i realizacj</w:t>
      </w:r>
      <w:r w:rsidRPr="00B55C9E">
        <w:rPr>
          <w:rFonts w:ascii="Times New Roman" w:hAnsi="Times New Roman" w:cs="Times New Roman"/>
          <w:sz w:val="24"/>
          <w:szCs w:val="24"/>
        </w:rPr>
        <w:t>ą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grantów </w:t>
      </w:r>
      <w:r w:rsidRPr="00B55C9E">
        <w:rPr>
          <w:rFonts w:ascii="Times New Roman" w:hAnsi="Times New Roman" w:cs="Times New Roman"/>
          <w:sz w:val="24"/>
          <w:szCs w:val="24"/>
        </w:rPr>
        <w:t xml:space="preserve">są Katedry i </w:t>
      </w:r>
      <w:r w:rsidR="00BF5009" w:rsidRPr="00B55C9E">
        <w:rPr>
          <w:rFonts w:ascii="Times New Roman" w:hAnsi="Times New Roman" w:cs="Times New Roman"/>
          <w:sz w:val="24"/>
          <w:szCs w:val="24"/>
        </w:rPr>
        <w:t>zespoły badawcze (</w:t>
      </w:r>
      <w:r w:rsidRPr="00B55C9E">
        <w:rPr>
          <w:rFonts w:ascii="Times New Roman" w:hAnsi="Times New Roman" w:cs="Times New Roman"/>
          <w:sz w:val="24"/>
          <w:szCs w:val="24"/>
        </w:rPr>
        <w:t xml:space="preserve">organizacyjne jądro takich projektów powinno tkwić w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IH </w:t>
      </w:r>
      <w:r w:rsidRPr="00B55C9E">
        <w:rPr>
          <w:rFonts w:ascii="Times New Roman" w:hAnsi="Times New Roman" w:cs="Times New Roman"/>
          <w:sz w:val="24"/>
          <w:szCs w:val="24"/>
        </w:rPr>
        <w:t>– patrz</w:t>
      </w:r>
      <w:r w:rsidR="00E45710" w:rsidRPr="00B55C9E">
        <w:rPr>
          <w:rFonts w:ascii="Times New Roman" w:hAnsi="Times New Roman" w:cs="Times New Roman"/>
          <w:sz w:val="24"/>
          <w:szCs w:val="24"/>
        </w:rPr>
        <w:t>,</w:t>
      </w:r>
      <w:r w:rsidRPr="00B55C9E">
        <w:rPr>
          <w:rFonts w:ascii="Times New Roman" w:hAnsi="Times New Roman" w:cs="Times New Roman"/>
          <w:sz w:val="24"/>
          <w:szCs w:val="24"/>
        </w:rPr>
        <w:t xml:space="preserve"> kierownik grantu)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. </w:t>
      </w:r>
      <w:r w:rsidR="00826802" w:rsidRPr="00B55C9E">
        <w:rPr>
          <w:rFonts w:ascii="Times New Roman" w:hAnsi="Times New Roman" w:cs="Times New Roman"/>
          <w:sz w:val="24"/>
          <w:szCs w:val="24"/>
        </w:rPr>
        <w:t>P</w:t>
      </w:r>
      <w:r w:rsidR="00BF5009" w:rsidRPr="00B55C9E">
        <w:rPr>
          <w:rFonts w:ascii="Times New Roman" w:hAnsi="Times New Roman" w:cs="Times New Roman"/>
          <w:sz w:val="24"/>
          <w:szCs w:val="24"/>
        </w:rPr>
        <w:t>odj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ęte zostaną </w:t>
      </w:r>
      <w:r w:rsidR="00BF5009" w:rsidRPr="00B55C9E">
        <w:rPr>
          <w:rFonts w:ascii="Times New Roman" w:hAnsi="Times New Roman" w:cs="Times New Roman"/>
          <w:sz w:val="24"/>
          <w:szCs w:val="24"/>
        </w:rPr>
        <w:t>starania o</w:t>
      </w:r>
      <w:r w:rsidR="00BF5009"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angażujący relatywnie liczną grupę pracowników 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grant 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o wymiarze stricte </w:t>
      </w:r>
      <w:r w:rsidR="00BF5009" w:rsidRPr="00B55C9E">
        <w:rPr>
          <w:rFonts w:ascii="Times New Roman" w:hAnsi="Times New Roman" w:cs="Times New Roman"/>
          <w:sz w:val="24"/>
          <w:szCs w:val="24"/>
        </w:rPr>
        <w:t>instytutowy</w:t>
      </w:r>
      <w:r w:rsidR="00826802" w:rsidRPr="00B55C9E">
        <w:rPr>
          <w:rFonts w:ascii="Times New Roman" w:hAnsi="Times New Roman" w:cs="Times New Roman"/>
          <w:sz w:val="24"/>
          <w:szCs w:val="24"/>
        </w:rPr>
        <w:t>m (np.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na opracowanie lubelskiej syntezy dziejów Polski, 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tudzież </w:t>
      </w:r>
      <w:r w:rsidR="00BF5009" w:rsidRPr="00B55C9E">
        <w:rPr>
          <w:rFonts w:ascii="Times New Roman" w:hAnsi="Times New Roman" w:cs="Times New Roman"/>
          <w:sz w:val="24"/>
          <w:szCs w:val="24"/>
        </w:rPr>
        <w:t>nowoczesne dzieje Lubelszczyzny</w:t>
      </w:r>
      <w:r w:rsidR="00826802" w:rsidRPr="00B55C9E">
        <w:rPr>
          <w:rFonts w:ascii="Times New Roman" w:hAnsi="Times New Roman" w:cs="Times New Roman"/>
          <w:sz w:val="24"/>
          <w:szCs w:val="24"/>
        </w:rPr>
        <w:t>)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. </w:t>
      </w:r>
      <w:r w:rsidR="00826802" w:rsidRPr="00B55C9E">
        <w:rPr>
          <w:rFonts w:ascii="Times New Roman" w:hAnsi="Times New Roman" w:cs="Times New Roman"/>
          <w:sz w:val="24"/>
          <w:szCs w:val="24"/>
        </w:rPr>
        <w:t>Utrwalona praktyka aplikowania o projekty zewnętrzne czyni nas samodzielnymi w zakresie składania wniosków i ich skutecznego realizowania</w:t>
      </w:r>
      <w:r w:rsidR="00B33DE9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826802" w:rsidRPr="00B55C9E">
        <w:rPr>
          <w:rFonts w:ascii="Times New Roman" w:hAnsi="Times New Roman" w:cs="Times New Roman"/>
          <w:sz w:val="24"/>
          <w:szCs w:val="24"/>
        </w:rPr>
        <w:t>. Co najwyżej w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celu </w:t>
      </w:r>
      <w:r w:rsidR="00826802" w:rsidRPr="00B55C9E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BF5009" w:rsidRPr="00B55C9E">
        <w:rPr>
          <w:rFonts w:ascii="Times New Roman" w:hAnsi="Times New Roman" w:cs="Times New Roman"/>
          <w:sz w:val="24"/>
          <w:szCs w:val="24"/>
        </w:rPr>
        <w:t>efektywności aplikowania o granty i integracji środowiska</w:t>
      </w:r>
      <w:r w:rsidR="00826802" w:rsidRPr="00B55C9E">
        <w:rPr>
          <w:rFonts w:ascii="Times New Roman" w:hAnsi="Times New Roman" w:cs="Times New Roman"/>
          <w:sz w:val="24"/>
          <w:szCs w:val="24"/>
        </w:rPr>
        <w:t>,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należy powrócić do idei cyklicznych zebrań naukowych jako naturalnego forum dyskusji i omawiania projektów grantowych.</w:t>
      </w:r>
    </w:p>
    <w:p w14:paraId="252CDD44" w14:textId="1D264A40" w:rsidR="00F15A54" w:rsidRPr="00B55C9E" w:rsidRDefault="00BF5009" w:rsidP="00F15A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Polityka kadrowa st</w:t>
      </w:r>
      <w:r w:rsidR="00B33DE9" w:rsidRPr="00B55C9E">
        <w:rPr>
          <w:rFonts w:ascii="Times New Roman" w:hAnsi="Times New Roman" w:cs="Times New Roman"/>
          <w:sz w:val="24"/>
          <w:szCs w:val="24"/>
        </w:rPr>
        <w:t>aje się</w:t>
      </w:r>
      <w:r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realną </w:t>
      </w:r>
      <w:r w:rsidRPr="00B55C9E">
        <w:rPr>
          <w:rFonts w:ascii="Times New Roman" w:hAnsi="Times New Roman" w:cs="Times New Roman"/>
          <w:sz w:val="24"/>
          <w:szCs w:val="24"/>
        </w:rPr>
        <w:t xml:space="preserve">pochodną profilu/strategii badań, ale też 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zdeterminowana </w:t>
      </w:r>
      <w:r w:rsidR="00EA402C" w:rsidRPr="00B55C9E">
        <w:rPr>
          <w:rFonts w:ascii="Times New Roman" w:hAnsi="Times New Roman" w:cs="Times New Roman"/>
          <w:sz w:val="24"/>
          <w:szCs w:val="24"/>
        </w:rPr>
        <w:t xml:space="preserve">jest </w:t>
      </w:r>
      <w:r w:rsidRPr="00B55C9E">
        <w:rPr>
          <w:rFonts w:ascii="Times New Roman" w:hAnsi="Times New Roman" w:cs="Times New Roman"/>
          <w:sz w:val="24"/>
          <w:szCs w:val="24"/>
        </w:rPr>
        <w:t>możliwościami, jakie wynikają z realizacji pensum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 /?/</w:t>
      </w:r>
      <w:r w:rsidR="00EA402C" w:rsidRPr="00B55C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B55C9E">
        <w:rPr>
          <w:rFonts w:ascii="Times New Roman" w:hAnsi="Times New Roman" w:cs="Times New Roman"/>
          <w:sz w:val="24"/>
          <w:szCs w:val="24"/>
        </w:rPr>
        <w:t>.</w:t>
      </w:r>
      <w:r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E9" w:rsidRPr="00B55C9E">
        <w:rPr>
          <w:rFonts w:ascii="Times New Roman" w:hAnsi="Times New Roman" w:cs="Times New Roman"/>
          <w:sz w:val="24"/>
          <w:szCs w:val="24"/>
        </w:rPr>
        <w:t>Absolwenci Szkoły Doktorskiej powinni aplikować o projekty dające możliwości samofinansowania zatrudnienia w IH UMCS.</w:t>
      </w:r>
      <w:r w:rsidR="00B33DE9" w:rsidRPr="00B5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E9" w:rsidRPr="00B55C9E">
        <w:rPr>
          <w:rFonts w:ascii="Times New Roman" w:hAnsi="Times New Roman" w:cs="Times New Roman"/>
          <w:sz w:val="24"/>
          <w:szCs w:val="24"/>
        </w:rPr>
        <w:t>W miarę możliwości n</w:t>
      </w:r>
      <w:r w:rsidRPr="00B55C9E">
        <w:rPr>
          <w:rFonts w:ascii="Times New Roman" w:hAnsi="Times New Roman" w:cs="Times New Roman"/>
          <w:sz w:val="24"/>
          <w:szCs w:val="24"/>
        </w:rPr>
        <w:t xml:space="preserve">ależy 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też </w:t>
      </w:r>
      <w:r w:rsidRPr="00B55C9E">
        <w:rPr>
          <w:rFonts w:ascii="Times New Roman" w:hAnsi="Times New Roman" w:cs="Times New Roman"/>
          <w:sz w:val="24"/>
          <w:szCs w:val="24"/>
        </w:rPr>
        <w:t xml:space="preserve">dążyć do zatrudniania młodych, </w:t>
      </w:r>
      <w:r w:rsidR="00B33DE9" w:rsidRPr="00B55C9E">
        <w:rPr>
          <w:rFonts w:ascii="Times New Roman" w:hAnsi="Times New Roman" w:cs="Times New Roman"/>
          <w:sz w:val="24"/>
          <w:szCs w:val="24"/>
        </w:rPr>
        <w:t>wy</w:t>
      </w:r>
      <w:r w:rsidRPr="00B55C9E">
        <w:rPr>
          <w:rFonts w:ascii="Times New Roman" w:hAnsi="Times New Roman" w:cs="Times New Roman"/>
          <w:sz w:val="24"/>
          <w:szCs w:val="24"/>
        </w:rPr>
        <w:t xml:space="preserve">bitnych badaczy ze stopniami doktora </w:t>
      </w:r>
      <w:r w:rsidR="00B33DE9" w:rsidRPr="00B55C9E">
        <w:rPr>
          <w:rFonts w:ascii="Times New Roman" w:hAnsi="Times New Roman" w:cs="Times New Roman"/>
          <w:sz w:val="24"/>
          <w:szCs w:val="24"/>
        </w:rPr>
        <w:t xml:space="preserve">wywodzących się </w:t>
      </w:r>
      <w:r w:rsidRPr="00B55C9E">
        <w:rPr>
          <w:rFonts w:ascii="Times New Roman" w:hAnsi="Times New Roman" w:cs="Times New Roman"/>
          <w:sz w:val="24"/>
          <w:szCs w:val="24"/>
        </w:rPr>
        <w:t>także spoza naszego środowiska.</w:t>
      </w:r>
    </w:p>
    <w:p w14:paraId="60FB2E4C" w14:textId="6FE31E06" w:rsidR="00FC424A" w:rsidRPr="00B55C9E" w:rsidRDefault="00FC424A" w:rsidP="00F15A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Mając świadomość trudnych do jednoznacznego rozstrzygnięcia kwestii merytorycznej i organizacyjnej podległości Biblioteki IH UMCS, deklarujemy podjęcie wszelkich możliwych działań służących wypromowaniu tej jednostki jako prawdziwej czytelni naukowej z szerokim dostępem do repozytoriów - baz danych i periodyków naukowych wybranych pod kątem węzłowych tematów badawczych. </w:t>
      </w:r>
    </w:p>
    <w:p w14:paraId="45315291" w14:textId="08D071B1" w:rsidR="00BF5009" w:rsidRPr="00B55C9E" w:rsidRDefault="00AC7311" w:rsidP="00F15A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Traktując prowadzenie badań naukowych jako zasadniczy kierunek aktywności, IH nie marginalizuje wszelkich </w:t>
      </w:r>
      <w:r w:rsidR="005C3DA1" w:rsidRPr="00B55C9E">
        <w:rPr>
          <w:rFonts w:ascii="Times New Roman" w:hAnsi="Times New Roman" w:cs="Times New Roman"/>
          <w:sz w:val="24"/>
          <w:szCs w:val="24"/>
        </w:rPr>
        <w:t>działań promocyjnych zarówno w ś</w:t>
      </w:r>
      <w:r w:rsidRPr="00B55C9E">
        <w:rPr>
          <w:rFonts w:ascii="Times New Roman" w:hAnsi="Times New Roman" w:cs="Times New Roman"/>
          <w:sz w:val="24"/>
          <w:szCs w:val="24"/>
        </w:rPr>
        <w:t>rodowisku lokalnym, jak i na arenie ogóln</w:t>
      </w:r>
      <w:r w:rsidR="005C3DA1" w:rsidRPr="00B55C9E">
        <w:rPr>
          <w:rFonts w:ascii="Times New Roman" w:hAnsi="Times New Roman" w:cs="Times New Roman"/>
          <w:sz w:val="24"/>
          <w:szCs w:val="24"/>
        </w:rPr>
        <w:t>o</w:t>
      </w:r>
      <w:r w:rsidRPr="00B55C9E">
        <w:rPr>
          <w:rFonts w:ascii="Times New Roman" w:hAnsi="Times New Roman" w:cs="Times New Roman"/>
          <w:sz w:val="24"/>
          <w:szCs w:val="24"/>
        </w:rPr>
        <w:t>polskiej</w:t>
      </w:r>
      <w:r w:rsidR="005C3DA1" w:rsidRPr="00B55C9E">
        <w:rPr>
          <w:rFonts w:ascii="Times New Roman" w:hAnsi="Times New Roman" w:cs="Times New Roman"/>
          <w:sz w:val="24"/>
          <w:szCs w:val="24"/>
        </w:rPr>
        <w:t xml:space="preserve">. </w:t>
      </w:r>
      <w:r w:rsidR="00BF2488" w:rsidRPr="00B55C9E">
        <w:rPr>
          <w:rFonts w:ascii="Times New Roman" w:hAnsi="Times New Roman" w:cs="Times New Roman"/>
          <w:sz w:val="24"/>
          <w:szCs w:val="24"/>
        </w:rPr>
        <w:t>Szczególn</w:t>
      </w:r>
      <w:r w:rsidR="00883BFA" w:rsidRPr="00B55C9E">
        <w:rPr>
          <w:rFonts w:ascii="Times New Roman" w:hAnsi="Times New Roman" w:cs="Times New Roman"/>
          <w:sz w:val="24"/>
          <w:szCs w:val="24"/>
        </w:rPr>
        <w:t>ie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 pielęgnować należy współpracę ze szkołami partnerskimi oraz sprawdzon</w:t>
      </w:r>
      <w:r w:rsidR="00883BFA" w:rsidRPr="00B55C9E">
        <w:rPr>
          <w:rFonts w:ascii="Times New Roman" w:hAnsi="Times New Roman" w:cs="Times New Roman"/>
          <w:sz w:val="24"/>
          <w:szCs w:val="24"/>
        </w:rPr>
        <w:t>e cykliczne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 przedsięwzię</w:t>
      </w:r>
      <w:r w:rsidR="00883BFA" w:rsidRPr="00B55C9E">
        <w:rPr>
          <w:rFonts w:ascii="Times New Roman" w:hAnsi="Times New Roman" w:cs="Times New Roman"/>
          <w:sz w:val="24"/>
          <w:szCs w:val="24"/>
        </w:rPr>
        <w:t>cia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 popularyzatorski</w:t>
      </w:r>
      <w:r w:rsidR="00883BFA" w:rsidRPr="00B55C9E">
        <w:rPr>
          <w:rFonts w:ascii="Times New Roman" w:hAnsi="Times New Roman" w:cs="Times New Roman"/>
          <w:sz w:val="24"/>
          <w:szCs w:val="24"/>
        </w:rPr>
        <w:t xml:space="preserve">e 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typu </w:t>
      </w:r>
      <w:r w:rsidR="00883BFA" w:rsidRPr="00B55C9E">
        <w:rPr>
          <w:rFonts w:ascii="Times New Roman" w:hAnsi="Times New Roman" w:cs="Times New Roman"/>
          <w:sz w:val="24"/>
          <w:szCs w:val="24"/>
        </w:rPr>
        <w:t>„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Dzień Historyka”.  </w:t>
      </w:r>
      <w:r w:rsidR="005C3DA1" w:rsidRPr="00B55C9E">
        <w:rPr>
          <w:rFonts w:ascii="Times New Roman" w:hAnsi="Times New Roman" w:cs="Times New Roman"/>
          <w:sz w:val="24"/>
          <w:szCs w:val="24"/>
        </w:rPr>
        <w:t>Mimo rozdzielania kwestii nauki i dydaktyki należy pielęgnować i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wspiera</w:t>
      </w:r>
      <w:r w:rsidR="005C3DA1" w:rsidRPr="00B55C9E">
        <w:rPr>
          <w:rFonts w:ascii="Times New Roman" w:hAnsi="Times New Roman" w:cs="Times New Roman"/>
          <w:sz w:val="24"/>
          <w:szCs w:val="24"/>
        </w:rPr>
        <w:t>ć</w:t>
      </w:r>
      <w:r w:rsidR="00BF5009" w:rsidRPr="00B55C9E">
        <w:rPr>
          <w:rFonts w:ascii="Times New Roman" w:hAnsi="Times New Roman" w:cs="Times New Roman"/>
          <w:sz w:val="24"/>
          <w:szCs w:val="24"/>
        </w:rPr>
        <w:t xml:space="preserve"> studencki</w:t>
      </w:r>
      <w:r w:rsidR="005C3DA1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BF5009" w:rsidRPr="00B55C9E">
        <w:rPr>
          <w:rFonts w:ascii="Times New Roman" w:hAnsi="Times New Roman" w:cs="Times New Roman"/>
          <w:sz w:val="24"/>
          <w:szCs w:val="24"/>
        </w:rPr>
        <w:t>ruch naukow</w:t>
      </w:r>
      <w:r w:rsidR="005C3DA1" w:rsidRPr="00B55C9E">
        <w:rPr>
          <w:rFonts w:ascii="Times New Roman" w:hAnsi="Times New Roman" w:cs="Times New Roman"/>
          <w:sz w:val="24"/>
          <w:szCs w:val="24"/>
        </w:rPr>
        <w:t>y</w:t>
      </w:r>
      <w:r w:rsidR="00BF5009" w:rsidRPr="00B55C9E">
        <w:rPr>
          <w:rFonts w:ascii="Times New Roman" w:hAnsi="Times New Roman" w:cs="Times New Roman"/>
          <w:sz w:val="24"/>
          <w:szCs w:val="24"/>
        </w:rPr>
        <w:t>.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 </w:t>
      </w:r>
      <w:r w:rsidR="00883BFA" w:rsidRPr="00B55C9E">
        <w:rPr>
          <w:rFonts w:ascii="Times New Roman" w:hAnsi="Times New Roman" w:cs="Times New Roman"/>
          <w:sz w:val="24"/>
          <w:szCs w:val="24"/>
        </w:rPr>
        <w:t>Trzeba ufać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, że kwestie te, pozostające w aktualnej sytuacji prawnej między dydaktycznymi kompetencjami dziekana a dyrektora IH, znajdą roztropne rozwiązanie choćby w postaci </w:t>
      </w:r>
      <w:r w:rsidR="00BF2488" w:rsidRPr="00B55C9E">
        <w:rPr>
          <w:rFonts w:ascii="Times New Roman" w:hAnsi="Times New Roman" w:cs="Times New Roman"/>
          <w:sz w:val="24"/>
          <w:szCs w:val="24"/>
        </w:rPr>
        <w:lastRenderedPageBreak/>
        <w:t>kontynuowania edycji „Koła</w:t>
      </w:r>
      <w:r w:rsidR="00E45710" w:rsidRPr="00B55C9E">
        <w:rPr>
          <w:rFonts w:ascii="Times New Roman" w:hAnsi="Times New Roman" w:cs="Times New Roman"/>
          <w:sz w:val="24"/>
          <w:szCs w:val="24"/>
        </w:rPr>
        <w:t xml:space="preserve"> Historii</w:t>
      </w:r>
      <w:r w:rsidR="00BF2488" w:rsidRPr="00B55C9E">
        <w:rPr>
          <w:rFonts w:ascii="Times New Roman" w:hAnsi="Times New Roman" w:cs="Times New Roman"/>
          <w:sz w:val="24"/>
          <w:szCs w:val="24"/>
        </w:rPr>
        <w:t xml:space="preserve">” oraz rewitalizacji periodyku „Podróżnik Historyczny”. </w:t>
      </w:r>
      <w:r w:rsidR="006D131F" w:rsidRPr="00B55C9E">
        <w:rPr>
          <w:rFonts w:ascii="Times New Roman" w:hAnsi="Times New Roman" w:cs="Times New Roman"/>
          <w:sz w:val="24"/>
          <w:szCs w:val="24"/>
        </w:rPr>
        <w:t>W otwarciu na zewnątrz pomocna powinna być nowoczesna strona internetowa IH UMCS (o funkcjach szerszych niż informacyjne i promocyjne, np. w roli repozytorium).</w:t>
      </w:r>
    </w:p>
    <w:p w14:paraId="10396EDA" w14:textId="4C6FBC2B" w:rsidR="005C3DA1" w:rsidRPr="00B55C9E" w:rsidRDefault="005C3DA1" w:rsidP="00F15A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 xml:space="preserve">W zakresie współpracy IH UMCS ze środowiskiem zewnętrznym zasadnicze, możliwe do przewidzenia działania w tym zakresie,  zostały zaprezentowane w strategii krótkoterminowej. Jeśli natomiast chodzi o szczegółowe i pewne rozstrzygnięcia w tym zakresie, konieczne stanie się szybkie reagowanie na zapotrzebowanie na konkretne działania o i formy aktywności. </w:t>
      </w:r>
    </w:p>
    <w:p w14:paraId="1DDCD9F7" w14:textId="77777777" w:rsidR="00E45710" w:rsidRPr="00B55C9E" w:rsidRDefault="00E45710" w:rsidP="00E4571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908A38" w14:textId="77777777" w:rsidR="00E45710" w:rsidRPr="00B55C9E" w:rsidRDefault="00E45710" w:rsidP="00E4571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928E17" w14:textId="329E5E33" w:rsidR="00E45710" w:rsidRPr="00B55C9E" w:rsidRDefault="00E45710" w:rsidP="00E4571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5C9E">
        <w:rPr>
          <w:rFonts w:ascii="Times New Roman" w:hAnsi="Times New Roman" w:cs="Times New Roman"/>
          <w:sz w:val="24"/>
          <w:szCs w:val="24"/>
        </w:rPr>
        <w:t>Dyrektor IH UMCS</w:t>
      </w:r>
    </w:p>
    <w:p w14:paraId="7C30B514" w14:textId="6011EA3F" w:rsidR="00E45710" w:rsidRPr="00B55C9E" w:rsidRDefault="00E45710" w:rsidP="00E4571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5C9E">
        <w:rPr>
          <w:rFonts w:ascii="Times New Roman" w:hAnsi="Times New Roman" w:cs="Times New Roman"/>
          <w:sz w:val="24"/>
          <w:szCs w:val="24"/>
        </w:rPr>
        <w:t>Dr hab. Dariusz Słapek, prof. UMCS</w:t>
      </w:r>
    </w:p>
    <w:sectPr w:rsidR="00E45710" w:rsidRPr="00B55C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CBAC2" w16cid:durableId="2188F8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652B" w14:textId="77777777" w:rsidR="006910E5" w:rsidRDefault="006910E5" w:rsidP="00E534FB">
      <w:pPr>
        <w:spacing w:after="0" w:line="240" w:lineRule="auto"/>
      </w:pPr>
      <w:r>
        <w:separator/>
      </w:r>
    </w:p>
  </w:endnote>
  <w:endnote w:type="continuationSeparator" w:id="0">
    <w:p w14:paraId="5334B883" w14:textId="77777777" w:rsidR="006910E5" w:rsidRDefault="006910E5" w:rsidP="00E5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C3E3" w14:textId="77777777" w:rsidR="006910E5" w:rsidRDefault="006910E5" w:rsidP="00E534FB">
      <w:pPr>
        <w:spacing w:after="0" w:line="240" w:lineRule="auto"/>
      </w:pPr>
      <w:r>
        <w:separator/>
      </w:r>
    </w:p>
  </w:footnote>
  <w:footnote w:type="continuationSeparator" w:id="0">
    <w:p w14:paraId="3F3E2501" w14:textId="77777777" w:rsidR="006910E5" w:rsidRDefault="006910E5" w:rsidP="00E534FB">
      <w:pPr>
        <w:spacing w:after="0" w:line="240" w:lineRule="auto"/>
      </w:pPr>
      <w:r>
        <w:continuationSeparator/>
      </w:r>
    </w:p>
  </w:footnote>
  <w:footnote w:id="1">
    <w:p w14:paraId="0EA4A6EF" w14:textId="77777777" w:rsidR="00826802" w:rsidRPr="00BA7B00" w:rsidRDefault="00826802" w:rsidP="00E534FB">
      <w:pPr>
        <w:pStyle w:val="Tekstprzypisudolnego"/>
        <w:rPr>
          <w:rFonts w:ascii="Times New Roman" w:hAnsi="Times New Roman" w:cs="Times New Roman"/>
        </w:rPr>
      </w:pPr>
      <w:r w:rsidRPr="00BA7B00">
        <w:rPr>
          <w:rStyle w:val="Odwoanieprzypisudolnego"/>
          <w:rFonts w:ascii="Times New Roman" w:hAnsi="Times New Roman" w:cs="Times New Roman"/>
        </w:rPr>
        <w:footnoteRef/>
      </w:r>
      <w:r w:rsidRPr="00BA7B00">
        <w:rPr>
          <w:rFonts w:ascii="Times New Roman" w:hAnsi="Times New Roman" w:cs="Times New Roman"/>
        </w:rPr>
        <w:t xml:space="preserve"> Tworzy go 11 profesorów tytularnych, 12 uczelnianych, 21 adiunktów z habilitacją oraz 10 adiunktów</w:t>
      </w:r>
      <w:r w:rsidR="00F15A54" w:rsidRPr="00BA7B00">
        <w:rPr>
          <w:rFonts w:ascii="Times New Roman" w:hAnsi="Times New Roman" w:cs="Times New Roman"/>
        </w:rPr>
        <w:t xml:space="preserve"> ze stopniem doktora</w:t>
      </w:r>
      <w:r w:rsidRPr="00BA7B00">
        <w:rPr>
          <w:rFonts w:ascii="Times New Roman" w:hAnsi="Times New Roman" w:cs="Times New Roman"/>
        </w:rPr>
        <w:t xml:space="preserve">. </w:t>
      </w:r>
    </w:p>
  </w:footnote>
  <w:footnote w:id="2">
    <w:p w14:paraId="5DA4C7CF" w14:textId="77777777" w:rsidR="00826802" w:rsidRPr="00EA402C" w:rsidRDefault="00826802">
      <w:pPr>
        <w:pStyle w:val="Tekstprzypisudolnego"/>
        <w:rPr>
          <w:rFonts w:ascii="Times New Roman" w:hAnsi="Times New Roman" w:cs="Times New Roman"/>
        </w:rPr>
      </w:pPr>
      <w:r w:rsidRPr="00AA4B9D">
        <w:rPr>
          <w:rStyle w:val="Odwoanieprzypisudolnego"/>
          <w:rFonts w:ascii="Times New Roman" w:hAnsi="Times New Roman" w:cs="Times New Roman"/>
        </w:rPr>
        <w:footnoteRef/>
      </w:r>
      <w:r w:rsidRPr="00AA4B9D">
        <w:rPr>
          <w:rFonts w:ascii="Times New Roman" w:hAnsi="Times New Roman" w:cs="Times New Roman"/>
        </w:rPr>
        <w:t xml:space="preserve"> Nie chodzi tu wyłącznie o stymulowanie słabszych, ale też właściwe ukierunkowanie aktywności publikacyjnej </w:t>
      </w:r>
      <w:r w:rsidRPr="00EA402C">
        <w:rPr>
          <w:rFonts w:ascii="Times New Roman" w:hAnsi="Times New Roman" w:cs="Times New Roman"/>
        </w:rPr>
        <w:t xml:space="preserve">innych w zakresie liczby, właściwego lokowania i rozłożenia w czasie potencjalnych publikacji.  </w:t>
      </w:r>
    </w:p>
  </w:footnote>
  <w:footnote w:id="3">
    <w:p w14:paraId="159237C1" w14:textId="77777777" w:rsidR="00EA402C" w:rsidRPr="00EA402C" w:rsidRDefault="00EA402C">
      <w:pPr>
        <w:pStyle w:val="Tekstprzypisudolnego"/>
        <w:rPr>
          <w:rFonts w:ascii="Times New Roman" w:hAnsi="Times New Roman" w:cs="Times New Roman"/>
        </w:rPr>
      </w:pPr>
      <w:r w:rsidRPr="00EA402C">
        <w:rPr>
          <w:rStyle w:val="Odwoanieprzypisudolnego"/>
          <w:rFonts w:ascii="Times New Roman" w:hAnsi="Times New Roman" w:cs="Times New Roman"/>
        </w:rPr>
        <w:footnoteRef/>
      </w:r>
      <w:r w:rsidRPr="00EA402C">
        <w:rPr>
          <w:rFonts w:ascii="Times New Roman" w:hAnsi="Times New Roman" w:cs="Times New Roman"/>
        </w:rPr>
        <w:t xml:space="preserve"> Musimy w szybkim czasie stworzyć projekt kryteriów oceny okresowej dorobku naukowego uwzględniającego specyfikę naszej dyscypliny.</w:t>
      </w:r>
    </w:p>
  </w:footnote>
  <w:footnote w:id="4">
    <w:p w14:paraId="25719BA4" w14:textId="77777777" w:rsidR="00826802" w:rsidRPr="005C3DA1" w:rsidRDefault="00826802">
      <w:pPr>
        <w:pStyle w:val="Tekstprzypisudolnego"/>
        <w:rPr>
          <w:rFonts w:ascii="Times New Roman" w:hAnsi="Times New Roman" w:cs="Times New Roman"/>
        </w:rPr>
      </w:pPr>
      <w:r w:rsidRPr="005C3DA1">
        <w:rPr>
          <w:rStyle w:val="Odwoanieprzypisudolnego"/>
          <w:rFonts w:ascii="Times New Roman" w:hAnsi="Times New Roman" w:cs="Times New Roman"/>
        </w:rPr>
        <w:footnoteRef/>
      </w:r>
      <w:r w:rsidRPr="005C3DA1">
        <w:rPr>
          <w:rFonts w:ascii="Times New Roman" w:hAnsi="Times New Roman" w:cs="Times New Roman"/>
        </w:rPr>
        <w:t xml:space="preserve"> Położono spory nacisk na aplikowanie o granty w terminie do 20 grudnia 2019 r. </w:t>
      </w:r>
    </w:p>
  </w:footnote>
  <w:footnote w:id="5">
    <w:p w14:paraId="126CA2B8" w14:textId="77777777" w:rsidR="00826802" w:rsidRPr="005C3DA1" w:rsidRDefault="00826802" w:rsidP="00860A24">
      <w:pPr>
        <w:pStyle w:val="Default"/>
        <w:rPr>
          <w:sz w:val="20"/>
          <w:szCs w:val="20"/>
        </w:rPr>
      </w:pPr>
      <w:r w:rsidRPr="005C3DA1">
        <w:rPr>
          <w:rStyle w:val="Odwoanieprzypisudolnego"/>
          <w:sz w:val="20"/>
          <w:szCs w:val="20"/>
        </w:rPr>
        <w:footnoteRef/>
      </w:r>
      <w:r w:rsidRPr="005C3DA1">
        <w:rPr>
          <w:sz w:val="20"/>
          <w:szCs w:val="20"/>
        </w:rPr>
        <w:t xml:space="preserve"> </w:t>
      </w:r>
      <w:r w:rsidRPr="005C3DA1">
        <w:rPr>
          <w:color w:val="auto"/>
          <w:sz w:val="20"/>
          <w:szCs w:val="20"/>
        </w:rPr>
        <w:t>Pracownicy otrzymali informacje na temat zakresu wsparcia możliwego do uzyskania we współpracy N</w:t>
      </w:r>
      <w:r w:rsidRPr="005C3DA1">
        <w:rPr>
          <w:rFonts w:eastAsia="Times New Roman"/>
          <w:color w:val="auto"/>
          <w:sz w:val="20"/>
          <w:szCs w:val="20"/>
          <w:lang w:eastAsia="pl-PL"/>
        </w:rPr>
        <w:t>arodową Agencją Wymiany Akademickiej.</w:t>
      </w:r>
    </w:p>
  </w:footnote>
  <w:footnote w:id="6">
    <w:p w14:paraId="6CAB32E6" w14:textId="77777777" w:rsidR="005C3DA1" w:rsidRPr="005C3DA1" w:rsidRDefault="005C3DA1" w:rsidP="005C3D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DA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C3DA1">
        <w:rPr>
          <w:rFonts w:ascii="Times New Roman" w:hAnsi="Times New Roman" w:cs="Times New Roman"/>
          <w:sz w:val="20"/>
          <w:szCs w:val="20"/>
        </w:rPr>
        <w:t xml:space="preserve"> System ten będzie wspomagany optymalizacją kosztów ponoszonych w trakcie bieżącego funkcjonowania IH, zwłaszcza poprzez zwiększenie efektywności i racjonalności wykorzystania majątku (m.in. lokali, sprzętu komputerowego, materiałów) powierzonego IH.</w:t>
      </w:r>
    </w:p>
    <w:p w14:paraId="7ECC9B62" w14:textId="77777777" w:rsidR="005C3DA1" w:rsidRDefault="005C3DA1">
      <w:pPr>
        <w:pStyle w:val="Tekstprzypisudolnego"/>
      </w:pPr>
    </w:p>
  </w:footnote>
  <w:footnote w:id="7">
    <w:p w14:paraId="0A720C4B" w14:textId="77777777" w:rsidR="00826802" w:rsidRPr="00826802" w:rsidRDefault="00826802">
      <w:pPr>
        <w:pStyle w:val="Tekstprzypisudolnego"/>
        <w:rPr>
          <w:rFonts w:ascii="Times New Roman" w:hAnsi="Times New Roman" w:cs="Times New Roman"/>
        </w:rPr>
      </w:pPr>
      <w:r w:rsidRPr="00826802">
        <w:rPr>
          <w:rStyle w:val="Odwoanieprzypisudolnego"/>
          <w:rFonts w:ascii="Times New Roman" w:hAnsi="Times New Roman" w:cs="Times New Roman"/>
        </w:rPr>
        <w:footnoteRef/>
      </w:r>
      <w:r w:rsidRPr="00826802">
        <w:rPr>
          <w:rFonts w:ascii="Times New Roman" w:hAnsi="Times New Roman" w:cs="Times New Roman"/>
        </w:rPr>
        <w:t xml:space="preserve"> Spodziewać się należy, że ważną rolę w tej przyszłej ewaluacji może odegrać analiza indeksów cytowań.</w:t>
      </w:r>
      <w:r>
        <w:rPr>
          <w:rFonts w:ascii="Times New Roman" w:hAnsi="Times New Roman" w:cs="Times New Roman"/>
        </w:rPr>
        <w:t xml:space="preserve"> </w:t>
      </w:r>
    </w:p>
  </w:footnote>
  <w:footnote w:id="8">
    <w:p w14:paraId="544E5F4E" w14:textId="77777777" w:rsidR="00B33DE9" w:rsidRPr="00AC7311" w:rsidRDefault="00B33DE9" w:rsidP="00EA402C">
      <w:pPr>
        <w:spacing w:line="240" w:lineRule="auto"/>
        <w:rPr>
          <w:rFonts w:ascii="Times New Roman" w:hAnsi="Times New Roman" w:cs="Times New Roman"/>
        </w:rPr>
      </w:pPr>
      <w:r w:rsidRPr="00B33DE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33DE9">
        <w:rPr>
          <w:rFonts w:ascii="Times New Roman" w:hAnsi="Times New Roman" w:cs="Times New Roman"/>
          <w:sz w:val="20"/>
          <w:szCs w:val="20"/>
        </w:rPr>
        <w:t xml:space="preserve"> Powszechność korzystania z gran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B33DE9">
        <w:rPr>
          <w:rFonts w:ascii="Times New Roman" w:hAnsi="Times New Roman" w:cs="Times New Roman"/>
          <w:sz w:val="20"/>
          <w:szCs w:val="20"/>
        </w:rPr>
        <w:t xml:space="preserve">ów </w:t>
      </w:r>
      <w:r>
        <w:rPr>
          <w:rFonts w:ascii="Times New Roman" w:hAnsi="Times New Roman" w:cs="Times New Roman"/>
          <w:sz w:val="20"/>
          <w:szCs w:val="20"/>
        </w:rPr>
        <w:t xml:space="preserve">zewnętrznych </w:t>
      </w:r>
      <w:r w:rsidRPr="00B33DE9">
        <w:rPr>
          <w:rFonts w:ascii="Times New Roman" w:hAnsi="Times New Roman" w:cs="Times New Roman"/>
          <w:sz w:val="20"/>
          <w:szCs w:val="20"/>
        </w:rPr>
        <w:t xml:space="preserve">powinna zmniejszyć zakres finansowego wsparcia dla </w:t>
      </w:r>
      <w:r w:rsidRPr="00AC7311">
        <w:rPr>
          <w:rFonts w:ascii="Times New Roman" w:hAnsi="Times New Roman" w:cs="Times New Roman"/>
          <w:sz w:val="20"/>
          <w:szCs w:val="20"/>
        </w:rPr>
        <w:t>przedsięwzięć naukowych opartych na środkach IH UMCS.</w:t>
      </w:r>
    </w:p>
  </w:footnote>
  <w:footnote w:id="9">
    <w:p w14:paraId="5DAB06CE" w14:textId="77777777" w:rsidR="00EA402C" w:rsidRPr="00AC7311" w:rsidRDefault="00EA402C">
      <w:pPr>
        <w:pStyle w:val="Tekstprzypisudolnego"/>
        <w:rPr>
          <w:rFonts w:ascii="Times New Roman" w:hAnsi="Times New Roman" w:cs="Times New Roman"/>
        </w:rPr>
      </w:pPr>
      <w:r w:rsidRPr="00AC7311">
        <w:rPr>
          <w:rStyle w:val="Odwoanieprzypisudolnego"/>
          <w:rFonts w:ascii="Times New Roman" w:hAnsi="Times New Roman" w:cs="Times New Roman"/>
        </w:rPr>
        <w:footnoteRef/>
      </w:r>
      <w:r w:rsidRPr="00AC7311">
        <w:rPr>
          <w:rFonts w:ascii="Times New Roman" w:hAnsi="Times New Roman" w:cs="Times New Roman"/>
        </w:rPr>
        <w:t xml:space="preserve"> Trudno określić, jaką rolę odegra to kryterium przy zatrudnianiu nowych pracowników.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87447"/>
      <w:docPartObj>
        <w:docPartGallery w:val="Page Numbers (Top of Page)"/>
        <w:docPartUnique/>
      </w:docPartObj>
    </w:sdtPr>
    <w:sdtEndPr/>
    <w:sdtContent>
      <w:p w14:paraId="5F9358ED" w14:textId="14709FF2" w:rsidR="00F15A54" w:rsidRDefault="00F15A5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1B">
          <w:rPr>
            <w:noProof/>
          </w:rPr>
          <w:t>4</w:t>
        </w:r>
        <w:r>
          <w:fldChar w:fldCharType="end"/>
        </w:r>
      </w:p>
    </w:sdtContent>
  </w:sdt>
  <w:p w14:paraId="32C76CB7" w14:textId="77777777" w:rsidR="00F15A54" w:rsidRDefault="00F15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B88"/>
    <w:multiLevelType w:val="hybridMultilevel"/>
    <w:tmpl w:val="819CBB6C"/>
    <w:lvl w:ilvl="0" w:tplc="9BE62E84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9"/>
    <w:rsid w:val="00061EF8"/>
    <w:rsid w:val="000B56DE"/>
    <w:rsid w:val="000C16E7"/>
    <w:rsid w:val="001D086F"/>
    <w:rsid w:val="00210F1E"/>
    <w:rsid w:val="00282275"/>
    <w:rsid w:val="0029556B"/>
    <w:rsid w:val="002B0D32"/>
    <w:rsid w:val="002F0C04"/>
    <w:rsid w:val="00322E53"/>
    <w:rsid w:val="0033645E"/>
    <w:rsid w:val="00350D03"/>
    <w:rsid w:val="00376EEE"/>
    <w:rsid w:val="003F7BE4"/>
    <w:rsid w:val="00405DD0"/>
    <w:rsid w:val="00515598"/>
    <w:rsid w:val="00531E93"/>
    <w:rsid w:val="005C3DA1"/>
    <w:rsid w:val="00630D80"/>
    <w:rsid w:val="00637D2F"/>
    <w:rsid w:val="00641FAD"/>
    <w:rsid w:val="006520FF"/>
    <w:rsid w:val="00684C19"/>
    <w:rsid w:val="006910E5"/>
    <w:rsid w:val="006D131F"/>
    <w:rsid w:val="00797342"/>
    <w:rsid w:val="007A3496"/>
    <w:rsid w:val="007E4794"/>
    <w:rsid w:val="00810F70"/>
    <w:rsid w:val="00826802"/>
    <w:rsid w:val="00827B4E"/>
    <w:rsid w:val="00860A24"/>
    <w:rsid w:val="00880A2A"/>
    <w:rsid w:val="00883BFA"/>
    <w:rsid w:val="00884FEC"/>
    <w:rsid w:val="00966351"/>
    <w:rsid w:val="00996749"/>
    <w:rsid w:val="009C3469"/>
    <w:rsid w:val="00A534C5"/>
    <w:rsid w:val="00A7607F"/>
    <w:rsid w:val="00AA4B9D"/>
    <w:rsid w:val="00AC7311"/>
    <w:rsid w:val="00B33DE9"/>
    <w:rsid w:val="00B55C9E"/>
    <w:rsid w:val="00B8200C"/>
    <w:rsid w:val="00B91EBE"/>
    <w:rsid w:val="00BA7B00"/>
    <w:rsid w:val="00BF2488"/>
    <w:rsid w:val="00BF5009"/>
    <w:rsid w:val="00C047F5"/>
    <w:rsid w:val="00C56F3F"/>
    <w:rsid w:val="00CB16B0"/>
    <w:rsid w:val="00CC6C61"/>
    <w:rsid w:val="00D35C34"/>
    <w:rsid w:val="00D41C1B"/>
    <w:rsid w:val="00DA74C2"/>
    <w:rsid w:val="00DB169A"/>
    <w:rsid w:val="00DD224A"/>
    <w:rsid w:val="00E45710"/>
    <w:rsid w:val="00E534FB"/>
    <w:rsid w:val="00E60FFC"/>
    <w:rsid w:val="00EA402C"/>
    <w:rsid w:val="00EA7728"/>
    <w:rsid w:val="00EE5108"/>
    <w:rsid w:val="00F15A54"/>
    <w:rsid w:val="00F73846"/>
    <w:rsid w:val="00FB0748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043F"/>
  <w15:chartTrackingRefBased/>
  <w15:docId w15:val="{16E5C502-7535-4C5E-A666-3451D9B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4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4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7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54"/>
  </w:style>
  <w:style w:type="paragraph" w:styleId="Stopka">
    <w:name w:val="footer"/>
    <w:basedOn w:val="Normalny"/>
    <w:link w:val="StopkaZnak"/>
    <w:uiPriority w:val="99"/>
    <w:unhideWhenUsed/>
    <w:rsid w:val="00F1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54"/>
  </w:style>
  <w:style w:type="character" w:styleId="Odwoaniedokomentarza">
    <w:name w:val="annotation reference"/>
    <w:basedOn w:val="Domylnaczcionkaakapitu"/>
    <w:uiPriority w:val="99"/>
    <w:semiHidden/>
    <w:unhideWhenUsed/>
    <w:rsid w:val="00515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593F-4626-4F2C-B211-CD5A5C2A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3013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Słapek</dc:creator>
  <cp:keywords/>
  <dc:description/>
  <cp:lastModifiedBy>Dariusz Słapek</cp:lastModifiedBy>
  <cp:revision>2</cp:revision>
  <dcterms:created xsi:type="dcterms:W3CDTF">2022-01-14T10:57:00Z</dcterms:created>
  <dcterms:modified xsi:type="dcterms:W3CDTF">2022-01-14T10:57:00Z</dcterms:modified>
</cp:coreProperties>
</file>