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F1" w:rsidRDefault="00830CF1" w:rsidP="008F681C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DE0D10">
        <w:rPr>
          <w:rFonts w:asciiTheme="minorHAnsi" w:hAnsiTheme="minorHAnsi" w:cstheme="minorHAnsi"/>
          <w:b/>
          <w:bCs/>
          <w:sz w:val="18"/>
          <w:szCs w:val="18"/>
        </w:rPr>
        <w:t>2</w:t>
      </w:r>
      <w:bookmarkStart w:id="0" w:name="_GoBack"/>
      <w:bookmarkEnd w:id="0"/>
      <w:r w:rsidR="008F681C">
        <w:rPr>
          <w:rFonts w:asciiTheme="minorHAnsi" w:hAnsiTheme="minorHAnsi" w:cstheme="minorHAnsi"/>
          <w:b/>
          <w:bCs/>
          <w:sz w:val="18"/>
          <w:szCs w:val="18"/>
        </w:rPr>
        <w:t>-</w:t>
      </w:r>
      <w:r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800109">
        <w:rPr>
          <w:rFonts w:asciiTheme="minorHAnsi" w:hAnsiTheme="minorHAnsi" w:cstheme="minorHAnsi"/>
          <w:b/>
          <w:bCs/>
          <w:sz w:val="18"/>
          <w:szCs w:val="18"/>
        </w:rPr>
        <w:t>21</w:t>
      </w:r>
      <w:r w:rsidR="00A03F42">
        <w:rPr>
          <w:rFonts w:asciiTheme="minorHAnsi" w:hAnsiTheme="minorHAnsi" w:cstheme="minorHAnsi"/>
          <w:b/>
          <w:bCs/>
          <w:sz w:val="18"/>
          <w:szCs w:val="18"/>
        </w:rPr>
        <w:t>/</w:t>
      </w:r>
      <w:proofErr w:type="spellStart"/>
      <w:r w:rsidR="00A03F42">
        <w:rPr>
          <w:rFonts w:asciiTheme="minorHAnsi" w:hAnsiTheme="minorHAnsi" w:cstheme="minorHAnsi"/>
          <w:b/>
          <w:bCs/>
          <w:sz w:val="18"/>
          <w:szCs w:val="18"/>
        </w:rPr>
        <w:t>SKS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t>-n</w:t>
      </w:r>
      <w:proofErr w:type="spellEnd"/>
    </w:p>
    <w:p w:rsidR="008F681C" w:rsidRPr="00254EDD" w:rsidRDefault="008F681C" w:rsidP="008F681C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830CF1" w:rsidRPr="000E5302" w:rsidRDefault="00830CF1" w:rsidP="008F681C">
      <w:pPr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0E5302">
        <w:rPr>
          <w:rFonts w:ascii="Calibri" w:eastAsia="Calibri" w:hAnsi="Calibri" w:cs="Arial"/>
          <w:i/>
          <w:sz w:val="18"/>
          <w:szCs w:val="18"/>
          <w:lang w:eastAsia="en-US"/>
        </w:rPr>
        <w:t xml:space="preserve">Załącznik nr 4 </w:t>
      </w:r>
      <w:r w:rsidR="00A03F42" w:rsidRPr="000E5302">
        <w:rPr>
          <w:rFonts w:ascii="Calibri" w:eastAsia="Calibri" w:hAnsi="Calibri" w:cs="Arial"/>
          <w:i/>
          <w:sz w:val="18"/>
          <w:szCs w:val="18"/>
          <w:lang w:eastAsia="en-US"/>
        </w:rPr>
        <w:t>do zaproszenia</w:t>
      </w:r>
    </w:p>
    <w:p w:rsidR="008F681C" w:rsidRPr="00254EDD" w:rsidRDefault="008F681C" w:rsidP="008F681C">
      <w:pPr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830CF1" w:rsidRPr="001072D1" w:rsidRDefault="00830CF1" w:rsidP="008F681C">
      <w:pPr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830CF1" w:rsidRDefault="00830CF1" w:rsidP="008F681C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w sprawie ochrony osób fizycznych w związku z przetwarzaniem danych osobowych i w sprawie swobodnego przepływu takich danych oraz uchylenia dyrektywy 95/46/WE (ogólne rozporządzenie o ochron</w:t>
      </w:r>
      <w:r w:rsidR="008F681C">
        <w:rPr>
          <w:rFonts w:ascii="Calibri" w:eastAsia="Calibri" w:hAnsi="Calibri" w:cs="Arial"/>
          <w:sz w:val="18"/>
          <w:szCs w:val="18"/>
          <w:lang w:eastAsia="en-US"/>
        </w:rPr>
        <w:t>ie danych) (Dz. Urz. UE L 119 z 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04.05.2016, str. 1</w:t>
      </w:r>
      <w:r w:rsidR="008F681C">
        <w:rPr>
          <w:rFonts w:ascii="Calibri" w:eastAsia="Calibri" w:hAnsi="Calibri" w:cs="Arial"/>
          <w:sz w:val="18"/>
          <w:szCs w:val="18"/>
          <w:lang w:eastAsia="en-US"/>
        </w:rPr>
        <w:t>), dalej „RODO”, informuję, że:</w:t>
      </w:r>
    </w:p>
    <w:p w:rsidR="008F681C" w:rsidRPr="001072D1" w:rsidRDefault="008F681C" w:rsidP="008F681C">
      <w:pPr>
        <w:jc w:val="both"/>
        <w:rPr>
          <w:rFonts w:ascii="Calibri" w:hAnsi="Calibri" w:cs="Arial"/>
          <w:sz w:val="18"/>
          <w:szCs w:val="18"/>
        </w:rPr>
      </w:pPr>
    </w:p>
    <w:p w:rsidR="00830CF1" w:rsidRPr="00C85000" w:rsidRDefault="00830CF1" w:rsidP="008F681C">
      <w:pPr>
        <w:numPr>
          <w:ilvl w:val="3"/>
          <w:numId w:val="19"/>
        </w:numPr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Curie-Skłodowskiej, Plac Marii Curie-Skłodowskiej 5, 20-031 Lublin, tel./ fax.: +48 81 5</w:t>
      </w:r>
      <w:r w:rsidR="004100B0">
        <w:rPr>
          <w:rFonts w:ascii="Calibri" w:eastAsia="Calibri" w:hAnsi="Calibri" w:cs="Arial"/>
          <w:b/>
          <w:i/>
          <w:sz w:val="18"/>
          <w:szCs w:val="18"/>
          <w:lang w:eastAsia="en-US"/>
        </w:rPr>
        <w:t>37 58 90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, adres email: </w:t>
      </w:r>
      <w:r w:rsidR="002344F8" w:rsidRPr="002344F8">
        <w:rPr>
          <w:rFonts w:ascii="Calibri" w:eastAsia="Calibri" w:hAnsi="Calibri" w:cs="Arial"/>
          <w:b/>
          <w:i/>
          <w:sz w:val="18"/>
          <w:szCs w:val="18"/>
          <w:lang w:eastAsia="en-US"/>
        </w:rPr>
        <w:t>punkt@poczta.umcs.lublin.pl;</w:t>
      </w:r>
    </w:p>
    <w:p w:rsidR="002344F8" w:rsidRPr="002344F8" w:rsidRDefault="002344F8" w:rsidP="008F681C">
      <w:pPr>
        <w:pStyle w:val="Akapitzlist"/>
        <w:numPr>
          <w:ilvl w:val="0"/>
          <w:numId w:val="19"/>
        </w:numPr>
        <w:rPr>
          <w:rFonts w:ascii="Calibri" w:eastAsia="Calibri" w:hAnsi="Calibri" w:cs="Arial"/>
          <w:sz w:val="18"/>
          <w:szCs w:val="18"/>
          <w:lang w:eastAsia="en-US"/>
        </w:rPr>
      </w:pPr>
      <w:r w:rsidRPr="002344F8">
        <w:rPr>
          <w:rFonts w:ascii="Calibri" w:eastAsia="Calibri" w:hAnsi="Calibri" w:cs="Arial"/>
          <w:sz w:val="18"/>
          <w:szCs w:val="18"/>
          <w:lang w:eastAsia="en-US"/>
        </w:rPr>
        <w:t xml:space="preserve">inspektorem ochrony danych osobowych w Uniwersytecie Marii Curie-Skłodowskiej jest Pani Sylwia </w:t>
      </w:r>
      <w:proofErr w:type="spellStart"/>
      <w:r w:rsidRPr="002344F8">
        <w:rPr>
          <w:rFonts w:ascii="Calibri" w:eastAsia="Calibri" w:hAnsi="Calibri" w:cs="Arial"/>
          <w:sz w:val="18"/>
          <w:szCs w:val="18"/>
          <w:lang w:eastAsia="en-US"/>
        </w:rPr>
        <w:t>Pawłowska-Jachura</w:t>
      </w:r>
      <w:proofErr w:type="spellEnd"/>
      <w:r w:rsidRPr="002344F8">
        <w:rPr>
          <w:rFonts w:ascii="Calibri" w:eastAsia="Calibri" w:hAnsi="Calibri" w:cs="Arial"/>
          <w:sz w:val="18"/>
          <w:szCs w:val="18"/>
          <w:lang w:eastAsia="en-US"/>
        </w:rPr>
        <w:t>, kontakt: abi@umcs.lublin.pl *;</w:t>
      </w:r>
    </w:p>
    <w:p w:rsidR="002344F8" w:rsidRPr="00B32AD2" w:rsidRDefault="00830CF1" w:rsidP="008F681C">
      <w:pPr>
        <w:numPr>
          <w:ilvl w:val="0"/>
          <w:numId w:val="19"/>
        </w:numPr>
        <w:contextualSpacing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C8500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br/>
        <w:t xml:space="preserve">o udzielenie zamówienia publicznego pod nazwą: </w:t>
      </w:r>
      <w:r w:rsidR="004100B0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świadczenie </w:t>
      </w:r>
      <w:bookmarkStart w:id="1" w:name="_Hlk56689724"/>
      <w:r w:rsidR="004100B0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>usług tłumac</w:t>
      </w:r>
      <w:r w:rsidR="008F681C">
        <w:rPr>
          <w:rFonts w:ascii="Calibri" w:eastAsia="Calibri" w:hAnsi="Calibri" w:cs="Arial"/>
          <w:b/>
          <w:bCs/>
          <w:sz w:val="18"/>
          <w:szCs w:val="18"/>
          <w:lang w:eastAsia="en-US"/>
        </w:rPr>
        <w:t>zenia na język migowy zajęć dla </w:t>
      </w:r>
      <w:r w:rsidR="004100B0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>studentów lub</w:t>
      </w:r>
      <w:r w:rsidR="004100B0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doktorantów niesłyszących UMCS w L</w:t>
      </w:r>
      <w:r w:rsidR="004100B0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>ublinie oraz innych zadań, które są indywidualnie dobrane do studenta lub doktoranta</w:t>
      </w:r>
      <w:bookmarkEnd w:id="1"/>
      <w:r w:rsidR="004100B0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</w:t>
      </w:r>
      <w:r w:rsidR="002344F8" w:rsidRPr="00B32AD2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prowadzonego </w:t>
      </w:r>
      <w:r w:rsidR="00971652" w:rsidRPr="003219C0">
        <w:rPr>
          <w:rFonts w:ascii="Calibri" w:hAnsi="Calibri" w:cs="Calibri"/>
          <w:sz w:val="18"/>
          <w:szCs w:val="18"/>
        </w:rPr>
        <w:t>w wyniku postępowania o udzielenie zamówienia publicznego przeprowadzonego z wyłączeniem stosowania przepisów ustawy z dnia 11 września 2019 roku Prawo Zamówień Publicznych (tj. Dz.U. z 2019, poz.2019</w:t>
      </w:r>
      <w:r w:rsidR="00971652">
        <w:rPr>
          <w:rFonts w:ascii="Calibri" w:hAnsi="Calibri" w:cs="Calibri"/>
          <w:sz w:val="18"/>
          <w:szCs w:val="18"/>
        </w:rPr>
        <w:t xml:space="preserve"> </w:t>
      </w:r>
      <w:r w:rsidR="00971652" w:rsidRPr="002546C4">
        <w:rPr>
          <w:rFonts w:ascii="Calibri" w:hAnsi="Calibri" w:cs="Calibri"/>
          <w:sz w:val="18"/>
          <w:szCs w:val="18"/>
        </w:rPr>
        <w:t xml:space="preserve">z </w:t>
      </w:r>
      <w:proofErr w:type="spellStart"/>
      <w:r w:rsidR="00971652" w:rsidRPr="002546C4">
        <w:rPr>
          <w:rFonts w:ascii="Calibri" w:hAnsi="Calibri" w:cs="Calibri"/>
          <w:sz w:val="18"/>
          <w:szCs w:val="18"/>
        </w:rPr>
        <w:t>późn</w:t>
      </w:r>
      <w:proofErr w:type="spellEnd"/>
      <w:r w:rsidR="00971652" w:rsidRPr="002546C4">
        <w:rPr>
          <w:rFonts w:ascii="Calibri" w:hAnsi="Calibri" w:cs="Calibri"/>
          <w:sz w:val="18"/>
          <w:szCs w:val="18"/>
        </w:rPr>
        <w:t>. zm.</w:t>
      </w:r>
      <w:r w:rsidR="00971652">
        <w:rPr>
          <w:rFonts w:ascii="Calibri" w:hAnsi="Calibri" w:cs="Calibri"/>
          <w:sz w:val="18"/>
          <w:szCs w:val="18"/>
        </w:rPr>
        <w:t>), o </w:t>
      </w:r>
      <w:r w:rsidR="00971652" w:rsidRPr="003219C0">
        <w:rPr>
          <w:rFonts w:ascii="Calibri" w:hAnsi="Calibri" w:cs="Calibri"/>
          <w:sz w:val="18"/>
          <w:szCs w:val="18"/>
        </w:rPr>
        <w:t>wartości zamówienia nieprzekraczającej kwoty 130 000 złotych</w:t>
      </w:r>
      <w:r w:rsidR="004100B0">
        <w:rPr>
          <w:rFonts w:ascii="Calibri" w:hAnsi="Calibri" w:cs="Calibri"/>
          <w:sz w:val="18"/>
          <w:szCs w:val="18"/>
        </w:rPr>
        <w:t xml:space="preserve"> </w:t>
      </w:r>
      <w:r w:rsidR="004100B0" w:rsidRPr="00C144E1">
        <w:rPr>
          <w:rFonts w:ascii="Calibri" w:hAnsi="Calibri" w:cs="Arial"/>
          <w:sz w:val="18"/>
          <w:szCs w:val="18"/>
          <w:lang w:eastAsia="ar-SA"/>
        </w:rPr>
        <w:t>oraz zgodnie z obowiązującym Regulaminem udzielania zamówień publicznych w Uniwersytecie Marii Curie-Skłodowskiej w Lublinie</w:t>
      </w:r>
      <w:r w:rsidR="00971652">
        <w:rPr>
          <w:rFonts w:ascii="Calibri" w:hAnsi="Calibri" w:cs="Calibri"/>
          <w:sz w:val="18"/>
          <w:szCs w:val="18"/>
        </w:rPr>
        <w:t>.</w:t>
      </w:r>
    </w:p>
    <w:p w:rsidR="002344F8" w:rsidRDefault="002344F8" w:rsidP="008F681C">
      <w:pPr>
        <w:numPr>
          <w:ilvl w:val="0"/>
          <w:numId w:val="19"/>
        </w:numPr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 w:rsidR="004100B0">
        <w:rPr>
          <w:rFonts w:asciiTheme="minorHAnsi" w:hAnsiTheme="minorHAnsi" w:cstheme="minorHAnsi"/>
          <w:sz w:val="18"/>
          <w:szCs w:val="18"/>
        </w:rPr>
        <w:t>przepisy</w:t>
      </w:r>
      <w:r w:rsidRPr="000656FC">
        <w:rPr>
          <w:rFonts w:asciiTheme="minorHAnsi" w:hAnsiTheme="minorHAnsi" w:cstheme="minorHAnsi"/>
          <w:sz w:val="18"/>
          <w:szCs w:val="18"/>
        </w:rPr>
        <w:t xml:space="preserve"> Ustawy PZP;</w:t>
      </w:r>
    </w:p>
    <w:p w:rsidR="002344F8" w:rsidRDefault="002344F8" w:rsidP="008F681C">
      <w:pPr>
        <w:numPr>
          <w:ilvl w:val="0"/>
          <w:numId w:val="19"/>
        </w:numPr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eastAsia="ar-SA"/>
        </w:rPr>
        <w:t>Pani/Pana dane osobowe będą przechowywane, zgodnie z</w:t>
      </w:r>
      <w:r w:rsidR="004100B0">
        <w:rPr>
          <w:rFonts w:asciiTheme="minorHAnsi" w:hAnsiTheme="minorHAnsi" w:cstheme="minorHAnsi"/>
          <w:sz w:val="18"/>
          <w:szCs w:val="18"/>
          <w:lang w:eastAsia="ar-SA"/>
        </w:rPr>
        <w:t xml:space="preserve"> ustawą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 xml:space="preserve"> PZP, przez okres 4 lat od dnia zakończenia postępowania o udzielenie zamówienia, a jeżeli czas trwania umowy przekracza 4 lata, okres przechowywania obejmuje cały czas trwania umowy;</w:t>
      </w:r>
    </w:p>
    <w:p w:rsidR="002344F8" w:rsidRDefault="002344F8" w:rsidP="008F681C">
      <w:pPr>
        <w:numPr>
          <w:ilvl w:val="0"/>
          <w:numId w:val="19"/>
        </w:numPr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2344F8" w:rsidRDefault="002344F8" w:rsidP="008F681C">
      <w:pPr>
        <w:numPr>
          <w:ilvl w:val="0"/>
          <w:numId w:val="19"/>
        </w:numPr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 22 RODO;</w:t>
      </w:r>
    </w:p>
    <w:p w:rsidR="002344F8" w:rsidRPr="000656FC" w:rsidRDefault="002344F8" w:rsidP="008F681C">
      <w:pPr>
        <w:numPr>
          <w:ilvl w:val="0"/>
          <w:numId w:val="19"/>
        </w:numPr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posiada Pani/Pan:</w:t>
      </w:r>
    </w:p>
    <w:p w:rsidR="002344F8" w:rsidRPr="000656FC" w:rsidRDefault="002344F8" w:rsidP="008F681C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2344F8" w:rsidRPr="000656FC" w:rsidRDefault="002344F8" w:rsidP="008F681C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0656FC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0656FC">
        <w:rPr>
          <w:rFonts w:asciiTheme="minorHAnsi" w:hAnsiTheme="minorHAnsi" w:cstheme="minorHAnsi"/>
          <w:sz w:val="18"/>
          <w:szCs w:val="18"/>
        </w:rPr>
        <w:t>;</w:t>
      </w:r>
    </w:p>
    <w:p w:rsidR="002344F8" w:rsidRPr="000656FC" w:rsidRDefault="002344F8" w:rsidP="008F681C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2344F8" w:rsidRDefault="002344F8" w:rsidP="008F681C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:rsidR="002344F8" w:rsidRPr="000656FC" w:rsidRDefault="002344F8" w:rsidP="008F681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2344F8" w:rsidRPr="000656FC" w:rsidRDefault="002344F8" w:rsidP="008F681C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2344F8" w:rsidRPr="000656FC" w:rsidRDefault="002344F8" w:rsidP="008F681C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2344F8" w:rsidRDefault="002344F8" w:rsidP="008F681C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0656FC">
        <w:rPr>
          <w:rFonts w:asciiTheme="minorHAnsi" w:hAnsiTheme="minorHAnsi" w:cstheme="minorHAnsi"/>
          <w:sz w:val="18"/>
          <w:szCs w:val="18"/>
        </w:rPr>
        <w:t>.</w:t>
      </w:r>
    </w:p>
    <w:p w:rsidR="002344F8" w:rsidRPr="000656FC" w:rsidRDefault="002344F8" w:rsidP="008F681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</w:t>
      </w:r>
      <w:r w:rsidRPr="000656FC">
        <w:rPr>
          <w:rFonts w:asciiTheme="minorHAnsi" w:hAnsiTheme="minorHAnsi" w:cstheme="minorHAnsi"/>
          <w:sz w:val="18"/>
          <w:szCs w:val="18"/>
        </w:rPr>
        <w:lastRenderedPageBreak/>
        <w:t>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:rsidR="002344F8" w:rsidRPr="000656FC" w:rsidRDefault="002344F8" w:rsidP="008F681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:rsidR="002344F8" w:rsidRPr="000656FC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8F68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8F681C">
      <w:pPr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:rsidR="002344F8" w:rsidRPr="000656FC" w:rsidRDefault="002344F8" w:rsidP="008F681C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:rsidR="002344F8" w:rsidRPr="000656FC" w:rsidRDefault="002344F8" w:rsidP="008F681C">
      <w:pPr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344F8" w:rsidRPr="000656FC" w:rsidRDefault="002344F8" w:rsidP="008F681C">
      <w:pPr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:rsidR="00E93D17" w:rsidRPr="004100B0" w:rsidRDefault="002344F8" w:rsidP="008F681C">
      <w:pPr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E93D17" w:rsidRPr="004100B0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AC" w:rsidRDefault="008A7AAC">
      <w:r>
        <w:separator/>
      </w:r>
    </w:p>
  </w:endnote>
  <w:endnote w:type="continuationSeparator" w:id="0">
    <w:p w:rsidR="008A7AAC" w:rsidRDefault="008A7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A5685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Pr="006E65FB" w:rsidRDefault="00A56851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E530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575197" w:rsidRDefault="00531DBD" w:rsidP="006F45A8">
    <w:pPr>
      <w:pStyle w:val="Stopka"/>
      <w:rPr>
        <w:rFonts w:ascii="Arial" w:hAnsi="Arial"/>
        <w:color w:val="5D6A70"/>
        <w:sz w:val="15"/>
        <w:lang w:val="en-US"/>
      </w:rPr>
    </w:pPr>
    <w:proofErr w:type="spellStart"/>
    <w:r w:rsidRPr="00575197">
      <w:rPr>
        <w:rFonts w:ascii="Arial" w:hAnsi="Arial"/>
        <w:color w:val="5D6A70"/>
        <w:sz w:val="15"/>
        <w:lang w:val="en-US"/>
      </w:rPr>
      <w:t>tel</w:t>
    </w:r>
    <w:proofErr w:type="spellEnd"/>
    <w:r w:rsidRPr="00575197">
      <w:rPr>
        <w:rFonts w:ascii="Arial" w:hAnsi="Arial"/>
        <w:color w:val="5D6A70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AC" w:rsidRDefault="008A7AAC">
      <w:r>
        <w:separator/>
      </w:r>
    </w:p>
  </w:footnote>
  <w:footnote w:type="continuationSeparator" w:id="0">
    <w:p w:rsidR="008A7AAC" w:rsidRDefault="008A7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8195" type="#_x0000_t202" style="position:absolute;margin-left:381.8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A56851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8194" style="position:absolute;left:0;text-align:left;z-index:251661312;visibility:visible;mso-wrap-distance-top:-6e-5mm;mso-wrap-distance-bottom:30.00369mm;mso-position-horizontal:right;mso-position-horizontal-relative:margin;mso-position-vertical-relative:page" from="735.05pt,100.35pt" to="1023.8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A56851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8193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4"/>
  </w:num>
  <w:num w:numId="24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7EB3"/>
    <w:rsid w:val="0002161B"/>
    <w:rsid w:val="00024C52"/>
    <w:rsid w:val="00033F3D"/>
    <w:rsid w:val="000619DA"/>
    <w:rsid w:val="00074BAA"/>
    <w:rsid w:val="0009435B"/>
    <w:rsid w:val="000A7F7A"/>
    <w:rsid w:val="000C00A8"/>
    <w:rsid w:val="000C4612"/>
    <w:rsid w:val="000E5302"/>
    <w:rsid w:val="00134132"/>
    <w:rsid w:val="00157F96"/>
    <w:rsid w:val="00184B79"/>
    <w:rsid w:val="001B4643"/>
    <w:rsid w:val="001D029D"/>
    <w:rsid w:val="001D6AA5"/>
    <w:rsid w:val="001E0C79"/>
    <w:rsid w:val="002344F8"/>
    <w:rsid w:val="002360A0"/>
    <w:rsid w:val="00267BB4"/>
    <w:rsid w:val="002B16F0"/>
    <w:rsid w:val="002C0B49"/>
    <w:rsid w:val="002D4D1D"/>
    <w:rsid w:val="002F3C56"/>
    <w:rsid w:val="00323FC1"/>
    <w:rsid w:val="003347F6"/>
    <w:rsid w:val="00335845"/>
    <w:rsid w:val="00356FA1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0B0"/>
    <w:rsid w:val="00410717"/>
    <w:rsid w:val="0042744C"/>
    <w:rsid w:val="00435EF8"/>
    <w:rsid w:val="00437D1A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75197"/>
    <w:rsid w:val="005878B7"/>
    <w:rsid w:val="005B0AB3"/>
    <w:rsid w:val="005C403D"/>
    <w:rsid w:val="005D73B7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B179A"/>
    <w:rsid w:val="007E5CE3"/>
    <w:rsid w:val="00800109"/>
    <w:rsid w:val="00820BEE"/>
    <w:rsid w:val="00830CF1"/>
    <w:rsid w:val="00834093"/>
    <w:rsid w:val="00882499"/>
    <w:rsid w:val="008911C4"/>
    <w:rsid w:val="008A215C"/>
    <w:rsid w:val="008A36B5"/>
    <w:rsid w:val="008A51BE"/>
    <w:rsid w:val="008A7AAC"/>
    <w:rsid w:val="008F681C"/>
    <w:rsid w:val="00907B48"/>
    <w:rsid w:val="009319B5"/>
    <w:rsid w:val="009345CB"/>
    <w:rsid w:val="009544C1"/>
    <w:rsid w:val="00963F60"/>
    <w:rsid w:val="00971652"/>
    <w:rsid w:val="009D0492"/>
    <w:rsid w:val="009E2FD4"/>
    <w:rsid w:val="009F05F1"/>
    <w:rsid w:val="00A03F42"/>
    <w:rsid w:val="00A15FA8"/>
    <w:rsid w:val="00A31534"/>
    <w:rsid w:val="00A36802"/>
    <w:rsid w:val="00A37632"/>
    <w:rsid w:val="00A459EE"/>
    <w:rsid w:val="00A56851"/>
    <w:rsid w:val="00A87D74"/>
    <w:rsid w:val="00A9388E"/>
    <w:rsid w:val="00AA1FE3"/>
    <w:rsid w:val="00AD48BF"/>
    <w:rsid w:val="00AE1695"/>
    <w:rsid w:val="00AF0012"/>
    <w:rsid w:val="00B27455"/>
    <w:rsid w:val="00B27737"/>
    <w:rsid w:val="00B32AD2"/>
    <w:rsid w:val="00B72349"/>
    <w:rsid w:val="00BA4263"/>
    <w:rsid w:val="00BD15BC"/>
    <w:rsid w:val="00BF16BA"/>
    <w:rsid w:val="00BF5528"/>
    <w:rsid w:val="00C00A6F"/>
    <w:rsid w:val="00C03985"/>
    <w:rsid w:val="00C22A38"/>
    <w:rsid w:val="00C242A2"/>
    <w:rsid w:val="00C30C4A"/>
    <w:rsid w:val="00C8276B"/>
    <w:rsid w:val="00C85000"/>
    <w:rsid w:val="00CA0A36"/>
    <w:rsid w:val="00CC13DB"/>
    <w:rsid w:val="00CC2871"/>
    <w:rsid w:val="00CC614B"/>
    <w:rsid w:val="00CD2758"/>
    <w:rsid w:val="00CF43F6"/>
    <w:rsid w:val="00D10946"/>
    <w:rsid w:val="00D755D0"/>
    <w:rsid w:val="00D94D92"/>
    <w:rsid w:val="00DA183A"/>
    <w:rsid w:val="00DD21A5"/>
    <w:rsid w:val="00DE0D10"/>
    <w:rsid w:val="00E12F1F"/>
    <w:rsid w:val="00E3261D"/>
    <w:rsid w:val="00E54FA5"/>
    <w:rsid w:val="00E5677B"/>
    <w:rsid w:val="00E84F29"/>
    <w:rsid w:val="00E93D17"/>
    <w:rsid w:val="00EC2A8B"/>
    <w:rsid w:val="00F04060"/>
    <w:rsid w:val="00F27A6F"/>
    <w:rsid w:val="00F313BB"/>
    <w:rsid w:val="00F41C54"/>
    <w:rsid w:val="00F456A2"/>
    <w:rsid w:val="00F53355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1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6782-22A4-49AF-B5A8-80F2A0F6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5406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6</cp:revision>
  <cp:lastPrinted>2020-03-04T13:39:00Z</cp:lastPrinted>
  <dcterms:created xsi:type="dcterms:W3CDTF">2021-06-24T13:29:00Z</dcterms:created>
  <dcterms:modified xsi:type="dcterms:W3CDTF">2021-07-20T13:15:00Z</dcterms:modified>
</cp:coreProperties>
</file>