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D928" w14:textId="77777777" w:rsidR="0001401B" w:rsidRDefault="0001401B">
      <w:pPr>
        <w:spacing w:before="2"/>
        <w:rPr>
          <w:rFonts w:ascii="Arial" w:hAnsi="Arial" w:cs="Arial"/>
          <w:sz w:val="4"/>
        </w:rPr>
      </w:pPr>
    </w:p>
    <w:tbl>
      <w:tblPr>
        <w:tblW w:w="9214" w:type="dxa"/>
        <w:tblInd w:w="10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47"/>
        <w:gridCol w:w="6167"/>
      </w:tblGrid>
      <w:tr w:rsidR="0001401B" w:rsidRPr="00752148" w14:paraId="66A117BA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898E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Module name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E500" w14:textId="5A0665D7" w:rsidR="0001401B" w:rsidRDefault="00752148">
            <w:pPr>
              <w:pStyle w:val="TableParagraph"/>
              <w:rPr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German Material Ethics of Value</w:t>
            </w:r>
            <w:r w:rsidR="00191B10">
              <w:rPr>
                <w:rFonts w:ascii="Arial" w:hAnsi="Arial" w:cs="Arial"/>
                <w:b/>
                <w:sz w:val="20"/>
                <w:lang w:val="en-GB"/>
              </w:rPr>
              <w:t>s</w:t>
            </w:r>
          </w:p>
        </w:tc>
      </w:tr>
      <w:tr w:rsidR="0001401B" w14:paraId="62454CAC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1588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Erasmus code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EFE1" w14:textId="26C8F8E7" w:rsidR="0001401B" w:rsidRDefault="0001401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01B" w14:paraId="31FFE1CF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5CB2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ISCED code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D5F5" w14:textId="77777777" w:rsidR="0001401B" w:rsidRDefault="0001401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1401B" w14:paraId="785AA96C" w14:textId="77777777">
        <w:trPr>
          <w:trHeight w:val="2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98D1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Language of instruction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62DF" w14:textId="77777777" w:rsidR="0001401B" w:rsidRDefault="00F67456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English</w:t>
            </w:r>
          </w:p>
        </w:tc>
      </w:tr>
      <w:tr w:rsidR="0001401B" w14:paraId="64336527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9F14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Website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8C12" w14:textId="77777777" w:rsidR="0001401B" w:rsidRDefault="0001401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1401B" w:rsidRPr="00752148" w14:paraId="7ADB94C6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8879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Prerequisites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54BD" w14:textId="18E95B2B" w:rsidR="0001401B" w:rsidRDefault="00AF4DC0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None</w:t>
            </w:r>
          </w:p>
        </w:tc>
      </w:tr>
      <w:tr w:rsidR="0001401B" w14:paraId="138FC314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6005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Educational outcomes verification methods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95D4" w14:textId="6988B781" w:rsidR="0001401B" w:rsidRDefault="00F67456">
            <w:pPr>
              <w:pStyle w:val="TableParagraph"/>
              <w:rPr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Essay </w:t>
            </w:r>
            <w:r w:rsidR="00AF4DC0">
              <w:rPr>
                <w:rFonts w:ascii="Arial" w:hAnsi="Arial" w:cs="Arial"/>
                <w:sz w:val="20"/>
                <w:lang w:val="en-GB"/>
              </w:rPr>
              <w:t xml:space="preserve">or </w:t>
            </w:r>
            <w:r>
              <w:rPr>
                <w:rFonts w:ascii="Arial" w:hAnsi="Arial" w:cs="Arial"/>
                <w:sz w:val="20"/>
                <w:lang w:val="en-GB"/>
              </w:rPr>
              <w:t>oral exam</w:t>
            </w:r>
          </w:p>
        </w:tc>
      </w:tr>
      <w:tr w:rsidR="0001401B" w:rsidRPr="00752148" w14:paraId="3E07BB17" w14:textId="77777777">
        <w:trPr>
          <w:trHeight w:val="30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A0AC" w14:textId="77777777" w:rsidR="0001401B" w:rsidRDefault="00F67456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Description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A81F" w14:textId="77777777" w:rsidR="0001401B" w:rsidRPr="00F67456" w:rsidRDefault="0001401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  <w:p w14:paraId="355CA3E1" w14:textId="427DDCCC" w:rsidR="0001401B" w:rsidRPr="00F67456" w:rsidRDefault="00F67456" w:rsidP="007F408E">
            <w:pPr>
              <w:pStyle w:val="TableParagraph"/>
              <w:spacing w:line="240" w:lineRule="auto"/>
              <w:ind w:right="13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The aim of the course is to </w:t>
            </w:r>
            <w:r w:rsidR="00752148">
              <w:rPr>
                <w:rFonts w:ascii="Arial" w:hAnsi="Arial" w:cs="Arial"/>
                <w:sz w:val="20"/>
                <w:lang w:val="en-GB"/>
              </w:rPr>
              <w:t xml:space="preserve">demonstrate the theoretical standpoints formulated  by main representatives of German Material Ethics </w:t>
            </w:r>
            <w:r w:rsidR="000B64E1">
              <w:rPr>
                <w:rFonts w:ascii="Arial" w:hAnsi="Arial" w:cs="Arial"/>
                <w:sz w:val="20"/>
                <w:lang w:val="en-GB"/>
              </w:rPr>
              <w:t xml:space="preserve">of </w:t>
            </w:r>
            <w:r w:rsidR="00752148">
              <w:rPr>
                <w:rFonts w:ascii="Arial" w:hAnsi="Arial" w:cs="Arial"/>
                <w:sz w:val="20"/>
                <w:lang w:val="en-GB"/>
              </w:rPr>
              <w:t>Value</w:t>
            </w:r>
            <w:r w:rsidR="00191B10">
              <w:rPr>
                <w:rFonts w:ascii="Arial" w:hAnsi="Arial" w:cs="Arial"/>
                <w:sz w:val="20"/>
                <w:lang w:val="en-GB"/>
              </w:rPr>
              <w:t>s</w:t>
            </w:r>
            <w:r w:rsidR="00752148">
              <w:rPr>
                <w:rFonts w:ascii="Arial" w:hAnsi="Arial" w:cs="Arial"/>
                <w:sz w:val="20"/>
                <w:lang w:val="en-GB"/>
              </w:rPr>
              <w:t xml:space="preserve"> (Max Scheler, Nicolai Hartmann, Dietrich von Hildebrand, and Hans Reiner). The following issues will be analysed: </w:t>
            </w:r>
            <w:proofErr w:type="spellStart"/>
            <w:r w:rsidR="00752148">
              <w:rPr>
                <w:rFonts w:ascii="Arial" w:hAnsi="Arial" w:cs="Arial"/>
                <w:sz w:val="20"/>
                <w:lang w:val="en-GB"/>
              </w:rPr>
              <w:t>i</w:t>
            </w:r>
            <w:proofErr w:type="spellEnd"/>
            <w:r w:rsidR="00752148">
              <w:rPr>
                <w:rFonts w:ascii="Arial" w:hAnsi="Arial" w:cs="Arial"/>
                <w:sz w:val="20"/>
                <w:lang w:val="en-GB"/>
              </w:rPr>
              <w:t xml:space="preserve">) material ethics </w:t>
            </w:r>
            <w:r w:rsidR="00CD65D4">
              <w:rPr>
                <w:rFonts w:ascii="Arial" w:hAnsi="Arial" w:cs="Arial"/>
                <w:sz w:val="20"/>
                <w:lang w:val="en-GB"/>
              </w:rPr>
              <w:t xml:space="preserve">of values </w:t>
            </w:r>
            <w:r w:rsidR="00752148">
              <w:rPr>
                <w:rFonts w:ascii="Arial" w:hAnsi="Arial" w:cs="Arial"/>
                <w:sz w:val="20"/>
                <w:lang w:val="en-GB"/>
              </w:rPr>
              <w:t>and Kant’s formal ethics; ii) values, their diversity and hierarchy; iii) value-feeling and its forms; iv) value feeling and value cognition; v)</w:t>
            </w:r>
            <w:r w:rsidR="007F40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F408E">
              <w:rPr>
                <w:rFonts w:ascii="Arial" w:hAnsi="Arial" w:cs="Arial"/>
                <w:sz w:val="20"/>
                <w:lang w:val="en-GB"/>
              </w:rPr>
              <w:t>relationism</w:t>
            </w:r>
            <w:proofErr w:type="spellEnd"/>
            <w:r w:rsidR="007F408E">
              <w:rPr>
                <w:rFonts w:ascii="Arial" w:hAnsi="Arial" w:cs="Arial"/>
                <w:sz w:val="20"/>
                <w:lang w:val="en-GB"/>
              </w:rPr>
              <w:t xml:space="preserve"> and relativism</w:t>
            </w:r>
            <w:r w:rsidR="00CD65D4">
              <w:rPr>
                <w:rFonts w:ascii="Arial" w:hAnsi="Arial" w:cs="Arial"/>
                <w:sz w:val="20"/>
                <w:lang w:val="en-GB"/>
              </w:rPr>
              <w:t xml:space="preserve"> in ethics and axiology</w:t>
            </w:r>
            <w:r w:rsidR="007F408E">
              <w:rPr>
                <w:rFonts w:ascii="Arial" w:hAnsi="Arial" w:cs="Arial"/>
                <w:sz w:val="20"/>
                <w:lang w:val="en-GB"/>
              </w:rPr>
              <w:t>; vi) values and human action; vii) values and freedom; viii) Hartmann’s antinomies of freedom; xix) material ethics of values and anal</w:t>
            </w:r>
            <w:r w:rsidR="00CD65D4">
              <w:rPr>
                <w:rFonts w:ascii="Arial" w:hAnsi="Arial" w:cs="Arial"/>
                <w:sz w:val="20"/>
                <w:lang w:val="en-GB"/>
              </w:rPr>
              <w:t>y</w:t>
            </w:r>
            <w:r w:rsidR="007F408E">
              <w:rPr>
                <w:rFonts w:ascii="Arial" w:hAnsi="Arial" w:cs="Arial"/>
                <w:sz w:val="20"/>
                <w:lang w:val="en-GB"/>
              </w:rPr>
              <w:t>tic ethical perspectives.</w:t>
            </w:r>
          </w:p>
        </w:tc>
      </w:tr>
      <w:tr w:rsidR="0001401B" w:rsidRPr="00752148" w14:paraId="73E025D0" w14:textId="77777777">
        <w:trPr>
          <w:trHeight w:val="3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3EB7" w14:textId="77777777" w:rsidR="0001401B" w:rsidRPr="00AF4DC0" w:rsidRDefault="00F67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DC0"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3815" w14:textId="5D37C670" w:rsidR="00CD65D4" w:rsidRDefault="00CD65D4" w:rsidP="00CD65D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DC0" w:rsidDel="003B01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Scheler</w:t>
            </w:r>
            <w:r w:rsidRPr="00AF4DC0" w:rsidDel="003B018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,</w:t>
            </w:r>
            <w:r w:rsidRPr="00AF4DC0" w:rsidDel="003B01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Max</w:t>
            </w:r>
            <w:r w:rsidRPr="00AF4D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(1973)</w:t>
            </w:r>
            <w:r w:rsidRPr="00AF4DC0" w:rsidDel="003B01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AF4DC0" w:rsidDel="003B018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Formalism in Ethics and Non-Formal Ethics of Values</w:t>
            </w:r>
            <w:r w:rsidRPr="00AF4DC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:</w:t>
            </w:r>
            <w:r w:rsidRPr="00AF4DC0" w:rsidDel="003B018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A New Attempt </w:t>
            </w:r>
            <w:r w:rsidRPr="00AF4DC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AF4DC0" w:rsidDel="003B018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oward a Foundation of an Ethical Personalism</w:t>
            </w:r>
            <w:r w:rsidRPr="00AF4DC0" w:rsidDel="003B01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Translated by Manfred S. Frings</w:t>
            </w:r>
            <w:r w:rsidRPr="00AF4D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AF4DC0" w:rsidDel="003B01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Roger L. Funk. Evanston: Northwestern University Press.</w:t>
            </w:r>
          </w:p>
          <w:p w14:paraId="309B9F37" w14:textId="77777777" w:rsidR="00CD65D4" w:rsidRDefault="00CD65D4" w:rsidP="00CD65D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AE2BD5" w14:textId="17B25CB7" w:rsidR="00AF4DC0" w:rsidRPr="00CD65D4" w:rsidRDefault="00AF4DC0" w:rsidP="00CD65D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65D4">
              <w:rPr>
                <w:rFonts w:ascii="Arial" w:hAnsi="Arial" w:cs="Arial"/>
                <w:sz w:val="20"/>
                <w:szCs w:val="20"/>
                <w:lang w:val="en-US"/>
              </w:rPr>
              <w:t xml:space="preserve">Hartmann, Nicolai (1932). </w:t>
            </w:r>
            <w:r w:rsidRPr="00CD65D4">
              <w:rPr>
                <w:rFonts w:ascii="Arial" w:hAnsi="Arial" w:cs="Arial"/>
                <w:i/>
                <w:sz w:val="20"/>
                <w:szCs w:val="20"/>
                <w:lang w:val="en-US"/>
              </w:rPr>
              <w:t>Ethics</w:t>
            </w:r>
            <w:r w:rsidRPr="00CD65D4">
              <w:rPr>
                <w:rFonts w:ascii="Arial" w:hAnsi="Arial" w:cs="Arial"/>
                <w:sz w:val="20"/>
                <w:szCs w:val="20"/>
                <w:lang w:val="en-US"/>
              </w:rPr>
              <w:t xml:space="preserve">. Vol. I, </w:t>
            </w:r>
            <w:r w:rsidRPr="00CD65D4">
              <w:rPr>
                <w:rFonts w:ascii="Arial" w:hAnsi="Arial" w:cs="Arial"/>
                <w:sz w:val="20"/>
                <w:szCs w:val="20"/>
                <w:lang w:val="en-US"/>
              </w:rPr>
              <w:t xml:space="preserve">II, </w:t>
            </w:r>
            <w:r w:rsidRPr="00CD65D4">
              <w:rPr>
                <w:rFonts w:ascii="Arial" w:hAnsi="Arial" w:cs="Arial"/>
                <w:sz w:val="20"/>
                <w:szCs w:val="20"/>
                <w:lang w:val="en-US"/>
              </w:rPr>
              <w:t xml:space="preserve">III. Translated by Stanton </w:t>
            </w:r>
            <w:proofErr w:type="spellStart"/>
            <w:r w:rsidRPr="00CD65D4">
              <w:rPr>
                <w:rFonts w:ascii="Arial" w:hAnsi="Arial" w:cs="Arial"/>
                <w:sz w:val="20"/>
                <w:szCs w:val="20"/>
                <w:lang w:val="en-US"/>
              </w:rPr>
              <w:t>Coit</w:t>
            </w:r>
            <w:proofErr w:type="spellEnd"/>
            <w:r w:rsidRPr="00CD65D4">
              <w:rPr>
                <w:rFonts w:ascii="Arial" w:hAnsi="Arial" w:cs="Arial"/>
                <w:sz w:val="20"/>
                <w:szCs w:val="20"/>
                <w:lang w:val="en-US"/>
              </w:rPr>
              <w:t>. London – New York: George Allen &amp; Unwin – The MacMillan Company.</w:t>
            </w:r>
            <w:bookmarkStart w:id="0" w:name="_GoBack"/>
            <w:bookmarkEnd w:id="0"/>
          </w:p>
          <w:p w14:paraId="39D46DF6" w14:textId="77777777" w:rsidR="00AF4DC0" w:rsidRPr="00AF4DC0" w:rsidRDefault="00AF4DC0" w:rsidP="00AF4D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58B3935" w14:textId="77777777" w:rsidR="00AF4DC0" w:rsidRPr="00AF4DC0" w:rsidRDefault="00AF4DC0" w:rsidP="00AF4D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4D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Hartmann, Nicolai (1953). </w:t>
            </w:r>
            <w:r w:rsidRPr="00AF4DC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New Ways of Ontology.</w:t>
            </w:r>
            <w:r w:rsidRPr="00AF4D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Translated by Reinhard C. Kuhn. Chicago: Henry Regnery Company. </w:t>
            </w:r>
          </w:p>
          <w:p w14:paraId="691E5AA0" w14:textId="77777777" w:rsidR="00AF4DC0" w:rsidRPr="00AF4DC0" w:rsidRDefault="00AF4DC0" w:rsidP="00AF4D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8424C3F" w14:textId="442621DD" w:rsidR="00CD65D4" w:rsidRPr="00CD65D4" w:rsidRDefault="00AF4DC0" w:rsidP="00AF4D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Von Hildebrand, Dietrich (</w:t>
            </w:r>
            <w:r w:rsid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Christian Ethics</w:t>
            </w:r>
            <w:r w:rsid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="00CD65D4" w:rsidRPr="00CD65D4">
              <w:rPr>
                <w:rStyle w:val="acopre"/>
                <w:rFonts w:ascii="Arial" w:hAnsi="Arial" w:cs="Arial"/>
                <w:sz w:val="20"/>
                <w:szCs w:val="20"/>
                <w:lang w:val="en-GB"/>
              </w:rPr>
              <w:t>New York</w:t>
            </w:r>
            <w:r w:rsidR="00CD65D4">
              <w:rPr>
                <w:rStyle w:val="acopre"/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CD65D4" w:rsidRPr="00CD65D4">
              <w:rPr>
                <w:rStyle w:val="acopre"/>
                <w:rFonts w:ascii="Arial" w:hAnsi="Arial" w:cs="Arial"/>
                <w:sz w:val="20"/>
                <w:szCs w:val="20"/>
                <w:lang w:val="en-GB"/>
              </w:rPr>
              <w:t xml:space="preserve"> David McKay Co., Inc</w:t>
            </w:r>
            <w:r w:rsidR="00CD65D4">
              <w:rPr>
                <w:rStyle w:val="acopre"/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3D621CC" w14:textId="5EA6108B" w:rsidR="00CD65D4" w:rsidRDefault="00CD65D4" w:rsidP="00CD65D4">
            <w:pPr>
              <w:pStyle w:val="Nagwek1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Reiner, Hans (1983). </w:t>
            </w:r>
            <w:r w:rsidRPr="00CD65D4">
              <w:rPr>
                <w:rFonts w:ascii="Arial" w:eastAsia="Times New Roman" w:hAnsi="Arial" w:cs="Arial"/>
                <w:bCs/>
                <w:color w:val="auto"/>
                <w:kern w:val="36"/>
                <w:sz w:val="20"/>
                <w:szCs w:val="20"/>
                <w:lang w:val="en-GB" w:bidi="ar-SA"/>
              </w:rPr>
              <w:t>Duty and Inclination The Fundamentals of Morality Discussed and Redefined with Special Regard to Kant and Schiller</w:t>
            </w:r>
            <w:r w:rsidRPr="00CD65D4">
              <w:rPr>
                <w:rFonts w:ascii="Arial" w:eastAsia="Times New Roman" w:hAnsi="Arial" w:cs="Arial"/>
                <w:bCs/>
                <w:color w:val="auto"/>
                <w:kern w:val="36"/>
                <w:sz w:val="20"/>
                <w:szCs w:val="20"/>
                <w:lang w:val="en-GB" w:bidi="ar-SA"/>
              </w:rPr>
              <w:t xml:space="preserve">. </w:t>
            </w:r>
            <w:proofErr w:type="spellStart"/>
            <w:r w:rsidRPr="00CD65D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Phaenomenologica</w:t>
            </w:r>
            <w:proofErr w:type="spellEnd"/>
            <w:r w:rsidRPr="00CD65D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93</w:t>
            </w:r>
            <w:r w:rsidRPr="00CD65D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. </w:t>
            </w:r>
            <w:r w:rsidRPr="00CD65D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Springer Netherlands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.</w:t>
            </w:r>
          </w:p>
          <w:p w14:paraId="23D595B7" w14:textId="53DD5290" w:rsidR="00CD65D4" w:rsidRDefault="00CD65D4" w:rsidP="00CD65D4">
            <w:pPr>
              <w:rPr>
                <w:lang w:val="en-GB"/>
              </w:rPr>
            </w:pPr>
          </w:p>
          <w:p w14:paraId="6CB54A48" w14:textId="3FC49F23" w:rsidR="00CD65D4" w:rsidRDefault="00CD65D4" w:rsidP="00CD65D4">
            <w:pPr>
              <w:rPr>
                <w:lang w:val="en-GB"/>
              </w:rPr>
            </w:pPr>
          </w:p>
          <w:p w14:paraId="2CF1FB29" w14:textId="77777777" w:rsidR="00191B10" w:rsidRDefault="00191B10" w:rsidP="00CD65D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877D24F" w14:textId="283DA798" w:rsidR="00191B10" w:rsidRDefault="00191B10" w:rsidP="00CD65D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Kelly, Eugene (2011). Material Ethics of Value: Max Scheler and Nicolai Hartmann. </w:t>
            </w:r>
            <w:proofErr w:type="spellStart"/>
            <w:r w:rsidRPr="00CD65D4">
              <w:rPr>
                <w:rFonts w:ascii="Arial" w:hAnsi="Arial" w:cs="Arial"/>
                <w:sz w:val="20"/>
                <w:szCs w:val="20"/>
                <w:lang w:val="en-GB"/>
              </w:rPr>
              <w:t>Phaenomenologica</w:t>
            </w:r>
            <w:proofErr w:type="spellEnd"/>
            <w:r w:rsidRPr="00CD65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CD65D4">
              <w:rPr>
                <w:rFonts w:ascii="Arial" w:hAnsi="Arial" w:cs="Arial"/>
                <w:sz w:val="20"/>
                <w:szCs w:val="20"/>
                <w:lang w:val="en-GB"/>
              </w:rPr>
              <w:t>3. Springer Netherlands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95491BE" w14:textId="77777777" w:rsidR="00191B10" w:rsidRDefault="00191B10" w:rsidP="00CD65D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13B8809" w14:textId="2C99F4E4" w:rsidR="00CD65D4" w:rsidRPr="00CD65D4" w:rsidRDefault="00CD65D4" w:rsidP="00CD65D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4DC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Frankfurt, Harry Gordon (2007). “Freedom of the Will and the Concept of a Person.” In Harry Gordon Frank</w:t>
            </w:r>
            <w:r w:rsidRP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furt. </w:t>
            </w:r>
            <w:r w:rsidRPr="00CD65D4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Importance of What We Care About: Philosophical Essays</w:t>
            </w:r>
            <w:r w:rsidRP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11-25. New York: Cambridge University Press</w:t>
            </w:r>
          </w:p>
          <w:p w14:paraId="5FE6CAAA" w14:textId="77777777" w:rsidR="00CD65D4" w:rsidRPr="00CD65D4" w:rsidRDefault="00CD65D4" w:rsidP="00CD65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4A85D6" w14:textId="7F536815" w:rsidR="00CD65D4" w:rsidRPr="00CD65D4" w:rsidRDefault="00CD65D4" w:rsidP="00CD65D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Kane, Robert (2005). </w:t>
            </w:r>
            <w:r w:rsidRPr="00CD65D4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 Contemporary Introduction to Free Will</w:t>
            </w:r>
            <w:r w:rsidRPr="00CD65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New York/Oxford: Oxford University Press.</w:t>
            </w:r>
          </w:p>
          <w:p w14:paraId="3DCCF4A6" w14:textId="74ADBA12" w:rsidR="00CD65D4" w:rsidRPr="00CD65D4" w:rsidRDefault="00CD65D4" w:rsidP="00CD65D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EE6234" w14:textId="77777777" w:rsidR="00CD65D4" w:rsidRPr="00CD65D4" w:rsidRDefault="00CD65D4" w:rsidP="00CD65D4">
            <w:pPr>
              <w:pStyle w:val="Tekstprzypisudolnego"/>
              <w:contextualSpacing/>
              <w:rPr>
                <w:rFonts w:ascii="Arial" w:hAnsi="Arial" w:cs="Arial"/>
                <w:color w:val="000000"/>
                <w:lang w:val="en-US"/>
              </w:rPr>
            </w:pPr>
            <w:r w:rsidRPr="00CD65D4">
              <w:rPr>
                <w:rFonts w:ascii="Arial" w:hAnsi="Arial" w:cs="Arial"/>
                <w:color w:val="000000"/>
                <w:lang w:val="en-US"/>
              </w:rPr>
              <w:t xml:space="preserve">Mackie, John Leslie (1990). </w:t>
            </w:r>
            <w:r w:rsidRPr="00CD65D4">
              <w:rPr>
                <w:rFonts w:ascii="Arial" w:hAnsi="Arial" w:cs="Arial"/>
                <w:i/>
                <w:color w:val="000000"/>
                <w:lang w:val="en-US"/>
              </w:rPr>
              <w:t>Ethics: Inventing Right and Wrong</w:t>
            </w:r>
            <w:r w:rsidRPr="00CD65D4">
              <w:rPr>
                <w:rFonts w:ascii="Arial" w:hAnsi="Arial" w:cs="Arial"/>
                <w:color w:val="000000"/>
                <w:lang w:val="en-US"/>
              </w:rPr>
              <w:t>. London: Penguin Books.</w:t>
            </w:r>
          </w:p>
          <w:p w14:paraId="1979E202" w14:textId="77777777" w:rsidR="0001401B" w:rsidRPr="00AF4DC0" w:rsidRDefault="000140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01B" w:rsidRPr="00752148" w14:paraId="2E8156D6" w14:textId="77777777">
        <w:trPr>
          <w:trHeight w:val="114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9A84" w14:textId="77777777" w:rsidR="0001401B" w:rsidRDefault="00F67456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0D5" w14:textId="61282142" w:rsidR="0001401B" w:rsidRDefault="00F67456">
            <w:pPr>
              <w:pStyle w:val="TableParagraph"/>
              <w:spacing w:line="229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After completing the subject, the students should be </w:t>
            </w:r>
            <w:r w:rsidR="00B75827">
              <w:rPr>
                <w:rFonts w:ascii="Arial" w:hAnsi="Arial" w:cs="Arial"/>
                <w:sz w:val="20"/>
                <w:lang w:val="en-US"/>
              </w:rPr>
              <w:t xml:space="preserve">in particular </w:t>
            </w:r>
            <w:r>
              <w:rPr>
                <w:rFonts w:ascii="Arial" w:hAnsi="Arial" w:cs="Arial"/>
                <w:sz w:val="20"/>
                <w:lang w:val="en-US"/>
              </w:rPr>
              <w:t>able:</w:t>
            </w:r>
          </w:p>
          <w:p w14:paraId="3619CDFE" w14:textId="12714FF6" w:rsidR="0001401B" w:rsidRDefault="00F67456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29" w:lineRule="exact"/>
              <w:ind w:hanging="37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to know the </w:t>
            </w:r>
            <w:r w:rsidR="00B75827">
              <w:rPr>
                <w:rFonts w:ascii="Arial" w:hAnsi="Arial" w:cs="Arial"/>
                <w:sz w:val="20"/>
                <w:lang w:val="en-US"/>
              </w:rPr>
              <w:t>main ideas of the German material ethics of values</w:t>
            </w:r>
          </w:p>
          <w:p w14:paraId="17004F1C" w14:textId="46D9F21C" w:rsidR="0001401B" w:rsidRDefault="00F67456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" w:line="240" w:lineRule="auto"/>
              <w:ind w:hanging="37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to understand </w:t>
            </w:r>
            <w:r w:rsidR="00AF4DC0">
              <w:rPr>
                <w:rFonts w:ascii="Arial" w:hAnsi="Arial" w:cs="Arial"/>
                <w:sz w:val="20"/>
                <w:lang w:val="en-US"/>
              </w:rPr>
              <w:t xml:space="preserve">a metaphysical position </w:t>
            </w:r>
            <w:r>
              <w:rPr>
                <w:rFonts w:ascii="Arial" w:hAnsi="Arial" w:cs="Arial"/>
                <w:sz w:val="20"/>
                <w:lang w:val="en-US"/>
              </w:rPr>
              <w:t xml:space="preserve">of </w:t>
            </w:r>
            <w:r w:rsidR="00B75827">
              <w:rPr>
                <w:rFonts w:ascii="Arial" w:hAnsi="Arial" w:cs="Arial"/>
                <w:sz w:val="20"/>
                <w:lang w:val="en-US"/>
              </w:rPr>
              <w:t>values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</w:p>
          <w:p w14:paraId="0B34FDFC" w14:textId="77777777" w:rsidR="00AF4DC0" w:rsidRPr="00AF4DC0" w:rsidRDefault="00AF4DC0" w:rsidP="00AF4DC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30" w:lineRule="atLeast"/>
              <w:ind w:right="355" w:hanging="372"/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</w:t>
            </w:r>
            <w:r w:rsidR="00B75827">
              <w:rPr>
                <w:rFonts w:ascii="Arial" w:hAnsi="Arial" w:cs="Arial"/>
                <w:sz w:val="20"/>
                <w:lang w:val="en-US"/>
              </w:rPr>
              <w:t xml:space="preserve"> know </w:t>
            </w:r>
            <w:r>
              <w:rPr>
                <w:rFonts w:ascii="Arial" w:hAnsi="Arial" w:cs="Arial"/>
                <w:sz w:val="20"/>
                <w:lang w:val="en-US"/>
              </w:rPr>
              <w:t xml:space="preserve">main difficulties appearing in the selected theories formulated in the material ethics of values; </w:t>
            </w:r>
          </w:p>
          <w:p w14:paraId="6E88A8B8" w14:textId="1159458A" w:rsidR="00AF4DC0" w:rsidRPr="00AF4DC0" w:rsidRDefault="00AF4DC0" w:rsidP="00AF4DC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30" w:lineRule="atLeast"/>
              <w:ind w:right="355" w:hanging="372"/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 understand and explain a role of values in human activity.</w:t>
            </w:r>
          </w:p>
          <w:p w14:paraId="01E7A3BE" w14:textId="6B092F7B" w:rsidR="00AF4DC0" w:rsidRPr="00F67456" w:rsidRDefault="00AF4DC0" w:rsidP="00AF4DC0">
            <w:pPr>
              <w:pStyle w:val="TableParagraph"/>
              <w:tabs>
                <w:tab w:val="left" w:pos="304"/>
              </w:tabs>
              <w:spacing w:line="230" w:lineRule="atLeast"/>
              <w:ind w:left="474" w:right="355"/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 xml:space="preserve">  </w:t>
            </w:r>
            <w:r>
              <w:rPr>
                <w:lang w:val="en-US"/>
              </w:rPr>
              <w:t xml:space="preserve"> </w:t>
            </w:r>
          </w:p>
        </w:tc>
      </w:tr>
      <w:tr w:rsidR="0001401B" w14:paraId="2D01B322" w14:textId="77777777">
        <w:trPr>
          <w:trHeight w:val="2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2D08" w14:textId="77777777" w:rsidR="0001401B" w:rsidRDefault="00F67456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Practice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5BDB" w14:textId="77777777" w:rsidR="0001401B" w:rsidRDefault="00F67456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None</w:t>
            </w:r>
            <w:proofErr w:type="spellEnd"/>
          </w:p>
        </w:tc>
      </w:tr>
    </w:tbl>
    <w:p w14:paraId="3541D946" w14:textId="77777777" w:rsidR="0001401B" w:rsidRDefault="0001401B" w:rsidP="00CD65D4"/>
    <w:sectPr w:rsidR="0001401B">
      <w:pgSz w:w="11906" w:h="16838"/>
      <w:pgMar w:top="1580" w:right="1260" w:bottom="280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7BDA"/>
    <w:multiLevelType w:val="hybridMultilevel"/>
    <w:tmpl w:val="903822C6"/>
    <w:lvl w:ilvl="0" w:tplc="8E549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789C"/>
    <w:multiLevelType w:val="hybridMultilevel"/>
    <w:tmpl w:val="17708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6C9"/>
    <w:multiLevelType w:val="multilevel"/>
    <w:tmpl w:val="244010A6"/>
    <w:lvl w:ilvl="0">
      <w:start w:val="1"/>
      <w:numFmt w:val="decimal"/>
      <w:lvlText w:val="%1."/>
      <w:lvlJc w:val="left"/>
      <w:pPr>
        <w:ind w:left="474" w:hanging="201"/>
      </w:pPr>
      <w:rPr>
        <w:rFonts w:ascii="Arial" w:eastAsia="Times New Roman" w:hAnsi="Arial" w:cs="Times New Roman"/>
        <w:spacing w:val="0"/>
        <w:w w:val="99"/>
        <w:sz w:val="20"/>
        <w:szCs w:val="20"/>
        <w:lang w:val="en-US" w:eastAsia="pl-PL" w:bidi="pl-PL"/>
      </w:rPr>
    </w:lvl>
    <w:lvl w:ilvl="1">
      <w:start w:val="1"/>
      <w:numFmt w:val="bullet"/>
      <w:lvlText w:val=""/>
      <w:lvlJc w:val="left"/>
      <w:pPr>
        <w:ind w:left="958" w:hanging="20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7" w:hanging="20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16" w:hanging="20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394" w:hanging="20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873" w:hanging="20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352" w:hanging="20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830" w:hanging="20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4309" w:hanging="201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667552FF"/>
    <w:multiLevelType w:val="multilevel"/>
    <w:tmpl w:val="7CB22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1B"/>
    <w:rsid w:val="0001401B"/>
    <w:rsid w:val="000B64E1"/>
    <w:rsid w:val="00191B10"/>
    <w:rsid w:val="00752148"/>
    <w:rsid w:val="007F408E"/>
    <w:rsid w:val="00AF4DC0"/>
    <w:rsid w:val="00B75827"/>
    <w:rsid w:val="00CD65D4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2BED"/>
  <w15:docId w15:val="{EC6BE10C-A331-42F7-B431-C184726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agwek10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4D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Times New Roman" w:hAnsi="Arial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102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4DC0"/>
    <w:rPr>
      <w:rFonts w:asciiTheme="majorHAnsi" w:eastAsiaTheme="majorEastAsia" w:hAnsiTheme="majorHAnsi" w:cstheme="majorBidi"/>
      <w:color w:val="243F60" w:themeColor="accent1" w:themeShade="7F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DC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AF4DC0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1">
    <w:name w:val="Styl1"/>
    <w:basedOn w:val="Zwykytekst"/>
    <w:rsid w:val="00AF4DC0"/>
    <w:pPr>
      <w:widowControl/>
      <w:jc w:val="both"/>
    </w:pPr>
    <w:rPr>
      <w:rFonts w:ascii="Times New Roman" w:hAnsi="Times New Roman" w:cs="Courier New"/>
      <w:bCs/>
      <w:sz w:val="22"/>
      <w:szCs w:val="22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DC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DC0"/>
    <w:rPr>
      <w:rFonts w:ascii="Consolas" w:eastAsia="Times New Roman" w:hAnsi="Consolas" w:cs="Times New Roman"/>
      <w:sz w:val="21"/>
      <w:szCs w:val="21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5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 w:bidi="pl-PL"/>
    </w:rPr>
  </w:style>
  <w:style w:type="character" w:customStyle="1" w:styleId="acopre">
    <w:name w:val="acopre"/>
    <w:basedOn w:val="Domylnaczcionkaakapitu"/>
    <w:rsid w:val="00CD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dc:description/>
  <cp:lastModifiedBy>Leszek Kopciuch</cp:lastModifiedBy>
  <cp:revision>3</cp:revision>
  <dcterms:created xsi:type="dcterms:W3CDTF">2021-02-04T16:26:00Z</dcterms:created>
  <dcterms:modified xsi:type="dcterms:W3CDTF">2021-02-04T16:32:00Z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2017-09-26T00:00:00Z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2019-05-13T00:00:00Z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