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07.12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1017</w:t>
      </w:r>
      <w:bookmarkStart w:id="0" w:name="_GoBack"/>
      <w:bookmarkEnd w:id="0"/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color w:val="auto"/>
                <w:sz w:val="14"/>
                <w:szCs w:val="14"/>
                <w:lang w:val="pl-PL"/>
              </w:rPr>
            </w:pPr>
            <w:r>
              <w:rPr>
                <w:rFonts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</w:rPr>
              <w:t xml:space="preserve">Sterylne, </w:t>
            </w:r>
            <w:r>
              <w:rPr>
                <w:rFonts w:hAnsi="Verdana" w:eastAsia="Verdana" w:cs="Verdana" w:asciiTheme="minorAscii"/>
                <w:i w:val="0"/>
                <w:caps w:val="0"/>
                <w:color w:val="auto"/>
                <w:spacing w:val="0"/>
                <w:sz w:val="13"/>
                <w:szCs w:val="13"/>
                <w:shd w:val="clear" w:fill="FFFFFF"/>
              </w:rPr>
              <w:t>NISKO ADHEZYJNE</w:t>
            </w:r>
            <w:r>
              <w:rPr>
                <w:rFonts w:hint="default"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  <w:lang w:val="pl-PL"/>
              </w:rPr>
              <w:t xml:space="preserve"> </w:t>
            </w:r>
            <w:r>
              <w:rPr>
                <w:rFonts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</w:rPr>
              <w:t>mikrokońcówki 10µl, z PP,uniwersalne, bezbarwne, w</w:t>
            </w:r>
            <w:r>
              <w:rPr>
                <w:rFonts w:hint="default"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  <w:lang w:val="pl-PL"/>
              </w:rPr>
              <w:t xml:space="preserve"> </w:t>
            </w:r>
            <w:r>
              <w:rPr>
                <w:rFonts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</w:rPr>
              <w:t>pudełkach, 10x96szt/ 960szt,</w:t>
            </w:r>
            <w:r>
              <w:rPr>
                <w:rFonts w:hint="default"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  <w:lang w:val="pl-PL"/>
              </w:rPr>
              <w:t xml:space="preserve"> </w:t>
            </w:r>
            <w:r>
              <w:rPr>
                <w:rFonts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</w:rPr>
              <w:t>pudełka kompatybilne z</w:t>
            </w:r>
            <w:r>
              <w:rPr>
                <w:rFonts w:hint="default"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  <w:lang w:val="pl-PL"/>
              </w:rPr>
              <w:t xml:space="preserve"> </w:t>
            </w:r>
            <w:r>
              <w:rPr>
                <w:rFonts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</w:rPr>
              <w:t>końcówkami: GP408</w:t>
            </w:r>
            <w:r>
              <w:rPr>
                <w:rFonts w:hint="default"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  <w:lang w:val="pl-PL"/>
              </w:rPr>
              <w:t xml:space="preserve"> </w:t>
            </w:r>
            <w:r>
              <w:rPr>
                <w:rFonts w:hint="default" w:hAnsi="Calibri" w:asciiTheme="minorAscii"/>
                <w:bCs/>
                <w:color w:val="auto"/>
                <w:sz w:val="15"/>
                <w:szCs w:val="15"/>
                <w:lang w:val="pl-PL"/>
              </w:rPr>
              <w:t>n</w:t>
            </w:r>
            <w:r>
              <w:rPr>
                <w:rFonts w:hint="default" w:ascii="Calibri" w:hAnsi="Calibri"/>
                <w:bCs/>
                <w:color w:val="auto"/>
                <w:sz w:val="14"/>
                <w:szCs w:val="14"/>
                <w:lang w:val="pl-PL"/>
              </w:rPr>
              <w:t>p. nr kat. 301016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2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color w:val="auto"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color w:val="auto"/>
                <w:sz w:val="13"/>
                <w:szCs w:val="13"/>
                <w:lang w:val="pl-PL"/>
              </w:rPr>
              <w:t xml:space="preserve">NISKO ADHEZYJNE </w:t>
            </w:r>
            <w:r>
              <w:rPr>
                <w:rFonts w:hint="default" w:ascii="Calibri" w:hAnsi="Calibri"/>
                <w:bCs/>
                <w:color w:val="auto"/>
                <w:sz w:val="14"/>
                <w:szCs w:val="14"/>
                <w:lang w:val="pl-PL"/>
              </w:rPr>
              <w:t>końcówki200μl, uniwersalne, żółte,w workach, 1x1000szt/1000szt, kompatybilne z pudełkami np. nr kat. 302116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3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3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color w:val="auto"/>
                <w:sz w:val="14"/>
                <w:szCs w:val="14"/>
                <w:lang w:val="pl-PL"/>
              </w:rPr>
            </w:pPr>
            <w:r>
              <w:rPr>
                <w:rFonts w:hAnsi="Verdana" w:eastAsia="Verdana" w:cs="Verdana" w:asciiTheme="minorAscii"/>
                <w:i w:val="0"/>
                <w:caps w:val="0"/>
                <w:color w:val="auto"/>
                <w:spacing w:val="0"/>
                <w:sz w:val="13"/>
                <w:szCs w:val="13"/>
                <w:shd w:val="clear" w:fill="FFFFFF"/>
              </w:rPr>
              <w:t>NISKO ADHEZYJNE</w:t>
            </w:r>
            <w:r>
              <w:rPr>
                <w:rFonts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</w:rPr>
              <w:t xml:space="preserve"> końcówki1000μl, uniwersalne,niebieskie, w workach,1x1000szt/1000szt, końcówki</w:t>
            </w:r>
            <w:r>
              <w:rPr>
                <w:rFonts w:hint="default"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  <w:lang w:val="pl-PL"/>
              </w:rPr>
              <w:t xml:space="preserve"> </w:t>
            </w:r>
            <w:r>
              <w:rPr>
                <w:rFonts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</w:rPr>
              <w:t xml:space="preserve">kompatybilne z pudełkami </w:t>
            </w:r>
            <w:r>
              <w:rPr>
                <w:rFonts w:hint="default" w:ascii="Calibri" w:hAnsi="Calibri"/>
                <w:bCs/>
                <w:color w:val="auto"/>
                <w:sz w:val="14"/>
                <w:szCs w:val="14"/>
                <w:lang w:val="pl-PL"/>
              </w:rPr>
              <w:t xml:space="preserve">np. nr kat. </w:t>
            </w:r>
            <w:r>
              <w:rPr>
                <w:rFonts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</w:rPr>
              <w:t>303216</w:t>
            </w:r>
            <w:r>
              <w:rPr>
                <w:rFonts w:hint="default"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  <w:lang w:val="pl-PL"/>
              </w:rPr>
              <w:t xml:space="preserve"> </w:t>
            </w:r>
            <w:r>
              <w:rPr>
                <w:rFonts w:hint="default" w:ascii="Calibri" w:hAnsi="Calibri"/>
                <w:bCs/>
                <w:color w:val="auto"/>
                <w:sz w:val="14"/>
                <w:szCs w:val="14"/>
                <w:lang w:val="pl-PL"/>
              </w:rPr>
              <w:t>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2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4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</w:rPr>
              <w:t>Probówki wirówkowe typu Eppendorf 1,5 ml, wolne od Dnaz i Rnaz, w worku, 500szt</w:t>
            </w:r>
            <w:r>
              <w:rPr>
                <w:rFonts w:hint="default"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  <w:lang w:val="pl-PL"/>
              </w:rPr>
              <w:t xml:space="preserve"> 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np. nr kat. 80-1500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5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</w:rPr>
              <w:t>Probówki 0.2ml do PCR, szczelne</w:t>
            </w:r>
            <w:r>
              <w:rPr>
                <w:rFonts w:hint="default"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  <w:lang w:val="pl-PL"/>
              </w:rPr>
              <w:t xml:space="preserve"> </w:t>
            </w:r>
            <w:r>
              <w:rPr>
                <w:rFonts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</w:rPr>
              <w:t>zamkniecie (utrata w stopniu</w:t>
            </w:r>
            <w:r>
              <w:rPr>
                <w:rFonts w:hint="default"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  <w:lang w:val="pl-PL"/>
              </w:rPr>
              <w:t xml:space="preserve"> </w:t>
            </w:r>
            <w:r>
              <w:rPr>
                <w:rFonts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</w:rPr>
              <w:t>mniejszym niż 0.2%),</w:t>
            </w:r>
            <w:r>
              <w:rPr>
                <w:rFonts w:hint="default"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  <w:lang w:val="pl-PL"/>
              </w:rPr>
              <w:t xml:space="preserve"> </w:t>
            </w:r>
            <w:r>
              <w:rPr>
                <w:rFonts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</w:rPr>
              <w:t>ednotoksyny: 0.1 EU, USP VIGrade, w worku 1000sz</w:t>
            </w:r>
            <w:r>
              <w:rPr>
                <w:rFonts w:hint="default"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  <w:lang w:val="pl-PL"/>
              </w:rPr>
              <w:t xml:space="preserve">t </w:t>
            </w:r>
            <w:r>
              <w:rPr>
                <w:rFonts w:hint="default" w:ascii="Calibri" w:hAnsi="Calibri"/>
                <w:bCs/>
                <w:color w:val="auto"/>
                <w:sz w:val="14"/>
                <w:szCs w:val="14"/>
                <w:lang w:val="pl-PL"/>
              </w:rPr>
              <w:t xml:space="preserve">np. nr kat. </w:t>
            </w:r>
            <w:r>
              <w:rPr>
                <w:rFonts w:hAnsi="Verdana" w:eastAsia="Verdana" w:cs="Verdana" w:asciiTheme="minorAscii"/>
                <w:i w:val="0"/>
                <w:caps w:val="0"/>
                <w:color w:val="auto"/>
                <w:spacing w:val="0"/>
                <w:sz w:val="15"/>
                <w:szCs w:val="15"/>
                <w:shd w:val="clear" w:fill="FFFFFF"/>
              </w:rPr>
              <w:t>401001</w:t>
            </w:r>
            <w:r>
              <w:rPr>
                <w:rFonts w:hint="default" w:ascii="Calibri" w:hAnsi="Calibri"/>
                <w:bCs/>
                <w:color w:val="auto"/>
                <w:sz w:val="14"/>
                <w:szCs w:val="14"/>
                <w:lang w:val="pl-PL"/>
              </w:rPr>
              <w:t xml:space="preserve">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09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</w:pP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>R</w:t>
      </w:r>
      <w:r>
        <w:rPr>
          <w:rFonts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</w:rPr>
        <w:t>ealizacj</w:t>
      </w: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>a</w:t>
      </w:r>
      <w:r>
        <w:rPr>
          <w:rFonts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</w:rPr>
        <w:t xml:space="preserve"> dostawy</w:t>
      </w: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 xml:space="preserve">                              do 30 dni od daty złożenia zamówienia.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CE42B24"/>
    <w:rsid w:val="0E291F93"/>
    <w:rsid w:val="0E4836EF"/>
    <w:rsid w:val="10222526"/>
    <w:rsid w:val="1431206C"/>
    <w:rsid w:val="144275AD"/>
    <w:rsid w:val="17992467"/>
    <w:rsid w:val="192046E6"/>
    <w:rsid w:val="1F267E61"/>
    <w:rsid w:val="20CF4B6B"/>
    <w:rsid w:val="22FF6FD6"/>
    <w:rsid w:val="23FF3384"/>
    <w:rsid w:val="27BF00E6"/>
    <w:rsid w:val="28522576"/>
    <w:rsid w:val="2905585E"/>
    <w:rsid w:val="2BB94CF0"/>
    <w:rsid w:val="2EBF468D"/>
    <w:rsid w:val="30815062"/>
    <w:rsid w:val="30984A8A"/>
    <w:rsid w:val="30D059AA"/>
    <w:rsid w:val="32007C75"/>
    <w:rsid w:val="33F744B2"/>
    <w:rsid w:val="36C80EC2"/>
    <w:rsid w:val="39A54DAD"/>
    <w:rsid w:val="3B4F0DF9"/>
    <w:rsid w:val="404F4EB3"/>
    <w:rsid w:val="42E76629"/>
    <w:rsid w:val="44BD1D94"/>
    <w:rsid w:val="47746EF2"/>
    <w:rsid w:val="47B64701"/>
    <w:rsid w:val="53532B4D"/>
    <w:rsid w:val="563D7B04"/>
    <w:rsid w:val="596A59AE"/>
    <w:rsid w:val="5D875DAC"/>
    <w:rsid w:val="661D4825"/>
    <w:rsid w:val="6CAC5F02"/>
    <w:rsid w:val="6D0169D5"/>
    <w:rsid w:val="6E5A7573"/>
    <w:rsid w:val="6EC0555B"/>
    <w:rsid w:val="6F426285"/>
    <w:rsid w:val="73AF499B"/>
    <w:rsid w:val="77786DFB"/>
    <w:rsid w:val="7A172618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5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2020-12-07T11:16:58Z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