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07.12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>Zapytanie ofertowe nr 100000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1015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Agarose Basica Le GQT 100 g np. nr kat. BGQT100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2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Tris Base, Molecular biol. Grade np. nr kat. 11TRIS0500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3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Boric Acid, ACS 500 g np. nr kat. 02191411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4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DNA marker 100 bp ladder np. nr kat. MWD100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09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</w:pPr>
      <w: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  <w:t>R</w:t>
      </w:r>
      <w:r>
        <w:rPr>
          <w:rFonts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</w:rPr>
        <w:t>ealizacj</w:t>
      </w:r>
      <w: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  <w:t>a</w:t>
      </w:r>
      <w:r>
        <w:rPr>
          <w:rFonts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</w:rPr>
        <w:t xml:space="preserve"> dostawy</w:t>
      </w:r>
      <w: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  <w:t xml:space="preserve">                              do 30 dni od daty złożenia zamówienia.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5DC3A25"/>
    <w:rsid w:val="06E4551B"/>
    <w:rsid w:val="0CC66A06"/>
    <w:rsid w:val="0CE42B24"/>
    <w:rsid w:val="0E4836EF"/>
    <w:rsid w:val="10222526"/>
    <w:rsid w:val="1431206C"/>
    <w:rsid w:val="144275AD"/>
    <w:rsid w:val="17992467"/>
    <w:rsid w:val="192046E6"/>
    <w:rsid w:val="1F267E61"/>
    <w:rsid w:val="20CF4B6B"/>
    <w:rsid w:val="22FF6FD6"/>
    <w:rsid w:val="23FF3384"/>
    <w:rsid w:val="27BF00E6"/>
    <w:rsid w:val="28522576"/>
    <w:rsid w:val="2905585E"/>
    <w:rsid w:val="2BB94CF0"/>
    <w:rsid w:val="2EBF468D"/>
    <w:rsid w:val="30815062"/>
    <w:rsid w:val="30984A8A"/>
    <w:rsid w:val="30D059AA"/>
    <w:rsid w:val="32007C75"/>
    <w:rsid w:val="33F744B2"/>
    <w:rsid w:val="36C80EC2"/>
    <w:rsid w:val="39A54DAD"/>
    <w:rsid w:val="3B4F0DF9"/>
    <w:rsid w:val="404F4EB3"/>
    <w:rsid w:val="42E76629"/>
    <w:rsid w:val="44BD1D94"/>
    <w:rsid w:val="47746EF2"/>
    <w:rsid w:val="47B64701"/>
    <w:rsid w:val="563D7B04"/>
    <w:rsid w:val="596A59AE"/>
    <w:rsid w:val="5D875DAC"/>
    <w:rsid w:val="661D4825"/>
    <w:rsid w:val="6CAC5F02"/>
    <w:rsid w:val="6D0169D5"/>
    <w:rsid w:val="6E5A7573"/>
    <w:rsid w:val="6EC0555B"/>
    <w:rsid w:val="6F426285"/>
    <w:rsid w:val="73AF499B"/>
    <w:rsid w:val="77786DFB"/>
    <w:rsid w:val="7A172618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0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2020-12-07T10:41:47Z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