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AB" w:rsidRPr="00485E4C" w:rsidRDefault="00E10FEA" w:rsidP="00293AAB">
      <w:pPr>
        <w:pStyle w:val="Nagwek1"/>
        <w:rPr>
          <w:rFonts w:ascii="Calibri" w:hAnsi="Calibri" w:cs="Calibri"/>
          <w:lang w:val="en-GB"/>
        </w:rPr>
      </w:pPr>
      <w:r w:rsidRPr="00485E4C">
        <w:rPr>
          <w:rFonts w:ascii="Calibri" w:hAnsi="Calibri" w:cs="Calibri"/>
          <w:lang w:val="en-GB"/>
        </w:rPr>
        <w:t>Course title: Michel Foucault’s epistemology</w:t>
      </w:r>
      <w:r w:rsidR="007C7294" w:rsidRPr="00485E4C">
        <w:rPr>
          <w:rFonts w:ascii="Calibri" w:hAnsi="Calibri" w:cs="Calibri"/>
          <w:lang w:val="en-GB"/>
        </w:rPr>
        <w:t xml:space="preserve">. Philosophy of modern human </w:t>
      </w:r>
      <w:r w:rsidR="00002DA5" w:rsidRPr="00485E4C">
        <w:rPr>
          <w:rFonts w:ascii="Calibri" w:hAnsi="Calibri" w:cs="Calibri"/>
          <w:lang w:val="en-GB"/>
        </w:rPr>
        <w:t>sciences.</w:t>
      </w:r>
    </w:p>
    <w:p w:rsidR="00293AAB" w:rsidRPr="00485E4C" w:rsidRDefault="00E10FEA" w:rsidP="00293AAB">
      <w:pPr>
        <w:pStyle w:val="Nagwek1"/>
        <w:rPr>
          <w:lang w:val="en-GB"/>
        </w:rPr>
      </w:pPr>
      <w:r>
        <w:rPr>
          <w:lang w:val="en-GB"/>
        </w:rPr>
        <w:pict>
          <v:rect id="_x0000_i1025" style="width:433.7pt;height:1.5pt" o:hralign="center" o:hrstd="t" o:hr="t" fillcolor="#b0a898" stroked="f"/>
        </w:pict>
      </w:r>
    </w:p>
    <w:p w:rsidR="00293AAB" w:rsidRPr="00485E4C" w:rsidRDefault="00E10FEA" w:rsidP="00293AAB">
      <w:pPr>
        <w:pStyle w:val="Akapitzlist1"/>
        <w:spacing w:line="240" w:lineRule="auto"/>
        <w:ind w:left="0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>Course description</w:t>
      </w:r>
      <w:r w:rsidRPr="00485E4C">
        <w:rPr>
          <w:rFonts w:asciiTheme="minorHAnsi" w:hAnsiTheme="minorHAnsi" w:cstheme="minorHAnsi"/>
          <w:lang w:val="en-GB"/>
        </w:rPr>
        <w:t>:</w:t>
      </w:r>
    </w:p>
    <w:p w:rsidR="00293AAB" w:rsidRPr="00485E4C" w:rsidRDefault="00E10FEA" w:rsidP="00293AAB">
      <w:pPr>
        <w:pStyle w:val="Pa12"/>
        <w:ind w:firstLine="38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This course is devoted to the slightly forsaken domain of Foucault’s 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oeuvre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i.e. his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. The concept of an “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” – in its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amplifica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tions like "the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libido", "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the text", "the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>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silence", "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medical perception", "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human sciences" and finally "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knowledge" – is the exceptional term in Foucault's 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oeuvre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He never gives it up, like many other terms which he exhausted completely. </w:t>
      </w:r>
      <w:proofErr w:type="gram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As a consequence of</w:t>
      </w:r>
      <w:proofErr w:type="gram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this, liquidity of the term "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" emerges as a problem. We can follow the dynamic of the concept from the very beginnings, i.e. from his encounter with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phenomenology, psy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choanalysis, and Marxism to his hermeneutics of the subject. The </w:t>
      </w:r>
      <w:proofErr w:type="gram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domain</w:t>
      </w:r>
      <w:proofErr w:type="gram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which is spanned by this concept, grasped in Foucault's meaning, is the domain of epistemological investigations of human sciences.</w:t>
      </w:r>
    </w:p>
    <w:p w:rsidR="007265F4" w:rsidRPr="00485E4C" w:rsidRDefault="00E10FEA" w:rsidP="00293AAB">
      <w:pPr>
        <w:pStyle w:val="Pa12"/>
        <w:ind w:firstLine="38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Human sciences as a field of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epistemological investigation is an old and classical question in modern philosophy. Its significance was appreciated by Kant, Cassirer, Husserl, and many other prominent figures of modern phi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losophy. But in spite of the best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endeavors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, two main epistemol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ogical </w:t>
      </w:r>
      <w:proofErr w:type="gram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project</w:t>
      </w:r>
      <w:proofErr w:type="gram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validation of human sciences –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Husserlian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Cassirerian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one, was collapsed. This entailed destruction not only this, crucial, however particular task, but entailed a disintegration of transcendental philosophy as a general philosophical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project too. 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Memento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for both </w:t>
      </w:r>
      <w:r w:rsidR="0080789F"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these enterprises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 the Husserl's apothegm: "Philosophy as a science, as serious, rigorous, indeed apodicti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cally rigorous, science – 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the dream is over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”. So, the main source of “awaken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>ing" was the realization of the paradox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es of conceptualization of "Man" as the main object of this sciences. Because of this reappearance of the human sci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ences as an object of epistemological investigations in 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archeological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approach was a challenge. Foucauldian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knowledge is a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kind of epistemol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ogy situated beyond standard approaches to the sciences. The Foucauldian interpretation of problematic situation for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 as follows: the main epis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>temological issue of human sciences is not a validation of its, but consist in a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simple question: how to explore human sciences? Human sciences were the primary field for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archeological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investigations but not because of its preten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 xml:space="preserve">sions to be solid, the valid ground of </w:t>
      </w:r>
      <w:proofErr w:type="gram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particular claims</w:t>
      </w:r>
      <w:proofErr w:type="gram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about a man. The peculiarity of human sciences, a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s an 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>object of epistemological investigations, consists in its history and specific forms of conceptualizations of its object.</w:t>
      </w:r>
    </w:p>
    <w:p w:rsidR="007265F4" w:rsidRPr="00485E4C" w:rsidRDefault="00E10FEA" w:rsidP="00293AAB">
      <w:pPr>
        <w:pStyle w:val="Pa12"/>
        <w:ind w:firstLine="380"/>
        <w:jc w:val="both"/>
        <w:rPr>
          <w:color w:val="000000"/>
          <w:sz w:val="22"/>
          <w:szCs w:val="22"/>
          <w:lang w:val="en-GB"/>
        </w:rPr>
      </w:pP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which we can find in 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The Order of Things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is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our epoch considered as an epoch of knowledge. This ep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och, an epoch of "Man", ascribes to Anthropology signifi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softHyphen/>
        <w:t>cantly ambiguous function: as a transcendental soil of totality of knowledge and – at the same time – the empirical knowledge of empirical object such as human beings. The "death of man" is then an e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nd of the epoch, to which we are ascribed, and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sanctionize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this end. The last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Archeol</w:t>
      </w:r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softHyphen/>
        <w:t>ogy</w:t>
      </w:r>
      <w:proofErr w:type="spellEnd"/>
      <w:r w:rsidRPr="00485E4C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 of Knowledge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is a very abstract and very ambitious study which aim is to provide a </w:t>
      </w:r>
      <w:proofErr w:type="gram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methods of description</w:t>
      </w:r>
      <w:proofErr w:type="gram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any body of knowledge in terms of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its discursive organization. At the same time, it is a study of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archeological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self-consciousness.</w:t>
      </w:r>
      <w:r w:rsidRPr="00485E4C">
        <w:rPr>
          <w:color w:val="000000"/>
          <w:sz w:val="22"/>
          <w:szCs w:val="22"/>
          <w:lang w:val="en-GB"/>
        </w:rPr>
        <w:t xml:space="preserve"> </w:t>
      </w:r>
    </w:p>
    <w:p w:rsidR="00293AAB" w:rsidRPr="00485E4C" w:rsidRDefault="00E10FEA" w:rsidP="00293AAB">
      <w:pPr>
        <w:pStyle w:val="Pa12"/>
        <w:ind w:firstLine="38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But why Foucault abandoned this entire epistemological enterprise? What kind of obstacle closes the door on 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archeological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investigation as a main Foucau</w:t>
      </w:r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ldian philosophical project? To answer to this crucial question is to answer the question which revolves around the role in the 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two figures – Nietzsche and Heidegger – which are "non-</w:t>
      </w:r>
      <w:proofErr w:type="spellStart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>archeologizable</w:t>
      </w:r>
      <w:proofErr w:type="spellEnd"/>
      <w:r w:rsidRPr="00485E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".   </w:t>
      </w:r>
    </w:p>
    <w:p w:rsidR="00293AAB" w:rsidRPr="00485E4C" w:rsidRDefault="00293AAB" w:rsidP="00293AAB">
      <w:pPr>
        <w:pStyle w:val="Tekstpodstawowy"/>
        <w:ind w:left="20"/>
        <w:rPr>
          <w:rFonts w:asciiTheme="minorHAnsi" w:hAnsiTheme="minorHAnsi" w:cstheme="minorHAnsi"/>
          <w:b/>
          <w:lang w:val="en-GB"/>
        </w:rPr>
      </w:pPr>
    </w:p>
    <w:p w:rsidR="00293AAB" w:rsidRPr="00485E4C" w:rsidRDefault="00E10FEA" w:rsidP="00293AAB">
      <w:pPr>
        <w:pStyle w:val="Tekstpodstawowy"/>
        <w:ind w:left="20"/>
        <w:rPr>
          <w:rFonts w:asciiTheme="minorHAnsi" w:hAnsiTheme="minorHAnsi" w:cstheme="minorHAnsi"/>
          <w:b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 xml:space="preserve">Recommended reading: </w:t>
      </w:r>
    </w:p>
    <w:p w:rsidR="00293AAB" w:rsidRPr="00485E4C" w:rsidRDefault="00293AAB" w:rsidP="00293AAB">
      <w:pPr>
        <w:pStyle w:val="Teksttreci20"/>
        <w:shd w:val="clear" w:color="auto" w:fill="auto"/>
        <w:spacing w:after="0"/>
        <w:ind w:left="400" w:hanging="40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proofErr w:type="spellStart"/>
      <w:r w:rsidRPr="00485E4C">
        <w:rPr>
          <w:rFonts w:asciiTheme="minorHAnsi" w:hAnsiTheme="minorHAnsi" w:cstheme="minorHAnsi"/>
          <w:lang w:val="en-GB"/>
        </w:rPr>
        <w:t>Bernauer</w:t>
      </w:r>
      <w:proofErr w:type="spellEnd"/>
      <w:r w:rsidRPr="00485E4C">
        <w:rPr>
          <w:rFonts w:asciiTheme="minorHAnsi" w:hAnsiTheme="minorHAnsi" w:cstheme="minorHAnsi"/>
          <w:lang w:val="en-GB"/>
        </w:rPr>
        <w:t xml:space="preserve"> J.W.</w:t>
      </w:r>
      <w:r w:rsidRPr="00485E4C">
        <w:rPr>
          <w:rFonts w:asciiTheme="minorHAnsi" w:hAnsiTheme="minorHAnsi" w:cstheme="minorHAnsi"/>
          <w:lang w:val="en-GB"/>
        </w:rPr>
        <w:t xml:space="preserve">, </w:t>
      </w:r>
      <w:r w:rsidRPr="00485E4C">
        <w:rPr>
          <w:rFonts w:asciiTheme="minorHAnsi" w:hAnsiTheme="minorHAnsi" w:cstheme="minorHAnsi"/>
          <w:i/>
          <w:iCs/>
          <w:lang w:val="en-GB"/>
        </w:rPr>
        <w:t>Michel Foucault's Force of Flight Toward an Ethics for Thought</w:t>
      </w:r>
      <w:r w:rsidRPr="00485E4C">
        <w:rPr>
          <w:rFonts w:asciiTheme="minorHAnsi" w:hAnsiTheme="minorHAnsi" w:cstheme="minorHAnsi"/>
          <w:lang w:val="en-GB"/>
        </w:rPr>
        <w:t>, Humanity Books, New York 1990.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i/>
          <w:iCs/>
          <w:lang w:val="en-GB"/>
        </w:rPr>
        <w:t>Continental Philosophy of Science</w:t>
      </w:r>
      <w:r w:rsidRPr="00485E4C">
        <w:rPr>
          <w:rFonts w:asciiTheme="minorHAnsi" w:hAnsiTheme="minorHAnsi" w:cstheme="minorHAnsi"/>
          <w:lang w:val="en-GB"/>
        </w:rPr>
        <w:t>, ed. G. Gutting, Blackwell Publishing, Malden, Oxford, Victoria 2005.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 xml:space="preserve">Dreyfus H.L., </w:t>
      </w:r>
      <w:proofErr w:type="spellStart"/>
      <w:r w:rsidRPr="00485E4C">
        <w:rPr>
          <w:rFonts w:asciiTheme="minorHAnsi" w:hAnsiTheme="minorHAnsi" w:cstheme="minorHAnsi"/>
          <w:lang w:val="en-GB"/>
        </w:rPr>
        <w:t>Rabinow</w:t>
      </w:r>
      <w:proofErr w:type="spellEnd"/>
      <w:r w:rsidRPr="00485E4C">
        <w:rPr>
          <w:rFonts w:asciiTheme="minorHAnsi" w:hAnsiTheme="minorHAnsi" w:cstheme="minorHAnsi"/>
          <w:lang w:val="en-GB"/>
        </w:rPr>
        <w:t xml:space="preserve"> P, </w:t>
      </w:r>
      <w:r w:rsidRPr="00485E4C">
        <w:rPr>
          <w:rFonts w:asciiTheme="minorHAnsi" w:hAnsiTheme="minorHAnsi" w:cstheme="minorHAnsi"/>
          <w:i/>
          <w:iCs/>
          <w:lang w:val="en-GB"/>
        </w:rPr>
        <w:t>Michel Foucault, Beyond Struct</w:t>
      </w:r>
      <w:r w:rsidRPr="00485E4C">
        <w:rPr>
          <w:rFonts w:asciiTheme="minorHAnsi" w:hAnsiTheme="minorHAnsi" w:cstheme="minorHAnsi"/>
          <w:i/>
          <w:iCs/>
          <w:lang w:val="en-GB"/>
        </w:rPr>
        <w:t xml:space="preserve">uralism Second </w:t>
      </w:r>
      <w:proofErr w:type="gramStart"/>
      <w:r w:rsidRPr="00485E4C">
        <w:rPr>
          <w:rFonts w:asciiTheme="minorHAnsi" w:hAnsiTheme="minorHAnsi" w:cstheme="minorHAnsi"/>
          <w:i/>
          <w:iCs/>
          <w:lang w:val="en-GB"/>
        </w:rPr>
        <w:t>edition</w:t>
      </w:r>
      <w:proofErr w:type="gramEnd"/>
      <w:r w:rsidRPr="00485E4C">
        <w:rPr>
          <w:rFonts w:asciiTheme="minorHAnsi" w:hAnsiTheme="minorHAnsi" w:cstheme="minorHAnsi"/>
          <w:i/>
          <w:iCs/>
          <w:lang w:val="en-GB"/>
        </w:rPr>
        <w:t xml:space="preserve"> With an Afterword by and an Interview with Michel Foucault</w:t>
      </w:r>
      <w:r w:rsidRPr="00485E4C">
        <w:rPr>
          <w:rFonts w:asciiTheme="minorHAnsi" w:hAnsiTheme="minorHAnsi" w:cstheme="minorHAnsi"/>
          <w:lang w:val="en-GB"/>
        </w:rPr>
        <w:t xml:space="preserve">, The </w:t>
      </w:r>
      <w:proofErr w:type="spellStart"/>
      <w:r w:rsidRPr="00485E4C">
        <w:rPr>
          <w:rFonts w:asciiTheme="minorHAnsi" w:hAnsiTheme="minorHAnsi" w:cstheme="minorHAnsi"/>
          <w:lang w:val="en-GB"/>
        </w:rPr>
        <w:t>Univ</w:t>
      </w:r>
      <w:proofErr w:type="spellEnd"/>
      <w:r w:rsidRPr="00485E4C">
        <w:rPr>
          <w:rFonts w:asciiTheme="minorHAnsi" w:hAnsiTheme="minorHAnsi" w:cstheme="minorHAnsi"/>
          <w:lang w:val="en-GB"/>
        </w:rPr>
        <w:t xml:space="preserve"> Chicago Press, Chicago 1983.</w:t>
      </w:r>
    </w:p>
    <w:p w:rsidR="00DB6219" w:rsidRPr="00485E4C" w:rsidRDefault="00E10FEA" w:rsidP="00DB6219">
      <w:pPr>
        <w:pStyle w:val="Akapitzlist1"/>
        <w:spacing w:line="240" w:lineRule="auto"/>
        <w:ind w:left="0"/>
        <w:jc w:val="both"/>
        <w:rPr>
          <w:rStyle w:val="A4"/>
          <w:rFonts w:asciiTheme="minorHAnsi" w:hAnsiTheme="minorHAnsi" w:cstheme="minorHAnsi"/>
          <w:lang w:val="en-GB"/>
        </w:rPr>
      </w:pPr>
      <w:r w:rsidRPr="00485E4C">
        <w:rPr>
          <w:rStyle w:val="A4"/>
          <w:rFonts w:asciiTheme="minorHAnsi" w:hAnsiTheme="minorHAnsi" w:cstheme="minorHAnsi"/>
          <w:i/>
          <w:iCs/>
          <w:lang w:val="en-GB"/>
        </w:rPr>
        <w:t>Foucault and His Interlocution</w:t>
      </w:r>
      <w:r w:rsidRPr="00485E4C">
        <w:rPr>
          <w:rStyle w:val="A4"/>
          <w:rFonts w:asciiTheme="minorHAnsi" w:hAnsiTheme="minorHAnsi" w:cstheme="minorHAnsi"/>
          <w:lang w:val="en-GB"/>
        </w:rPr>
        <w:t>, ed., Introduced A.I. Davidson, The University of Chicago Press, Chicago and London 1997.</w:t>
      </w:r>
    </w:p>
    <w:p w:rsidR="00DB6219" w:rsidRPr="00DB6219" w:rsidRDefault="00E10FEA" w:rsidP="00DB6219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val="en-GB"/>
        </w:rPr>
      </w:pPr>
      <w:r w:rsidRPr="00DB6219">
        <w:rPr>
          <w:rFonts w:asciiTheme="minorHAnsi" w:eastAsiaTheme="minorHAnsi" w:hAnsiTheme="minorHAnsi" w:cstheme="minorHAnsi"/>
          <w:i/>
          <w:iCs/>
          <w:color w:val="000000"/>
          <w:lang w:val="en-GB"/>
        </w:rPr>
        <w:t>Foucault and H</w:t>
      </w:r>
      <w:r w:rsidRPr="00DB6219">
        <w:rPr>
          <w:rFonts w:asciiTheme="minorHAnsi" w:eastAsiaTheme="minorHAnsi" w:hAnsiTheme="minorHAnsi" w:cstheme="minorHAnsi"/>
          <w:i/>
          <w:iCs/>
          <w:color w:val="000000"/>
          <w:lang w:val="en-GB"/>
        </w:rPr>
        <w:t>eidegger. Critical Encounters</w:t>
      </w:r>
      <w:r w:rsidRPr="00DB6219">
        <w:rPr>
          <w:rFonts w:asciiTheme="minorHAnsi" w:eastAsiaTheme="minorHAnsi" w:hAnsiTheme="minorHAnsi" w:cstheme="minorHAnsi"/>
          <w:color w:val="000000"/>
          <w:lang w:val="en-GB"/>
        </w:rPr>
        <w:t xml:space="preserve">, ed. A. </w:t>
      </w:r>
      <w:proofErr w:type="spellStart"/>
      <w:r w:rsidRPr="00DB6219">
        <w:rPr>
          <w:rFonts w:asciiTheme="minorHAnsi" w:eastAsiaTheme="minorHAnsi" w:hAnsiTheme="minorHAnsi" w:cstheme="minorHAnsi"/>
          <w:color w:val="000000"/>
          <w:lang w:val="en-GB"/>
        </w:rPr>
        <w:t>Milchman</w:t>
      </w:r>
      <w:proofErr w:type="spellEnd"/>
      <w:r w:rsidRPr="00DB6219">
        <w:rPr>
          <w:rFonts w:asciiTheme="minorHAnsi" w:eastAsiaTheme="minorHAnsi" w:hAnsiTheme="minorHAnsi" w:cstheme="minorHAnsi"/>
          <w:color w:val="000000"/>
          <w:lang w:val="en-GB"/>
        </w:rPr>
        <w:t xml:space="preserve">, A. Rosenberg, The University of Minnesota Press, Minneapolis 2003. 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Style w:val="A4"/>
          <w:rFonts w:asciiTheme="minorHAnsi" w:hAnsiTheme="minorHAnsi" w:cstheme="minorHAnsi"/>
          <w:lang w:val="en-GB"/>
        </w:rPr>
      </w:pPr>
      <w:r w:rsidRPr="00485E4C">
        <w:rPr>
          <w:rStyle w:val="A4"/>
          <w:rFonts w:asciiTheme="minorHAnsi" w:hAnsiTheme="minorHAnsi" w:cstheme="minorHAnsi"/>
          <w:i/>
          <w:iCs/>
          <w:lang w:val="en-GB"/>
        </w:rPr>
        <w:t>Foucault and Philosophy</w:t>
      </w:r>
      <w:r w:rsidRPr="00485E4C">
        <w:rPr>
          <w:rStyle w:val="A4"/>
          <w:rFonts w:asciiTheme="minorHAnsi" w:hAnsiTheme="minorHAnsi" w:cstheme="minorHAnsi"/>
          <w:lang w:val="en-GB"/>
        </w:rPr>
        <w:t xml:space="preserve">, ed. T. O’Leary, Ch. </w:t>
      </w:r>
      <w:proofErr w:type="spellStart"/>
      <w:r w:rsidRPr="00485E4C">
        <w:rPr>
          <w:rStyle w:val="A4"/>
          <w:rFonts w:asciiTheme="minorHAnsi" w:hAnsiTheme="minorHAnsi" w:cstheme="minorHAnsi"/>
          <w:lang w:val="en-GB"/>
        </w:rPr>
        <w:t>Falzon</w:t>
      </w:r>
      <w:proofErr w:type="spellEnd"/>
      <w:r w:rsidRPr="00485E4C">
        <w:rPr>
          <w:rStyle w:val="A4"/>
          <w:rFonts w:asciiTheme="minorHAnsi" w:hAnsiTheme="minorHAnsi" w:cstheme="minorHAnsi"/>
          <w:lang w:val="en-GB"/>
        </w:rPr>
        <w:t>, Wiley-Blackwell, Oxford 2010.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 xml:space="preserve">Gutting G, </w:t>
      </w:r>
      <w:r w:rsidRPr="00485E4C">
        <w:rPr>
          <w:rFonts w:asciiTheme="minorHAnsi" w:hAnsiTheme="minorHAnsi" w:cstheme="minorHAnsi"/>
          <w:i/>
          <w:iCs/>
          <w:lang w:val="en-GB"/>
        </w:rPr>
        <w:t>French Philosophy in the Twentieth Century</w:t>
      </w:r>
      <w:r w:rsidRPr="00485E4C">
        <w:rPr>
          <w:rFonts w:asciiTheme="minorHAnsi" w:hAnsiTheme="minorHAnsi" w:cstheme="minorHAnsi"/>
          <w:lang w:val="en-GB"/>
        </w:rPr>
        <w:t>, Ca</w:t>
      </w:r>
      <w:r w:rsidRPr="00485E4C">
        <w:rPr>
          <w:rFonts w:asciiTheme="minorHAnsi" w:hAnsiTheme="minorHAnsi" w:cstheme="minorHAnsi"/>
          <w:lang w:val="en-GB"/>
        </w:rPr>
        <w:t>mbridge University Press, Cambridge2001.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eastAsiaTheme="minorHAnsi" w:hAnsiTheme="minorHAnsi" w:cstheme="minorHAnsi"/>
          <w:color w:val="000000"/>
          <w:lang w:val="en-GB"/>
        </w:rPr>
      </w:pPr>
      <w:r w:rsidRPr="00485E4C">
        <w:rPr>
          <w:rFonts w:asciiTheme="minorHAnsi" w:eastAsiaTheme="minorHAnsi" w:hAnsiTheme="minorHAnsi" w:cstheme="minorHAnsi"/>
          <w:color w:val="000000"/>
          <w:lang w:val="en-GB"/>
        </w:rPr>
        <w:t xml:space="preserve">Macey D., </w:t>
      </w:r>
      <w:r w:rsidRPr="00485E4C">
        <w:rPr>
          <w:rFonts w:asciiTheme="minorHAnsi" w:eastAsiaTheme="minorHAnsi" w:hAnsiTheme="minorHAnsi" w:cstheme="minorHAnsi"/>
          <w:i/>
          <w:iCs/>
          <w:color w:val="000000"/>
          <w:lang w:val="en-GB"/>
        </w:rPr>
        <w:t>The Lives of Michel Foucault. A Biography</w:t>
      </w:r>
      <w:r w:rsidRPr="00485E4C">
        <w:rPr>
          <w:rFonts w:asciiTheme="minorHAnsi" w:eastAsiaTheme="minorHAnsi" w:hAnsiTheme="minorHAnsi" w:cstheme="minorHAnsi"/>
          <w:color w:val="000000"/>
          <w:lang w:val="en-GB"/>
        </w:rPr>
        <w:t>, Vintage Books, New York 1993.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proofErr w:type="spellStart"/>
      <w:r w:rsidRPr="00485E4C">
        <w:rPr>
          <w:rStyle w:val="A4"/>
          <w:rFonts w:asciiTheme="minorHAnsi" w:eastAsiaTheme="minorHAnsi" w:hAnsiTheme="minorHAnsi" w:cstheme="minorHAnsi"/>
          <w:lang w:val="en-GB"/>
        </w:rPr>
        <w:t>Soussloff</w:t>
      </w:r>
      <w:proofErr w:type="spellEnd"/>
      <w:r w:rsidRPr="00485E4C">
        <w:rPr>
          <w:rStyle w:val="A4"/>
          <w:rFonts w:asciiTheme="minorHAnsi" w:eastAsiaTheme="minorHAnsi" w:hAnsiTheme="minorHAnsi" w:cstheme="minorHAnsi"/>
          <w:lang w:val="en-GB"/>
        </w:rPr>
        <w:t xml:space="preserve"> C.M.,</w:t>
      </w:r>
      <w:r w:rsidRPr="00485E4C">
        <w:rPr>
          <w:rStyle w:val="A4"/>
          <w:rFonts w:asciiTheme="minorHAnsi" w:eastAsiaTheme="minorHAnsi" w:hAnsiTheme="minorHAnsi" w:cstheme="minorHAnsi"/>
          <w:i/>
          <w:iCs/>
          <w:lang w:val="en-GB"/>
        </w:rPr>
        <w:t xml:space="preserve"> Foucault on Painting </w:t>
      </w:r>
      <w:r w:rsidRPr="00485E4C">
        <w:rPr>
          <w:rStyle w:val="A4"/>
          <w:rFonts w:asciiTheme="minorHAnsi" w:eastAsiaTheme="minorHAnsi" w:hAnsiTheme="minorHAnsi" w:cstheme="minorHAnsi"/>
          <w:lang w:val="en-GB"/>
        </w:rPr>
        <w:t>Univ. of Minnesota Press Minneapolis London2017.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>Foucault M.,</w:t>
      </w:r>
      <w:r w:rsidRPr="00485E4C">
        <w:rPr>
          <w:rFonts w:asciiTheme="minorHAnsi" w:hAnsiTheme="minorHAnsi" w:cstheme="minorHAnsi"/>
          <w:i/>
          <w:iCs/>
          <w:lang w:val="en-GB"/>
        </w:rPr>
        <w:t xml:space="preserve"> The </w:t>
      </w:r>
      <w:proofErr w:type="spellStart"/>
      <w:r w:rsidRPr="00485E4C">
        <w:rPr>
          <w:rFonts w:asciiTheme="minorHAnsi" w:hAnsiTheme="minorHAnsi" w:cstheme="minorHAnsi"/>
          <w:i/>
          <w:iCs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i/>
          <w:iCs/>
          <w:lang w:val="en-GB"/>
        </w:rPr>
        <w:t xml:space="preserve"> of </w:t>
      </w:r>
      <w:r w:rsidRPr="00485E4C">
        <w:rPr>
          <w:rFonts w:asciiTheme="minorHAnsi" w:hAnsiTheme="minorHAnsi" w:cstheme="minorHAnsi"/>
          <w:i/>
          <w:iCs/>
          <w:lang w:val="en-GB"/>
        </w:rPr>
        <w:t>Knowledge</w:t>
      </w:r>
      <w:r w:rsidRPr="00485E4C">
        <w:rPr>
          <w:rFonts w:asciiTheme="minorHAnsi" w:hAnsiTheme="minorHAnsi" w:cstheme="minorHAnsi"/>
          <w:lang w:val="en-GB"/>
        </w:rPr>
        <w:t>, trans A Sheridan, M Smith, Random House/ Pantheon, New York 1972).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>Foucault M.,</w:t>
      </w:r>
      <w:r w:rsidRPr="00485E4C">
        <w:rPr>
          <w:rFonts w:asciiTheme="minorHAnsi" w:hAnsiTheme="minorHAnsi" w:cstheme="minorHAnsi"/>
          <w:i/>
          <w:iCs/>
          <w:lang w:val="en-GB"/>
        </w:rPr>
        <w:t xml:space="preserve"> The Order of Things </w:t>
      </w:r>
      <w:proofErr w:type="gramStart"/>
      <w:r w:rsidRPr="00485E4C">
        <w:rPr>
          <w:rFonts w:asciiTheme="minorHAnsi" w:hAnsiTheme="minorHAnsi" w:cstheme="minorHAnsi"/>
          <w:i/>
          <w:iCs/>
          <w:lang w:val="en-GB"/>
        </w:rPr>
        <w:t>An</w:t>
      </w:r>
      <w:proofErr w:type="gramEnd"/>
      <w:r w:rsidRPr="00485E4C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485E4C">
        <w:rPr>
          <w:rFonts w:asciiTheme="minorHAnsi" w:hAnsiTheme="minorHAnsi" w:cstheme="minorHAnsi"/>
          <w:i/>
          <w:iCs/>
          <w:lang w:val="en-GB"/>
        </w:rPr>
        <w:t>Archeology</w:t>
      </w:r>
      <w:proofErr w:type="spellEnd"/>
      <w:r w:rsidRPr="00485E4C">
        <w:rPr>
          <w:rFonts w:asciiTheme="minorHAnsi" w:hAnsiTheme="minorHAnsi" w:cstheme="minorHAnsi"/>
          <w:i/>
          <w:iCs/>
          <w:lang w:val="en-GB"/>
        </w:rPr>
        <w:t xml:space="preserve"> of the Human Sciences</w:t>
      </w:r>
      <w:r w:rsidRPr="00485E4C">
        <w:rPr>
          <w:rFonts w:asciiTheme="minorHAnsi" w:hAnsiTheme="minorHAnsi" w:cstheme="minorHAnsi"/>
          <w:lang w:val="en-GB"/>
        </w:rPr>
        <w:t>, Routledge, London - New York 2002.</w:t>
      </w:r>
    </w:p>
    <w:p w:rsidR="00293AAB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>Foucault M.,</w:t>
      </w:r>
      <w:r w:rsidRPr="00485E4C">
        <w:rPr>
          <w:rFonts w:asciiTheme="minorHAnsi" w:hAnsiTheme="minorHAnsi" w:cstheme="minorHAnsi"/>
          <w:i/>
          <w:iCs/>
          <w:lang w:val="en-GB"/>
        </w:rPr>
        <w:t xml:space="preserve"> The Politics of Truth</w:t>
      </w:r>
      <w:r w:rsidRPr="00485E4C">
        <w:rPr>
          <w:rFonts w:asciiTheme="minorHAnsi" w:hAnsiTheme="minorHAnsi" w:cstheme="minorHAnsi"/>
          <w:lang w:val="en-GB"/>
        </w:rPr>
        <w:t xml:space="preserve"> [ed S. </w:t>
      </w:r>
      <w:proofErr w:type="spellStart"/>
      <w:r w:rsidRPr="00485E4C">
        <w:rPr>
          <w:rFonts w:asciiTheme="minorHAnsi" w:hAnsiTheme="minorHAnsi" w:cstheme="minorHAnsi"/>
          <w:lang w:val="en-GB"/>
        </w:rPr>
        <w:t>Lotringer</w:t>
      </w:r>
      <w:proofErr w:type="spellEnd"/>
      <w:r w:rsidRPr="00485E4C">
        <w:rPr>
          <w:rFonts w:asciiTheme="minorHAnsi" w:hAnsiTheme="minorHAnsi" w:cstheme="minorHAnsi"/>
          <w:lang w:val="en-GB"/>
        </w:rPr>
        <w:t xml:space="preserve">] </w:t>
      </w:r>
      <w:proofErr w:type="spellStart"/>
      <w:r w:rsidRPr="00485E4C">
        <w:rPr>
          <w:rFonts w:asciiTheme="minorHAnsi" w:hAnsiTheme="minorHAnsi" w:cstheme="minorHAnsi"/>
          <w:lang w:val="en-GB"/>
        </w:rPr>
        <w:t>Semiotexte</w:t>
      </w:r>
      <w:proofErr w:type="spellEnd"/>
      <w:r w:rsidRPr="00485E4C">
        <w:rPr>
          <w:rFonts w:asciiTheme="minorHAnsi" w:hAnsiTheme="minorHAnsi" w:cstheme="minorHAnsi"/>
          <w:lang w:val="en-GB"/>
        </w:rPr>
        <w:t xml:space="preserve"> 2007</w:t>
      </w:r>
    </w:p>
    <w:p w:rsidR="001A16A2" w:rsidRPr="00485E4C" w:rsidRDefault="00E10FEA" w:rsidP="00293AAB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lang w:val="en-GB"/>
        </w:rPr>
        <w:t>Fouc</w:t>
      </w:r>
      <w:r w:rsidRPr="00485E4C">
        <w:rPr>
          <w:rFonts w:asciiTheme="minorHAnsi" w:hAnsiTheme="minorHAnsi" w:cstheme="minorHAnsi"/>
          <w:lang w:val="en-GB"/>
        </w:rPr>
        <w:t xml:space="preserve">ault M., </w:t>
      </w:r>
      <w:r w:rsidRPr="00485E4C">
        <w:rPr>
          <w:rFonts w:asciiTheme="minorHAnsi" w:hAnsiTheme="minorHAnsi" w:cstheme="minorHAnsi"/>
          <w:i/>
          <w:iCs/>
          <w:lang w:val="en-GB"/>
        </w:rPr>
        <w:t>This is not a Pipe</w:t>
      </w:r>
      <w:r w:rsidRPr="00485E4C">
        <w:rPr>
          <w:sz w:val="21"/>
          <w:szCs w:val="21"/>
          <w:lang w:val="en-GB"/>
        </w:rPr>
        <w:t xml:space="preserve"> University of California Press Berkeley Los Angeles London 1983</w:t>
      </w:r>
    </w:p>
    <w:p w:rsidR="00293AAB" w:rsidRPr="00485E4C" w:rsidRDefault="00293AAB" w:rsidP="00293AAB">
      <w:pPr>
        <w:pStyle w:val="Akapitzlist1"/>
        <w:spacing w:line="240" w:lineRule="auto"/>
        <w:ind w:left="0"/>
        <w:rPr>
          <w:rFonts w:cs="Calibri"/>
          <w:b/>
          <w:bCs/>
          <w:lang w:val="en-GB"/>
        </w:rPr>
      </w:pPr>
    </w:p>
    <w:p w:rsidR="00293AAB" w:rsidRPr="00485E4C" w:rsidRDefault="00E10FEA" w:rsidP="00293AAB">
      <w:pPr>
        <w:pStyle w:val="Akapitzlist1"/>
        <w:spacing w:line="240" w:lineRule="auto"/>
        <w:ind w:left="0"/>
        <w:rPr>
          <w:rFonts w:cs="Calibri"/>
          <w:lang w:val="en-GB"/>
        </w:rPr>
      </w:pPr>
      <w:r w:rsidRPr="00485E4C">
        <w:rPr>
          <w:rFonts w:cs="Calibri"/>
          <w:b/>
          <w:bCs/>
          <w:lang w:val="en-GB"/>
        </w:rPr>
        <w:lastRenderedPageBreak/>
        <w:t>Lecture schedule:</w:t>
      </w:r>
    </w:p>
    <w:p w:rsidR="00293AAB" w:rsidRPr="00485E4C" w:rsidRDefault="00293AAB" w:rsidP="00293AAB">
      <w:pPr>
        <w:pStyle w:val="Akapitzlist1"/>
        <w:spacing w:line="240" w:lineRule="auto"/>
        <w:ind w:left="360"/>
        <w:rPr>
          <w:rFonts w:cs="Calibri"/>
          <w:lang w:val="en-GB"/>
        </w:rPr>
      </w:pPr>
    </w:p>
    <w:p w:rsidR="00293AAB" w:rsidRPr="00485E4C" w:rsidRDefault="00E10FEA" w:rsidP="00293AAB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Preliminary lecture – science </w:t>
      </w:r>
      <w:r w:rsidR="00A8762F" w:rsidRPr="00485E4C">
        <w:rPr>
          <w:rFonts w:cs="Calibri"/>
          <w:lang w:val="en-GB"/>
        </w:rPr>
        <w:t xml:space="preserve">or sciences? Modern models of a philosophy of science(s). </w:t>
      </w:r>
    </w:p>
    <w:p w:rsidR="00B718B0" w:rsidRPr="00485E4C" w:rsidRDefault="00E10FEA" w:rsidP="000618D5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Historical background of Foucault’s epistemology</w:t>
      </w:r>
      <w:r w:rsidR="000618D5" w:rsidRPr="00485E4C">
        <w:rPr>
          <w:rFonts w:cs="Calibri"/>
          <w:lang w:val="en-GB"/>
        </w:rPr>
        <w:t xml:space="preserve">. </w:t>
      </w:r>
    </w:p>
    <w:p w:rsidR="000618D5" w:rsidRPr="00485E4C" w:rsidRDefault="00E10FEA" w:rsidP="000618D5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Foucault in search of the model for the history of thought.</w:t>
      </w:r>
    </w:p>
    <w:p w:rsidR="00B718B0" w:rsidRPr="00485E4C" w:rsidRDefault="00E10FEA" w:rsidP="00B718B0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 "</w:t>
      </w:r>
      <w:proofErr w:type="spellStart"/>
      <w:r w:rsidRPr="00485E4C">
        <w:rPr>
          <w:rFonts w:cs="Calibri"/>
          <w:lang w:val="en-GB"/>
        </w:rPr>
        <w:t>Archeology</w:t>
      </w:r>
      <w:proofErr w:type="spellEnd"/>
      <w:r w:rsidRPr="00485E4C">
        <w:rPr>
          <w:rFonts w:cs="Calibri"/>
          <w:lang w:val="en-GB"/>
        </w:rPr>
        <w:t>" as a philosophical term in the XX century: Husserl, Freud,</w:t>
      </w:r>
    </w:p>
    <w:p w:rsidR="00B718B0" w:rsidRPr="00485E4C" w:rsidRDefault="00E10FEA" w:rsidP="00B718B0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French philos</w:t>
      </w:r>
      <w:r w:rsidRPr="00485E4C">
        <w:rPr>
          <w:rFonts w:cs="Calibri"/>
          <w:lang w:val="en-GB"/>
        </w:rPr>
        <w:t>ophy of sciences – G. Bachelard, G. Canguilhem.</w:t>
      </w:r>
    </w:p>
    <w:p w:rsidR="00293AAB" w:rsidRPr="00485E4C" w:rsidRDefault="00E10FEA" w:rsidP="00B718B0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Structuralism – “I am not a structuralist. I’m not an analytic philosopher – nobody is perfect.”</w:t>
      </w:r>
    </w:p>
    <w:p w:rsidR="00293AAB" w:rsidRPr="00485E4C" w:rsidRDefault="00E10FEA" w:rsidP="00293AAB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proofErr w:type="spellStart"/>
      <w:r w:rsidRPr="00485E4C">
        <w:rPr>
          <w:rFonts w:cs="Calibri"/>
          <w:lang w:val="en-GB"/>
        </w:rPr>
        <w:t>Archeology</w:t>
      </w:r>
      <w:proofErr w:type="spellEnd"/>
      <w:r w:rsidRPr="00485E4C">
        <w:rPr>
          <w:rFonts w:cs="Calibri"/>
          <w:lang w:val="en-GB"/>
        </w:rPr>
        <w:t xml:space="preserve"> of the human sciences. The death of “Man”</w:t>
      </w:r>
    </w:p>
    <w:p w:rsidR="00293AAB" w:rsidRPr="00485E4C" w:rsidRDefault="00E10FEA" w:rsidP="00293AAB">
      <w:pPr>
        <w:pStyle w:val="Akapitzlist1"/>
        <w:numPr>
          <w:ilvl w:val="0"/>
          <w:numId w:val="3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What is an “episteme”?</w:t>
      </w:r>
      <w:r w:rsidR="00D036DD" w:rsidRPr="00485E4C">
        <w:rPr>
          <w:rFonts w:cs="Calibri"/>
          <w:lang w:val="en-GB"/>
        </w:rPr>
        <w:t xml:space="preserve"> Two kinds of knowledge: </w:t>
      </w:r>
      <w:r w:rsidR="00D036DD" w:rsidRPr="00485E4C">
        <w:rPr>
          <w:rFonts w:cs="Calibri"/>
          <w:i/>
          <w:iCs/>
          <w:lang w:val="en-GB"/>
        </w:rPr>
        <w:t>savoir</w:t>
      </w:r>
      <w:r w:rsidR="00D036DD" w:rsidRPr="00485E4C">
        <w:rPr>
          <w:rFonts w:cs="Calibri"/>
          <w:lang w:val="en-GB"/>
        </w:rPr>
        <w:t xml:space="preserve"> and </w:t>
      </w:r>
      <w:proofErr w:type="spellStart"/>
      <w:r w:rsidR="00D036DD" w:rsidRPr="00485E4C">
        <w:rPr>
          <w:rFonts w:cs="Calibri"/>
          <w:i/>
          <w:iCs/>
          <w:lang w:val="en-GB"/>
        </w:rPr>
        <w:t>connaisance</w:t>
      </w:r>
      <w:proofErr w:type="spellEnd"/>
      <w:r w:rsidR="00D036DD" w:rsidRPr="00485E4C">
        <w:rPr>
          <w:rFonts w:cs="Calibri"/>
          <w:lang w:val="en-GB"/>
        </w:rPr>
        <w:t>.</w:t>
      </w:r>
    </w:p>
    <w:p w:rsidR="00A8762F" w:rsidRPr="00485E4C" w:rsidRDefault="00E10FEA" w:rsidP="00A8762F">
      <w:pPr>
        <w:pStyle w:val="Akapitzlist1"/>
        <w:numPr>
          <w:ilvl w:val="0"/>
          <w:numId w:val="3"/>
        </w:numPr>
        <w:spacing w:line="240" w:lineRule="auto"/>
        <w:rPr>
          <w:rFonts w:cs="Calibri"/>
          <w:lang w:val="en-GB"/>
        </w:rPr>
      </w:pPr>
      <w:r w:rsidRPr="00485E4C">
        <w:rPr>
          <w:rFonts w:cs="Cambria"/>
          <w:color w:val="000000"/>
          <w:lang w:val="en-GB"/>
        </w:rPr>
        <w:t>„</w:t>
      </w:r>
      <w:proofErr w:type="spellStart"/>
      <w:r w:rsidRPr="00485E4C">
        <w:rPr>
          <w:rFonts w:cs="Cambria"/>
          <w:color w:val="000000"/>
          <w:lang w:val="en-GB"/>
        </w:rPr>
        <w:t>P</w:t>
      </w:r>
      <w:r w:rsidR="00D036DD" w:rsidRPr="00485E4C">
        <w:rPr>
          <w:rFonts w:cs="Cambria"/>
          <w:color w:val="000000"/>
          <w:lang w:val="en-GB"/>
        </w:rPr>
        <w:t>ositivie</w:t>
      </w:r>
      <w:proofErr w:type="spellEnd"/>
      <w:r w:rsidR="00D036DD" w:rsidRPr="00485E4C">
        <w:rPr>
          <w:rFonts w:cs="Cambria"/>
          <w:color w:val="000000"/>
          <w:lang w:val="en-GB"/>
        </w:rPr>
        <w:t xml:space="preserve"> unconscious of knowledge</w:t>
      </w:r>
      <w:r w:rsidRPr="00485E4C">
        <w:rPr>
          <w:rFonts w:cs="Calibri"/>
          <w:lang w:val="en-GB"/>
        </w:rPr>
        <w:t>”</w:t>
      </w:r>
    </w:p>
    <w:p w:rsidR="001F3721" w:rsidRPr="00485E4C" w:rsidRDefault="00E10FEA" w:rsidP="001F3721">
      <w:pPr>
        <w:pStyle w:val="Akapitzlist1"/>
        <w:numPr>
          <w:ilvl w:val="0"/>
          <w:numId w:val="3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The uniqueness of historical process of human sciences </w:t>
      </w:r>
    </w:p>
    <w:p w:rsidR="00293AAB" w:rsidRPr="00485E4C" w:rsidRDefault="00E10FEA" w:rsidP="001F3721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Man, and his doubles.</w:t>
      </w:r>
    </w:p>
    <w:p w:rsidR="00293AAB" w:rsidRPr="00485E4C" w:rsidRDefault="00E10FEA" w:rsidP="00293AAB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Science and Art – opposition or complementarity?</w:t>
      </w:r>
    </w:p>
    <w:p w:rsidR="00293AAB" w:rsidRPr="00485E4C" w:rsidRDefault="00E10FEA" w:rsidP="00293AAB">
      <w:pPr>
        <w:pStyle w:val="Akapitzlist1"/>
        <w:numPr>
          <w:ilvl w:val="0"/>
          <w:numId w:val="6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Literature and epistemic fiction</w:t>
      </w:r>
    </w:p>
    <w:p w:rsidR="00293AAB" w:rsidRPr="00485E4C" w:rsidRDefault="00E10FEA" w:rsidP="00293AAB">
      <w:pPr>
        <w:pStyle w:val="Akapitzlist1"/>
        <w:numPr>
          <w:ilvl w:val="0"/>
          <w:numId w:val="6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Regimes of representation in art and its </w:t>
      </w:r>
      <w:r w:rsidRPr="00485E4C">
        <w:rPr>
          <w:rFonts w:cs="Calibri"/>
          <w:lang w:val="en-GB"/>
        </w:rPr>
        <w:t>critical function</w:t>
      </w:r>
    </w:p>
    <w:p w:rsidR="00293AAB" w:rsidRPr="00485E4C" w:rsidRDefault="00E10FEA" w:rsidP="00293AAB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proofErr w:type="spellStart"/>
      <w:r w:rsidRPr="00485E4C">
        <w:rPr>
          <w:rFonts w:cs="Calibri"/>
          <w:lang w:val="en-GB"/>
        </w:rPr>
        <w:t>Archeology</w:t>
      </w:r>
      <w:proofErr w:type="spellEnd"/>
      <w:r w:rsidRPr="00485E4C">
        <w:rPr>
          <w:rFonts w:cs="Calibri"/>
          <w:lang w:val="en-GB"/>
        </w:rPr>
        <w:t xml:space="preserve"> of the knowledge. Discourses of sciences.</w:t>
      </w:r>
    </w:p>
    <w:p w:rsidR="00293AAB" w:rsidRPr="00485E4C" w:rsidRDefault="00E10FEA" w:rsidP="00293AAB">
      <w:pPr>
        <w:pStyle w:val="Akapitzlist1"/>
        <w:numPr>
          <w:ilvl w:val="0"/>
          <w:numId w:val="5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What is a "discourse"?</w:t>
      </w:r>
    </w:p>
    <w:p w:rsidR="000618D5" w:rsidRPr="00485E4C" w:rsidRDefault="00E10FEA" w:rsidP="00293AAB">
      <w:pPr>
        <w:pStyle w:val="Akapitzlist1"/>
        <w:numPr>
          <w:ilvl w:val="0"/>
          <w:numId w:val="5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>What is truth?</w:t>
      </w:r>
    </w:p>
    <w:p w:rsidR="00293AAB" w:rsidRPr="00485E4C" w:rsidRDefault="00E10FEA" w:rsidP="00293AAB">
      <w:pPr>
        <w:pStyle w:val="Akapitzlist1"/>
        <w:numPr>
          <w:ilvl w:val="0"/>
          <w:numId w:val="5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 “</w:t>
      </w:r>
      <w:proofErr w:type="spellStart"/>
      <w:r w:rsidRPr="00485E4C">
        <w:rPr>
          <w:rFonts w:cs="Calibri"/>
          <w:lang w:val="en-GB"/>
        </w:rPr>
        <w:t>Epistemologization</w:t>
      </w:r>
      <w:proofErr w:type="spellEnd"/>
      <w:r w:rsidRPr="00485E4C">
        <w:rPr>
          <w:rFonts w:cs="Calibri"/>
          <w:lang w:val="en-GB"/>
        </w:rPr>
        <w:t xml:space="preserve">” of a discourse – historical </w:t>
      </w:r>
      <w:r w:rsidRPr="00485E4C">
        <w:rPr>
          <w:rFonts w:cs="Calibri"/>
          <w:i/>
          <w:lang w:val="en-GB"/>
        </w:rPr>
        <w:t>a priori</w:t>
      </w:r>
    </w:p>
    <w:p w:rsidR="00293AAB" w:rsidRPr="00485E4C" w:rsidRDefault="00E10FEA" w:rsidP="00293AAB">
      <w:pPr>
        <w:pStyle w:val="Akapitzlist1"/>
        <w:numPr>
          <w:ilvl w:val="0"/>
          <w:numId w:val="5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“another </w:t>
      </w:r>
      <w:proofErr w:type="spellStart"/>
      <w:r w:rsidRPr="00485E4C">
        <w:rPr>
          <w:rFonts w:cs="Calibri"/>
          <w:lang w:val="en-GB"/>
        </w:rPr>
        <w:t>archeologies</w:t>
      </w:r>
      <w:proofErr w:type="spellEnd"/>
      <w:r w:rsidRPr="00485E4C">
        <w:rPr>
          <w:rFonts w:cs="Calibri"/>
          <w:lang w:val="en-GB"/>
        </w:rPr>
        <w:t>”</w:t>
      </w:r>
    </w:p>
    <w:p w:rsidR="00293AAB" w:rsidRPr="00485E4C" w:rsidRDefault="00E10FEA" w:rsidP="00293AAB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Extended Foucauldian discourse theory. The power of </w:t>
      </w:r>
      <w:r w:rsidRPr="00485E4C">
        <w:rPr>
          <w:rFonts w:cs="Calibri"/>
          <w:lang w:val="en-GB"/>
        </w:rPr>
        <w:t>discourse.</w:t>
      </w:r>
    </w:p>
    <w:p w:rsidR="007265F4" w:rsidRPr="00485E4C" w:rsidRDefault="00E10FEA" w:rsidP="007265F4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rFonts w:cs="Calibri"/>
          <w:lang w:val="en-GB"/>
        </w:rPr>
        <w:t xml:space="preserve">Discourse in action. </w:t>
      </w:r>
      <w:r w:rsidR="00293AAB" w:rsidRPr="00485E4C">
        <w:rPr>
          <w:rFonts w:cs="Calibri"/>
          <w:lang w:val="en-GB"/>
        </w:rPr>
        <w:t xml:space="preserve">What is </w:t>
      </w:r>
      <w:proofErr w:type="spellStart"/>
      <w:r w:rsidR="00293AAB" w:rsidRPr="00485E4C">
        <w:rPr>
          <w:rFonts w:cs="Calibri"/>
          <w:lang w:val="en-GB"/>
        </w:rPr>
        <w:t>pharresia</w:t>
      </w:r>
      <w:proofErr w:type="spellEnd"/>
      <w:r w:rsidR="00293AAB" w:rsidRPr="00485E4C">
        <w:rPr>
          <w:rFonts w:cs="Calibri"/>
          <w:lang w:val="en-GB"/>
        </w:rPr>
        <w:t>?</w:t>
      </w:r>
    </w:p>
    <w:p w:rsidR="007265F4" w:rsidRPr="00485E4C" w:rsidRDefault="00E10FEA" w:rsidP="007265F4">
      <w:pPr>
        <w:pStyle w:val="Akapitzlist1"/>
        <w:numPr>
          <w:ilvl w:val="0"/>
          <w:numId w:val="1"/>
        </w:numPr>
        <w:spacing w:line="240" w:lineRule="auto"/>
        <w:rPr>
          <w:rFonts w:cs="Calibri"/>
          <w:lang w:val="en-GB"/>
        </w:rPr>
      </w:pPr>
      <w:r w:rsidRPr="00485E4C">
        <w:rPr>
          <w:color w:val="000000"/>
          <w:lang w:val="en-GB"/>
        </w:rPr>
        <w:t xml:space="preserve"> Nietzsche and Heidegger </w:t>
      </w:r>
      <w:proofErr w:type="gramStart"/>
      <w:r w:rsidRPr="00485E4C">
        <w:rPr>
          <w:color w:val="000000"/>
          <w:lang w:val="en-GB"/>
        </w:rPr>
        <w:t>–“</w:t>
      </w:r>
      <w:proofErr w:type="gramEnd"/>
      <w:r w:rsidRPr="00485E4C">
        <w:rPr>
          <w:color w:val="000000"/>
          <w:lang w:val="en-GB"/>
        </w:rPr>
        <w:t>non-</w:t>
      </w:r>
      <w:proofErr w:type="spellStart"/>
      <w:r w:rsidRPr="00485E4C">
        <w:rPr>
          <w:color w:val="000000"/>
          <w:lang w:val="en-GB"/>
        </w:rPr>
        <w:t>archeologizable</w:t>
      </w:r>
      <w:proofErr w:type="spellEnd"/>
      <w:r w:rsidRPr="00485E4C">
        <w:rPr>
          <w:color w:val="000000"/>
          <w:lang w:val="en-GB"/>
        </w:rPr>
        <w:t xml:space="preserve">” knowledge. </w:t>
      </w:r>
      <w:r w:rsidRPr="00485E4C">
        <w:rPr>
          <w:rFonts w:asciiTheme="minorHAnsi" w:hAnsiTheme="minorHAnsi" w:cstheme="minorHAnsi"/>
          <w:color w:val="000000"/>
          <w:lang w:val="en-GB"/>
        </w:rPr>
        <w:t xml:space="preserve">  </w:t>
      </w:r>
    </w:p>
    <w:p w:rsidR="007265F4" w:rsidRPr="00485E4C" w:rsidRDefault="007265F4" w:rsidP="00C84E36">
      <w:pPr>
        <w:pStyle w:val="Akapitzlist1"/>
        <w:spacing w:line="240" w:lineRule="auto"/>
        <w:ind w:left="0"/>
        <w:rPr>
          <w:rFonts w:cs="Calibri"/>
          <w:lang w:val="en-GB"/>
        </w:rPr>
      </w:pPr>
      <w:bookmarkStart w:id="0" w:name="_GoBack"/>
      <w:bookmarkEnd w:id="0"/>
    </w:p>
    <w:p w:rsidR="00293AAB" w:rsidRPr="00485E4C" w:rsidRDefault="00293AAB" w:rsidP="00293AAB">
      <w:pPr>
        <w:rPr>
          <w:sz w:val="22"/>
          <w:lang w:val="en-GB"/>
        </w:rPr>
      </w:pPr>
    </w:p>
    <w:p w:rsidR="00293AAB" w:rsidRPr="00485E4C" w:rsidRDefault="00E10FEA" w:rsidP="00293AAB">
      <w:pPr>
        <w:pStyle w:val="Tekstpodstawowy"/>
        <w:ind w:left="20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>Course type</w:t>
      </w:r>
      <w:r w:rsidRPr="00485E4C">
        <w:rPr>
          <w:rFonts w:asciiTheme="minorHAnsi" w:hAnsiTheme="minorHAnsi" w:cstheme="minorHAnsi"/>
          <w:lang w:val="en-GB"/>
        </w:rPr>
        <w:t>: Tutorials, analysis, interpretation and discussion of texts</w:t>
      </w:r>
    </w:p>
    <w:p w:rsidR="00293AAB" w:rsidRPr="00485E4C" w:rsidRDefault="00E10FEA" w:rsidP="00293AAB">
      <w:pPr>
        <w:pStyle w:val="Tekstpodstawowy"/>
        <w:ind w:left="20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>Assessment method</w:t>
      </w:r>
      <w:r w:rsidRPr="00485E4C">
        <w:rPr>
          <w:rFonts w:asciiTheme="minorHAnsi" w:hAnsiTheme="minorHAnsi" w:cstheme="minorHAnsi"/>
          <w:lang w:val="en-GB"/>
        </w:rPr>
        <w:t>: Class participation and an oral presentation</w:t>
      </w:r>
    </w:p>
    <w:p w:rsidR="00293AAB" w:rsidRPr="00485E4C" w:rsidRDefault="00E10FEA" w:rsidP="00293AAB">
      <w:pPr>
        <w:pStyle w:val="Tekstpodstawowy"/>
        <w:ind w:left="20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>Name</w:t>
      </w:r>
      <w:r w:rsidRPr="00485E4C">
        <w:rPr>
          <w:rFonts w:asciiTheme="minorHAnsi" w:hAnsiTheme="minorHAnsi" w:cstheme="minorHAnsi"/>
          <w:b/>
          <w:lang w:val="en-GB"/>
        </w:rPr>
        <w:t xml:space="preserve"> of lecturer</w:t>
      </w:r>
      <w:r w:rsidRPr="00485E4C">
        <w:rPr>
          <w:rFonts w:asciiTheme="minorHAnsi" w:hAnsiTheme="minorHAnsi" w:cstheme="minorHAnsi"/>
          <w:lang w:val="en-GB"/>
        </w:rPr>
        <w:t xml:space="preserve">: </w:t>
      </w:r>
      <w:proofErr w:type="spellStart"/>
      <w:r w:rsidRPr="00485E4C">
        <w:rPr>
          <w:rFonts w:asciiTheme="minorHAnsi" w:hAnsiTheme="minorHAnsi" w:cstheme="minorHAnsi"/>
          <w:b/>
          <w:color w:val="000080"/>
          <w:lang w:val="en-GB"/>
        </w:rPr>
        <w:t>Paweł</w:t>
      </w:r>
      <w:proofErr w:type="spellEnd"/>
      <w:r w:rsidRPr="00485E4C">
        <w:rPr>
          <w:rFonts w:asciiTheme="minorHAnsi" w:hAnsiTheme="minorHAnsi" w:cstheme="minorHAnsi"/>
          <w:b/>
          <w:color w:val="000080"/>
          <w:lang w:val="en-GB"/>
        </w:rPr>
        <w:t xml:space="preserve"> </w:t>
      </w:r>
      <w:proofErr w:type="spellStart"/>
      <w:r w:rsidRPr="00485E4C">
        <w:rPr>
          <w:rFonts w:asciiTheme="minorHAnsi" w:hAnsiTheme="minorHAnsi" w:cstheme="minorHAnsi"/>
          <w:b/>
          <w:color w:val="000080"/>
          <w:lang w:val="en-GB"/>
        </w:rPr>
        <w:t>Bytniewski</w:t>
      </w:r>
      <w:proofErr w:type="spellEnd"/>
      <w:r w:rsidRPr="00485E4C">
        <w:rPr>
          <w:rFonts w:asciiTheme="minorHAnsi" w:hAnsiTheme="minorHAnsi" w:cstheme="minorHAnsi"/>
          <w:b/>
          <w:color w:val="000080"/>
          <w:lang w:val="en-GB"/>
        </w:rPr>
        <w:t xml:space="preserve"> </w:t>
      </w:r>
    </w:p>
    <w:p w:rsidR="00293AAB" w:rsidRPr="00485E4C" w:rsidRDefault="00E10FEA" w:rsidP="00293AAB">
      <w:pPr>
        <w:pStyle w:val="Tekstpodstawowy"/>
        <w:ind w:left="20"/>
        <w:rPr>
          <w:rFonts w:asciiTheme="minorHAnsi" w:hAnsiTheme="minorHAnsi" w:cstheme="minorHAnsi"/>
          <w:lang w:val="en-GB"/>
        </w:rPr>
      </w:pPr>
      <w:r w:rsidRPr="00485E4C">
        <w:rPr>
          <w:rFonts w:asciiTheme="minorHAnsi" w:hAnsiTheme="minorHAnsi" w:cstheme="minorHAnsi"/>
          <w:b/>
          <w:lang w:val="en-GB"/>
        </w:rPr>
        <w:t>Contact</w:t>
      </w:r>
      <w:r w:rsidRPr="00485E4C">
        <w:rPr>
          <w:rFonts w:asciiTheme="minorHAnsi" w:hAnsiTheme="minorHAnsi" w:cstheme="minorHAnsi"/>
          <w:lang w:val="en-GB"/>
        </w:rPr>
        <w:t xml:space="preserve">: </w:t>
      </w:r>
      <w:r w:rsidRPr="00485E4C">
        <w:rPr>
          <w:rStyle w:val="Hipercze"/>
          <w:rFonts w:asciiTheme="minorHAnsi" w:hAnsiTheme="minorHAnsi" w:cstheme="minorHAnsi"/>
          <w:lang w:val="en-GB"/>
        </w:rPr>
        <w:t>pbytniewski@poczta.umcs.lublin.pl</w:t>
      </w:r>
      <w:r w:rsidRPr="00485E4C">
        <w:rPr>
          <w:rFonts w:asciiTheme="minorHAnsi" w:hAnsiTheme="minorHAnsi" w:cstheme="minorHAnsi"/>
          <w:lang w:val="en-GB"/>
        </w:rPr>
        <w:t xml:space="preserve"> </w:t>
      </w:r>
    </w:p>
    <w:p w:rsidR="00293AAB" w:rsidRPr="00485E4C" w:rsidRDefault="00293AAB" w:rsidP="00293AAB">
      <w:pPr>
        <w:rPr>
          <w:sz w:val="22"/>
          <w:lang w:val="en-GB"/>
        </w:rPr>
      </w:pPr>
    </w:p>
    <w:p w:rsidR="00784E62" w:rsidRPr="00485E4C" w:rsidRDefault="00784E62">
      <w:pPr>
        <w:rPr>
          <w:lang w:val="en-GB"/>
        </w:rPr>
      </w:pPr>
    </w:p>
    <w:sectPr w:rsidR="00784E62" w:rsidRPr="00485E4C" w:rsidSect="001025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2268" w:bottom="2268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EA" w:rsidRDefault="00E10FEA">
      <w:r>
        <w:separator/>
      </w:r>
    </w:p>
  </w:endnote>
  <w:endnote w:type="continuationSeparator" w:id="0">
    <w:p w:rsidR="00E10FEA" w:rsidRDefault="00E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F0" w:rsidRDefault="00E10F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2F0" w:rsidRDefault="008F22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F0" w:rsidRDefault="00E10FEA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8F22F0" w:rsidRDefault="00E10FEA">
    <w:pPr>
      <w:pStyle w:val="Stopka"/>
      <w:ind w:right="36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9289415</wp:posOffset>
          </wp:positionV>
          <wp:extent cx="1087755" cy="367030"/>
          <wp:effectExtent l="0" t="0" r="0" b="0"/>
          <wp:wrapNone/>
          <wp:docPr id="5" name="Obraz 3" descr="kwadraty_Fi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419394" name="Picture 3" descr="kwadraty_Fi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F0" w:rsidRDefault="00E10FEA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color w:val="5D6A70"/>
        <w:sz w:val="15"/>
        <w:szCs w:val="15"/>
      </w:rPr>
      <w:t>Pl. M. Curie-Skłodowskiej 5, 20-031 Lublin, www.umcs.lublin.pl</w: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9289415</wp:posOffset>
          </wp:positionV>
          <wp:extent cx="1087755" cy="367030"/>
          <wp:effectExtent l="0" t="0" r="0" b="0"/>
          <wp:wrapNone/>
          <wp:docPr id="7" name="Obraz 7" descr="kwadraty_Fi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050321" name="Picture 7" descr="kwadraty_Fi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2F0" w:rsidRDefault="00E10FEA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1270" t="635" r="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22F0" w:rsidRDefault="00E10FEA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:rsidR="008F22F0" w:rsidRDefault="00E10FEA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52" type="#_x0000_t202" style="width:118.6pt;height:26.9pt;margin-top:777.8pt;margin-left:67.4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<v:textbox inset="0,0,0,0">
                <w:txbxContent>
                  <w:p w:rsidR="008F22F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:rsidR="008F22F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5D6A70"/>
        <w:sz w:val="15"/>
        <w:szCs w:val="15"/>
      </w:rPr>
      <w:t>centrala: +48 (81) 537 51 00, fax: +48 (81) 533 36 69, 537 51 02</w:t>
    </w:r>
  </w:p>
  <w:p w:rsidR="008F22F0" w:rsidRDefault="00E10FEA">
    <w:pPr>
      <w:pStyle w:val="Stopka"/>
      <w:spacing w:line="220" w:lineRule="exact"/>
      <w:rPr>
        <w:color w:val="5D6A70"/>
        <w:lang w:val="de-DE"/>
      </w:rPr>
    </w:pPr>
    <w:proofErr w:type="spellStart"/>
    <w:r>
      <w:rPr>
        <w:rFonts w:ascii="Arial" w:hAnsi="Arial" w:cs="Arial"/>
        <w:color w:val="5D6A70"/>
        <w:sz w:val="15"/>
        <w:szCs w:val="15"/>
        <w:lang w:val="de-DE"/>
      </w:rPr>
      <w:t>e-mail</w:t>
    </w:r>
    <w:proofErr w:type="spellEnd"/>
    <w:r>
      <w:rPr>
        <w:rFonts w:ascii="Arial" w:hAnsi="Arial" w:cs="Arial"/>
        <w:color w:val="5D6A70"/>
        <w:sz w:val="15"/>
        <w:szCs w:val="15"/>
        <w:lang w:val="de-DE"/>
      </w:rPr>
      <w:t xml:space="preserve">: </w:t>
    </w:r>
    <w:hyperlink r:id="rId2" w:history="1">
      <w:r>
        <w:rPr>
          <w:rStyle w:val="Hipercze"/>
          <w:rFonts w:ascii="Arial" w:hAnsi="Arial" w:cs="Arial"/>
          <w:sz w:val="15"/>
          <w:szCs w:val="15"/>
          <w:lang w:val="de-DE"/>
        </w:rPr>
        <w:t>pbytniewski@poczta.umcs.lublin.pl</w:t>
      </w:r>
    </w:hyperlink>
    <w:r>
      <w:rPr>
        <w:rFonts w:ascii="Arial" w:hAnsi="Arial" w:cs="Arial"/>
        <w:color w:val="5D6A70"/>
        <w:sz w:val="15"/>
        <w:szCs w:val="15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EA" w:rsidRDefault="00E10FEA">
      <w:r>
        <w:separator/>
      </w:r>
    </w:p>
  </w:footnote>
  <w:footnote w:type="continuationSeparator" w:id="0">
    <w:p w:rsidR="00E10FEA" w:rsidRDefault="00E1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F0" w:rsidRDefault="00E10FEA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8" name="Obraz 1" descr="Logo_FiS_45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288355" name="Picture 1" descr="Logo_FiS_45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22F0" w:rsidRDefault="008F22F0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pt;height:36pt;margin-top:53.25pt;margin-left:119.8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0,0,0,0">
                <w:txbxContent>
                  <w:p w:rsidR="008F22F0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2F0" w:rsidRDefault="00E10FEA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8F22F0" w:rsidRDefault="00E10FEA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1305560</wp:posOffset>
              </wp:positionV>
              <wp:extent cx="3551555" cy="341630"/>
              <wp:effectExtent l="0" t="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22F0" w:rsidRDefault="00E10FEA" w:rsidP="00B353EB">
                          <w:pPr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ab/>
                            <w:t>Dr hab. Paweł Bytniewski prof. UMCS</w:t>
                          </w:r>
                        </w:p>
                        <w:p w:rsidR="008F22F0" w:rsidRDefault="00E10FEA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Katedra Estetyki i Filozofii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Kultury 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0" type="#_x0000_t202" style="width:279.65pt;height:26.9pt;margin-top:102.8pt;margin-left:228.45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 inset="0,0,0,0">
                <w:txbxContent>
                  <w:p w:rsidR="008F22F0" w:rsidP="00B353EB">
                    <w:pPr>
                      <w:spacing w:line="280" w:lineRule="exact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Dr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hab.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Paweł Bytniewski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prof. UMCS</w:t>
                    </w:r>
                  </w:p>
                  <w:p w:rsidR="008F22F0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Katedra Estetyki i Filozofii Kultury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0" b="0"/>
          <wp:wrapNone/>
          <wp:docPr id="4" name="Obraz 4" descr="Logo_FI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337380" name="Picture 4" descr="Logo_FI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D6A70"/>
        <w:sz w:val="15"/>
        <w:szCs w:val="15"/>
      </w:rPr>
      <w:t>Wydział Filozofii i Socjologii</w:t>
    </w:r>
  </w:p>
  <w:p w:rsidR="008F22F0" w:rsidRDefault="00E10FEA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10795" t="7620" r="5715" b="10795"/>
              <wp:wrapTopAndBottom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1" style="mso-height-percent:0;mso-height-relative:page;mso-position-horizontal:right;mso-position-horizontal-relative:margin;mso-position-vertical-relative:page;mso-width-percent:0;mso-width-relative:page;mso-wrap-distance-bottom:85.05pt;mso-wrap-distance-left:9pt;mso-wrap-distance-right:9pt;mso-wrap-distance-top:0;mso-wrap-style:square;position:absolute;visibility:visible;z-index:251661312" from="264pt,100.35pt" to="579.2pt,100.4pt" strokecolor="#5d6a70" strokeweight="0.5pt">
              <w10:wrap type="topAndBottom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627"/>
    <w:multiLevelType w:val="hybridMultilevel"/>
    <w:tmpl w:val="AB66D6E4"/>
    <w:lvl w:ilvl="0" w:tplc="834C9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B06D250" w:tentative="1">
      <w:start w:val="1"/>
      <w:numFmt w:val="lowerLetter"/>
      <w:lvlText w:val="%2."/>
      <w:lvlJc w:val="left"/>
      <w:pPr>
        <w:ind w:left="1800" w:hanging="360"/>
      </w:pPr>
    </w:lvl>
    <w:lvl w:ilvl="2" w:tplc="C1AEA704" w:tentative="1">
      <w:start w:val="1"/>
      <w:numFmt w:val="lowerRoman"/>
      <w:lvlText w:val="%3."/>
      <w:lvlJc w:val="right"/>
      <w:pPr>
        <w:ind w:left="2520" w:hanging="180"/>
      </w:pPr>
    </w:lvl>
    <w:lvl w:ilvl="3" w:tplc="D4F2F1F2" w:tentative="1">
      <w:start w:val="1"/>
      <w:numFmt w:val="decimal"/>
      <w:lvlText w:val="%4."/>
      <w:lvlJc w:val="left"/>
      <w:pPr>
        <w:ind w:left="3240" w:hanging="360"/>
      </w:pPr>
    </w:lvl>
    <w:lvl w:ilvl="4" w:tplc="52E489C8" w:tentative="1">
      <w:start w:val="1"/>
      <w:numFmt w:val="lowerLetter"/>
      <w:lvlText w:val="%5."/>
      <w:lvlJc w:val="left"/>
      <w:pPr>
        <w:ind w:left="3960" w:hanging="360"/>
      </w:pPr>
    </w:lvl>
    <w:lvl w:ilvl="5" w:tplc="4922F0D6" w:tentative="1">
      <w:start w:val="1"/>
      <w:numFmt w:val="lowerRoman"/>
      <w:lvlText w:val="%6."/>
      <w:lvlJc w:val="right"/>
      <w:pPr>
        <w:ind w:left="4680" w:hanging="180"/>
      </w:pPr>
    </w:lvl>
    <w:lvl w:ilvl="6" w:tplc="099ABE44" w:tentative="1">
      <w:start w:val="1"/>
      <w:numFmt w:val="decimal"/>
      <w:lvlText w:val="%7."/>
      <w:lvlJc w:val="left"/>
      <w:pPr>
        <w:ind w:left="5400" w:hanging="360"/>
      </w:pPr>
    </w:lvl>
    <w:lvl w:ilvl="7" w:tplc="BBE4BCB6" w:tentative="1">
      <w:start w:val="1"/>
      <w:numFmt w:val="lowerLetter"/>
      <w:lvlText w:val="%8."/>
      <w:lvlJc w:val="left"/>
      <w:pPr>
        <w:ind w:left="6120" w:hanging="360"/>
      </w:pPr>
    </w:lvl>
    <w:lvl w:ilvl="8" w:tplc="18049F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868EA"/>
    <w:multiLevelType w:val="hybridMultilevel"/>
    <w:tmpl w:val="59A22B6E"/>
    <w:lvl w:ilvl="0" w:tplc="2EAAB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D22116" w:tentative="1">
      <w:start w:val="1"/>
      <w:numFmt w:val="lowerLetter"/>
      <w:lvlText w:val="%2."/>
      <w:lvlJc w:val="left"/>
      <w:pPr>
        <w:ind w:left="1800" w:hanging="360"/>
      </w:pPr>
    </w:lvl>
    <w:lvl w:ilvl="2" w:tplc="C43A76DC" w:tentative="1">
      <w:start w:val="1"/>
      <w:numFmt w:val="lowerRoman"/>
      <w:lvlText w:val="%3."/>
      <w:lvlJc w:val="right"/>
      <w:pPr>
        <w:ind w:left="2520" w:hanging="180"/>
      </w:pPr>
    </w:lvl>
    <w:lvl w:ilvl="3" w:tplc="5FDA8684" w:tentative="1">
      <w:start w:val="1"/>
      <w:numFmt w:val="decimal"/>
      <w:lvlText w:val="%4."/>
      <w:lvlJc w:val="left"/>
      <w:pPr>
        <w:ind w:left="3240" w:hanging="360"/>
      </w:pPr>
    </w:lvl>
    <w:lvl w:ilvl="4" w:tplc="D5583FDC" w:tentative="1">
      <w:start w:val="1"/>
      <w:numFmt w:val="lowerLetter"/>
      <w:lvlText w:val="%5."/>
      <w:lvlJc w:val="left"/>
      <w:pPr>
        <w:ind w:left="3960" w:hanging="360"/>
      </w:pPr>
    </w:lvl>
    <w:lvl w:ilvl="5" w:tplc="2E96A696" w:tentative="1">
      <w:start w:val="1"/>
      <w:numFmt w:val="lowerRoman"/>
      <w:lvlText w:val="%6."/>
      <w:lvlJc w:val="right"/>
      <w:pPr>
        <w:ind w:left="4680" w:hanging="180"/>
      </w:pPr>
    </w:lvl>
    <w:lvl w:ilvl="6" w:tplc="556EF562" w:tentative="1">
      <w:start w:val="1"/>
      <w:numFmt w:val="decimal"/>
      <w:lvlText w:val="%7."/>
      <w:lvlJc w:val="left"/>
      <w:pPr>
        <w:ind w:left="5400" w:hanging="360"/>
      </w:pPr>
    </w:lvl>
    <w:lvl w:ilvl="7" w:tplc="73B67FCC" w:tentative="1">
      <w:start w:val="1"/>
      <w:numFmt w:val="lowerLetter"/>
      <w:lvlText w:val="%8."/>
      <w:lvlJc w:val="left"/>
      <w:pPr>
        <w:ind w:left="6120" w:hanging="360"/>
      </w:pPr>
    </w:lvl>
    <w:lvl w:ilvl="8" w:tplc="558E79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E1068"/>
    <w:multiLevelType w:val="hybridMultilevel"/>
    <w:tmpl w:val="929CCD02"/>
    <w:lvl w:ilvl="0" w:tplc="B122D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F6CF62" w:tentative="1">
      <w:start w:val="1"/>
      <w:numFmt w:val="lowerLetter"/>
      <w:lvlText w:val="%2."/>
      <w:lvlJc w:val="left"/>
      <w:pPr>
        <w:ind w:left="1440" w:hanging="360"/>
      </w:pPr>
    </w:lvl>
    <w:lvl w:ilvl="2" w:tplc="814CA132" w:tentative="1">
      <w:start w:val="1"/>
      <w:numFmt w:val="lowerRoman"/>
      <w:lvlText w:val="%3."/>
      <w:lvlJc w:val="right"/>
      <w:pPr>
        <w:ind w:left="2160" w:hanging="180"/>
      </w:pPr>
    </w:lvl>
    <w:lvl w:ilvl="3" w:tplc="8A02EA2C" w:tentative="1">
      <w:start w:val="1"/>
      <w:numFmt w:val="decimal"/>
      <w:lvlText w:val="%4."/>
      <w:lvlJc w:val="left"/>
      <w:pPr>
        <w:ind w:left="2880" w:hanging="360"/>
      </w:pPr>
    </w:lvl>
    <w:lvl w:ilvl="4" w:tplc="376EC830" w:tentative="1">
      <w:start w:val="1"/>
      <w:numFmt w:val="lowerLetter"/>
      <w:lvlText w:val="%5."/>
      <w:lvlJc w:val="left"/>
      <w:pPr>
        <w:ind w:left="3600" w:hanging="360"/>
      </w:pPr>
    </w:lvl>
    <w:lvl w:ilvl="5" w:tplc="68B2CD66" w:tentative="1">
      <w:start w:val="1"/>
      <w:numFmt w:val="lowerRoman"/>
      <w:lvlText w:val="%6."/>
      <w:lvlJc w:val="right"/>
      <w:pPr>
        <w:ind w:left="4320" w:hanging="180"/>
      </w:pPr>
    </w:lvl>
    <w:lvl w:ilvl="6" w:tplc="3D36C14A" w:tentative="1">
      <w:start w:val="1"/>
      <w:numFmt w:val="decimal"/>
      <w:lvlText w:val="%7."/>
      <w:lvlJc w:val="left"/>
      <w:pPr>
        <w:ind w:left="5040" w:hanging="360"/>
      </w:pPr>
    </w:lvl>
    <w:lvl w:ilvl="7" w:tplc="EF4A6BD6" w:tentative="1">
      <w:start w:val="1"/>
      <w:numFmt w:val="lowerLetter"/>
      <w:lvlText w:val="%8."/>
      <w:lvlJc w:val="left"/>
      <w:pPr>
        <w:ind w:left="5760" w:hanging="360"/>
      </w:pPr>
    </w:lvl>
    <w:lvl w:ilvl="8" w:tplc="69D81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344A"/>
    <w:multiLevelType w:val="hybridMultilevel"/>
    <w:tmpl w:val="0FACAAAC"/>
    <w:lvl w:ilvl="0" w:tplc="0050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5F018F8" w:tentative="1">
      <w:start w:val="1"/>
      <w:numFmt w:val="lowerLetter"/>
      <w:lvlText w:val="%2."/>
      <w:lvlJc w:val="left"/>
      <w:pPr>
        <w:ind w:left="1800" w:hanging="360"/>
      </w:pPr>
    </w:lvl>
    <w:lvl w:ilvl="2" w:tplc="364A4024" w:tentative="1">
      <w:start w:val="1"/>
      <w:numFmt w:val="lowerRoman"/>
      <w:lvlText w:val="%3."/>
      <w:lvlJc w:val="right"/>
      <w:pPr>
        <w:ind w:left="2520" w:hanging="180"/>
      </w:pPr>
    </w:lvl>
    <w:lvl w:ilvl="3" w:tplc="FAE006DC" w:tentative="1">
      <w:start w:val="1"/>
      <w:numFmt w:val="decimal"/>
      <w:lvlText w:val="%4."/>
      <w:lvlJc w:val="left"/>
      <w:pPr>
        <w:ind w:left="3240" w:hanging="360"/>
      </w:pPr>
    </w:lvl>
    <w:lvl w:ilvl="4" w:tplc="98905FB4" w:tentative="1">
      <w:start w:val="1"/>
      <w:numFmt w:val="lowerLetter"/>
      <w:lvlText w:val="%5."/>
      <w:lvlJc w:val="left"/>
      <w:pPr>
        <w:ind w:left="3960" w:hanging="360"/>
      </w:pPr>
    </w:lvl>
    <w:lvl w:ilvl="5" w:tplc="146CC9EA" w:tentative="1">
      <w:start w:val="1"/>
      <w:numFmt w:val="lowerRoman"/>
      <w:lvlText w:val="%6."/>
      <w:lvlJc w:val="right"/>
      <w:pPr>
        <w:ind w:left="4680" w:hanging="180"/>
      </w:pPr>
    </w:lvl>
    <w:lvl w:ilvl="6" w:tplc="D48ECFC6" w:tentative="1">
      <w:start w:val="1"/>
      <w:numFmt w:val="decimal"/>
      <w:lvlText w:val="%7."/>
      <w:lvlJc w:val="left"/>
      <w:pPr>
        <w:ind w:left="5400" w:hanging="360"/>
      </w:pPr>
    </w:lvl>
    <w:lvl w:ilvl="7" w:tplc="7C7284A4" w:tentative="1">
      <w:start w:val="1"/>
      <w:numFmt w:val="lowerLetter"/>
      <w:lvlText w:val="%8."/>
      <w:lvlJc w:val="left"/>
      <w:pPr>
        <w:ind w:left="6120" w:hanging="360"/>
      </w:pPr>
    </w:lvl>
    <w:lvl w:ilvl="8" w:tplc="25127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E496E"/>
    <w:multiLevelType w:val="hybridMultilevel"/>
    <w:tmpl w:val="4B8E0EC4"/>
    <w:lvl w:ilvl="0" w:tplc="AE3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58E87A" w:tentative="1">
      <w:start w:val="1"/>
      <w:numFmt w:val="lowerLetter"/>
      <w:lvlText w:val="%2."/>
      <w:lvlJc w:val="left"/>
      <w:pPr>
        <w:ind w:left="1800" w:hanging="360"/>
      </w:pPr>
    </w:lvl>
    <w:lvl w:ilvl="2" w:tplc="537ADADE" w:tentative="1">
      <w:start w:val="1"/>
      <w:numFmt w:val="lowerRoman"/>
      <w:lvlText w:val="%3."/>
      <w:lvlJc w:val="right"/>
      <w:pPr>
        <w:ind w:left="2520" w:hanging="180"/>
      </w:pPr>
    </w:lvl>
    <w:lvl w:ilvl="3" w:tplc="1B3AE3B6" w:tentative="1">
      <w:start w:val="1"/>
      <w:numFmt w:val="decimal"/>
      <w:lvlText w:val="%4."/>
      <w:lvlJc w:val="left"/>
      <w:pPr>
        <w:ind w:left="3240" w:hanging="360"/>
      </w:pPr>
    </w:lvl>
    <w:lvl w:ilvl="4" w:tplc="395A9E24" w:tentative="1">
      <w:start w:val="1"/>
      <w:numFmt w:val="lowerLetter"/>
      <w:lvlText w:val="%5."/>
      <w:lvlJc w:val="left"/>
      <w:pPr>
        <w:ind w:left="3960" w:hanging="360"/>
      </w:pPr>
    </w:lvl>
    <w:lvl w:ilvl="5" w:tplc="6188F4DE" w:tentative="1">
      <w:start w:val="1"/>
      <w:numFmt w:val="lowerRoman"/>
      <w:lvlText w:val="%6."/>
      <w:lvlJc w:val="right"/>
      <w:pPr>
        <w:ind w:left="4680" w:hanging="180"/>
      </w:pPr>
    </w:lvl>
    <w:lvl w:ilvl="6" w:tplc="A992D5B0" w:tentative="1">
      <w:start w:val="1"/>
      <w:numFmt w:val="decimal"/>
      <w:lvlText w:val="%7."/>
      <w:lvlJc w:val="left"/>
      <w:pPr>
        <w:ind w:left="5400" w:hanging="360"/>
      </w:pPr>
    </w:lvl>
    <w:lvl w:ilvl="7" w:tplc="7E4216C0" w:tentative="1">
      <w:start w:val="1"/>
      <w:numFmt w:val="lowerLetter"/>
      <w:lvlText w:val="%8."/>
      <w:lvlJc w:val="left"/>
      <w:pPr>
        <w:ind w:left="6120" w:hanging="360"/>
      </w:pPr>
    </w:lvl>
    <w:lvl w:ilvl="8" w:tplc="452864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72521"/>
    <w:multiLevelType w:val="hybridMultilevel"/>
    <w:tmpl w:val="0B52BBA0"/>
    <w:lvl w:ilvl="0" w:tplc="9E7ED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43988" w:tentative="1">
      <w:start w:val="1"/>
      <w:numFmt w:val="lowerLetter"/>
      <w:lvlText w:val="%2."/>
      <w:lvlJc w:val="left"/>
      <w:pPr>
        <w:ind w:left="1800" w:hanging="360"/>
      </w:pPr>
    </w:lvl>
    <w:lvl w:ilvl="2" w:tplc="73B678F4" w:tentative="1">
      <w:start w:val="1"/>
      <w:numFmt w:val="lowerRoman"/>
      <w:lvlText w:val="%3."/>
      <w:lvlJc w:val="right"/>
      <w:pPr>
        <w:ind w:left="2520" w:hanging="180"/>
      </w:pPr>
    </w:lvl>
    <w:lvl w:ilvl="3" w:tplc="AA448A16" w:tentative="1">
      <w:start w:val="1"/>
      <w:numFmt w:val="decimal"/>
      <w:lvlText w:val="%4."/>
      <w:lvlJc w:val="left"/>
      <w:pPr>
        <w:ind w:left="3240" w:hanging="360"/>
      </w:pPr>
    </w:lvl>
    <w:lvl w:ilvl="4" w:tplc="D25461BA" w:tentative="1">
      <w:start w:val="1"/>
      <w:numFmt w:val="lowerLetter"/>
      <w:lvlText w:val="%5."/>
      <w:lvlJc w:val="left"/>
      <w:pPr>
        <w:ind w:left="3960" w:hanging="360"/>
      </w:pPr>
    </w:lvl>
    <w:lvl w:ilvl="5" w:tplc="814E176E" w:tentative="1">
      <w:start w:val="1"/>
      <w:numFmt w:val="lowerRoman"/>
      <w:lvlText w:val="%6."/>
      <w:lvlJc w:val="right"/>
      <w:pPr>
        <w:ind w:left="4680" w:hanging="180"/>
      </w:pPr>
    </w:lvl>
    <w:lvl w:ilvl="6" w:tplc="17380576" w:tentative="1">
      <w:start w:val="1"/>
      <w:numFmt w:val="decimal"/>
      <w:lvlText w:val="%7."/>
      <w:lvlJc w:val="left"/>
      <w:pPr>
        <w:ind w:left="5400" w:hanging="360"/>
      </w:pPr>
    </w:lvl>
    <w:lvl w:ilvl="7" w:tplc="BC6278E6" w:tentative="1">
      <w:start w:val="1"/>
      <w:numFmt w:val="lowerLetter"/>
      <w:lvlText w:val="%8."/>
      <w:lvlJc w:val="left"/>
      <w:pPr>
        <w:ind w:left="6120" w:hanging="360"/>
      </w:pPr>
    </w:lvl>
    <w:lvl w:ilvl="8" w:tplc="ACC455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revisionView w:inkAnnotation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AB"/>
    <w:rsid w:val="00002DA5"/>
    <w:rsid w:val="000413B0"/>
    <w:rsid w:val="000618D5"/>
    <w:rsid w:val="00081CB7"/>
    <w:rsid w:val="001A16A2"/>
    <w:rsid w:val="001F3721"/>
    <w:rsid w:val="00293AAB"/>
    <w:rsid w:val="00485E4C"/>
    <w:rsid w:val="006B274F"/>
    <w:rsid w:val="007265F4"/>
    <w:rsid w:val="00784E62"/>
    <w:rsid w:val="007C7294"/>
    <w:rsid w:val="0080789F"/>
    <w:rsid w:val="008224F6"/>
    <w:rsid w:val="008F22F0"/>
    <w:rsid w:val="00A33A41"/>
    <w:rsid w:val="00A41A57"/>
    <w:rsid w:val="00A85BBD"/>
    <w:rsid w:val="00A8762F"/>
    <w:rsid w:val="00B353EB"/>
    <w:rsid w:val="00B718B0"/>
    <w:rsid w:val="00C84E36"/>
    <w:rsid w:val="00D036DD"/>
    <w:rsid w:val="00DB6219"/>
    <w:rsid w:val="00E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3AE4"/>
  <w15:chartTrackingRefBased/>
  <w15:docId w15:val="{1EC4ADB4-B906-4144-8BBE-4515604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AAB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A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rsid w:val="00293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93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93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3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93AAB"/>
  </w:style>
  <w:style w:type="character" w:styleId="Hipercze">
    <w:name w:val="Hyperlink"/>
    <w:rsid w:val="00293AAB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93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93AAB"/>
    <w:pPr>
      <w:jc w:val="both"/>
    </w:pPr>
    <w:rPr>
      <w:rFonts w:ascii="Courier New" w:hAnsi="Courier New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3AAB"/>
    <w:rPr>
      <w:rFonts w:ascii="Courier New" w:eastAsia="Times New Roman" w:hAnsi="Courier New" w:cs="Times New Roman"/>
      <w:sz w:val="24"/>
      <w:szCs w:val="24"/>
      <w:lang w:val="x-none" w:eastAsia="pl-PL"/>
    </w:rPr>
  </w:style>
  <w:style w:type="paragraph" w:customStyle="1" w:styleId="Pa12">
    <w:name w:val="Pa12"/>
    <w:basedOn w:val="Normalny"/>
    <w:next w:val="Normalny"/>
    <w:uiPriority w:val="99"/>
    <w:rsid w:val="00293AAB"/>
    <w:pPr>
      <w:autoSpaceDE w:val="0"/>
      <w:autoSpaceDN w:val="0"/>
      <w:adjustRightInd w:val="0"/>
      <w:spacing w:line="221" w:lineRule="atLeast"/>
    </w:pPr>
    <w:rPr>
      <w:rFonts w:ascii="Cambria" w:eastAsiaTheme="minorHAnsi" w:hAnsi="Cambria" w:cstheme="minorBidi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293AAB"/>
    <w:rPr>
      <w:rFonts w:ascii="Cambria" w:eastAsia="Cambria" w:hAnsi="Cambria" w:cs="Cambria"/>
      <w:color w:val="231F2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AAB"/>
    <w:pPr>
      <w:widowControl w:val="0"/>
      <w:shd w:val="clear" w:color="auto" w:fill="FFFFFF"/>
      <w:spacing w:after="180"/>
      <w:ind w:left="420"/>
    </w:pPr>
    <w:rPr>
      <w:rFonts w:ascii="Cambria" w:eastAsia="Cambria" w:hAnsi="Cambria" w:cs="Cambria"/>
      <w:color w:val="231F20"/>
      <w:sz w:val="18"/>
      <w:szCs w:val="18"/>
      <w:lang w:eastAsia="en-US"/>
    </w:rPr>
  </w:style>
  <w:style w:type="paragraph" w:customStyle="1" w:styleId="Pa42">
    <w:name w:val="Pa42"/>
    <w:basedOn w:val="Normalny"/>
    <w:next w:val="Normalny"/>
    <w:uiPriority w:val="99"/>
    <w:rsid w:val="00293AAB"/>
    <w:pPr>
      <w:autoSpaceDE w:val="0"/>
      <w:autoSpaceDN w:val="0"/>
      <w:adjustRightInd w:val="0"/>
      <w:spacing w:line="221" w:lineRule="atLeast"/>
    </w:pPr>
    <w:rPr>
      <w:rFonts w:ascii="Cambria" w:eastAsiaTheme="minorHAnsi" w:hAnsi="Cambria" w:cstheme="minorBidi"/>
      <w:lang w:eastAsia="en-US"/>
    </w:rPr>
  </w:style>
  <w:style w:type="character" w:customStyle="1" w:styleId="A4">
    <w:name w:val="A4"/>
    <w:uiPriority w:val="99"/>
    <w:rsid w:val="00293AAB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bytniewski@poczta.umcs.lubli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16</cp:revision>
  <dcterms:created xsi:type="dcterms:W3CDTF">2020-09-15T07:39:00Z</dcterms:created>
  <dcterms:modified xsi:type="dcterms:W3CDTF">2020-09-15T08:31:00Z</dcterms:modified>
</cp:coreProperties>
</file>