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110EB0" w:rsidRPr="00110EB0" w:rsidRDefault="00110EB0" w:rsidP="00110EB0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  <w:u w:val="single"/>
        </w:rPr>
      </w:pPr>
      <w:r w:rsidRPr="00110EB0">
        <w:rPr>
          <w:rFonts w:ascii="Calibri" w:hAnsi="Calibri" w:cs="Arial"/>
          <w:b/>
          <w:kern w:val="0"/>
          <w:sz w:val="20"/>
          <w:szCs w:val="20"/>
        </w:rPr>
        <w:t>„</w:t>
      </w:r>
      <w:r w:rsidRPr="00110EB0">
        <w:rPr>
          <w:rFonts w:ascii="Calibri" w:hAnsi="Calibri" w:cs="Arial"/>
          <w:b/>
          <w:kern w:val="0"/>
          <w:sz w:val="20"/>
          <w:szCs w:val="20"/>
          <w:u w:val="single"/>
        </w:rPr>
        <w:t>Dostawa zestawu uruchomieniowego reaktora”</w:t>
      </w:r>
    </w:p>
    <w:p w:rsidR="00110EB0" w:rsidRPr="00110EB0" w:rsidRDefault="00110EB0" w:rsidP="00110EB0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</w:rPr>
      </w:pPr>
      <w:r w:rsidRPr="00110EB0">
        <w:rPr>
          <w:rFonts w:ascii="Calibri" w:hAnsi="Calibri" w:cs="Arial"/>
          <w:b/>
          <w:kern w:val="0"/>
          <w:sz w:val="20"/>
          <w:szCs w:val="20"/>
          <w:u w:val="single"/>
        </w:rPr>
        <w:t xml:space="preserve"> </w:t>
      </w:r>
      <w:r w:rsidRPr="00110EB0">
        <w:rPr>
          <w:rFonts w:ascii="Calibri" w:hAnsi="Calibri" w:cs="Arial"/>
          <w:b/>
          <w:bCs/>
          <w:kern w:val="0"/>
          <w:sz w:val="20"/>
          <w:szCs w:val="20"/>
          <w:u w:val="single"/>
        </w:rPr>
        <w:t>(PU/44-2020/DZP-a)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BA250A" w:rsidTr="00DC05EB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Tr="00DC05EB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AA5" w:rsidRPr="00110EB0" w:rsidRDefault="00110EB0" w:rsidP="00D92AA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Zestaw uruchomieniowy reaktora </w:t>
            </w:r>
            <w:r w:rsidR="008F19CB" w:rsidRPr="00110EB0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o parametrach nie gorszych niż:</w:t>
            </w:r>
          </w:p>
          <w:p w:rsidR="00110EB0" w:rsidRPr="00110EB0" w:rsidRDefault="00110EB0" w:rsidP="00110EB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napToGrid w:val="0"/>
              <w:ind w:hanging="163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Zanurzeniowa lampa UV</w:t>
            </w:r>
            <w:r w:rsidR="005C118C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I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moc całkowita: 15W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typ: monochromatyczna 254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nm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przystosowana do pracy z rurą zanurzeniową Ø25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długość świetlna 170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mm</w:t>
            </w:r>
          </w:p>
          <w:p w:rsid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kompatybil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na z rurą zanurzeniową z poz. 2</w:t>
            </w:r>
          </w:p>
          <w:p w:rsidR="00110EB0" w:rsidRPr="00110EB0" w:rsidRDefault="00110EB0" w:rsidP="00110EB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napToGrid w:val="0"/>
              <w:ind w:left="0" w:firstLine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Rura zanurzeniowa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średnica zewnętrzna Ø25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materiał wykonania: szkło kwarcowe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długość całkowita: 380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mm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sposób montażu w naczyniu reakcyjnym: szlif NS 29/32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kompatybilna z lampą z poz. 1</w:t>
            </w:r>
          </w:p>
          <w:p w:rsidR="00110EB0" w:rsidRPr="00110EB0" w:rsidRDefault="00110EB0" w:rsidP="00110EB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napToGrid w:val="0"/>
              <w:ind w:hanging="163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Naczynie reakcyjne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pojemność 0,7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l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kompatybilne z lampą z poz. 1 oraz rurą zanurzeniową z poz. 2</w:t>
            </w:r>
          </w:p>
          <w:p w:rsidR="00110EB0" w:rsidRPr="00110EB0" w:rsidRDefault="00110EB0" w:rsidP="00110EB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napToGrid w:val="0"/>
              <w:ind w:hanging="163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Układ zasilania</w:t>
            </w:r>
            <w:r w:rsidR="005C118C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I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kompatybilny z lampą z poz. 1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zasilanie 230V/50Hz</w:t>
            </w:r>
          </w:p>
          <w:p w:rsidR="00110EB0" w:rsidRPr="00110EB0" w:rsidRDefault="00110EB0" w:rsidP="00110EB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napToGrid w:val="0"/>
              <w:ind w:hanging="163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Zanurzeniowa lampa UV</w:t>
            </w:r>
            <w:r w:rsidR="005C118C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II</w:t>
            </w:r>
          </w:p>
          <w:p w:rsidR="00110EB0" w:rsidRPr="00110EB0" w:rsidRDefault="00110EB0" w:rsidP="00110EB0">
            <w:pPr>
              <w:pStyle w:val="Akapitzlist"/>
              <w:tabs>
                <w:tab w:val="left" w:pos="283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moc całkowita: 150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W</w:t>
            </w:r>
          </w:p>
          <w:p w:rsidR="00110EB0" w:rsidRPr="00110EB0" w:rsidRDefault="00110EB0" w:rsidP="00110EB0">
            <w:pPr>
              <w:pStyle w:val="Akapitzlist"/>
              <w:tabs>
                <w:tab w:val="left" w:pos="283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typ: średniociśnieniowa rtęciowa</w:t>
            </w:r>
          </w:p>
          <w:p w:rsidR="00110EB0" w:rsidRPr="00110EB0" w:rsidRDefault="00110EB0" w:rsidP="00110EB0">
            <w:pPr>
              <w:pStyle w:val="Akapitzlist"/>
              <w:tabs>
                <w:tab w:val="left" w:pos="283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długość świetlna 44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mm</w:t>
            </w:r>
          </w:p>
          <w:p w:rsidR="00110EB0" w:rsidRPr="00110EB0" w:rsidRDefault="00110EB0" w:rsidP="00110EB0">
            <w:pPr>
              <w:pStyle w:val="Akapitzlist"/>
              <w:tabs>
                <w:tab w:val="left" w:pos="283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kompatybilna z rurą zanurzeniową z poz. 2</w:t>
            </w:r>
          </w:p>
          <w:p w:rsidR="00110EB0" w:rsidRPr="00110EB0" w:rsidRDefault="00110EB0" w:rsidP="00110EB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napToGrid w:val="0"/>
              <w:ind w:left="1559" w:hanging="1559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Rura chłodnicy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kompatybilna z rurą zanurzeniową z poz. 2 oraz naczyniem reakcyjnym z poz. 3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materiał wykonania: szkło borokrzemowe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umożliwia chłodzenie lampy UV z poz. 5 za pomocą wody bieżącej lub z </w:t>
            </w:r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agregatu chłodniczego</w:t>
            </w:r>
          </w:p>
          <w:p w:rsidR="00110EB0" w:rsidRPr="00110EB0" w:rsidRDefault="00110EB0" w:rsidP="00110EB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napToGrid w:val="0"/>
              <w:ind w:hanging="163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Układ zasilania</w:t>
            </w:r>
            <w:r w:rsidR="005C118C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II</w:t>
            </w:r>
            <w:bookmarkStart w:id="0" w:name="_GoBack"/>
            <w:bookmarkEnd w:id="0"/>
          </w:p>
          <w:p w:rsidR="00110EB0" w:rsidRPr="00110EB0" w:rsidRDefault="00110EB0" w:rsidP="00110EB0">
            <w:pPr>
              <w:pStyle w:val="Akapitzlist"/>
              <w:tabs>
                <w:tab w:val="left" w:pos="208"/>
              </w:tabs>
              <w:snapToGrid w:val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kompatybilny z lampą z poz. 5</w:t>
            </w:r>
          </w:p>
          <w:p w:rsidR="0031497E" w:rsidRPr="0066559C" w:rsidRDefault="00110EB0" w:rsidP="00110EB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10EB0">
              <w:rPr>
                <w:rFonts w:asciiTheme="minorHAnsi" w:eastAsiaTheme="minorEastAsia" w:hAnsiTheme="minorHAnsi" w:cstheme="minorBidi"/>
                <w:sz w:val="18"/>
                <w:szCs w:val="18"/>
              </w:rPr>
              <w:t>- zasilanie 230V/50Hz</w:t>
            </w:r>
          </w:p>
        </w:tc>
      </w:tr>
      <w:tr w:rsidR="00BA250A" w:rsidTr="00DC05EB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 w:rsidTr="00DC05EB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4F" w:rsidRDefault="00392D4F">
      <w:r>
        <w:separator/>
      </w:r>
    </w:p>
  </w:endnote>
  <w:endnote w:type="continuationSeparator" w:id="0">
    <w:p w:rsidR="00392D4F" w:rsidRDefault="0039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392D4F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4F" w:rsidRDefault="00392D4F">
      <w:r>
        <w:separator/>
      </w:r>
    </w:p>
  </w:footnote>
  <w:footnote w:type="continuationSeparator" w:id="0">
    <w:p w:rsidR="00392D4F" w:rsidRDefault="0039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E61FA7"/>
    <w:multiLevelType w:val="hybridMultilevel"/>
    <w:tmpl w:val="0A862CFC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543779CA"/>
    <w:multiLevelType w:val="hybridMultilevel"/>
    <w:tmpl w:val="35DED504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958D3"/>
    <w:multiLevelType w:val="hybridMultilevel"/>
    <w:tmpl w:val="AC0A7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>
    <w:nsid w:val="674457DA"/>
    <w:multiLevelType w:val="hybridMultilevel"/>
    <w:tmpl w:val="5CD031D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080E30"/>
    <w:rsid w:val="000B5EBE"/>
    <w:rsid w:val="00110EB0"/>
    <w:rsid w:val="00123C3C"/>
    <w:rsid w:val="00153DC0"/>
    <w:rsid w:val="00201755"/>
    <w:rsid w:val="002066F3"/>
    <w:rsid w:val="002F3E86"/>
    <w:rsid w:val="00305DC2"/>
    <w:rsid w:val="0031497E"/>
    <w:rsid w:val="00340160"/>
    <w:rsid w:val="0035112E"/>
    <w:rsid w:val="00392D4F"/>
    <w:rsid w:val="004B7EA2"/>
    <w:rsid w:val="004E6CBE"/>
    <w:rsid w:val="004F4590"/>
    <w:rsid w:val="004F4ABE"/>
    <w:rsid w:val="00540D0B"/>
    <w:rsid w:val="005C118C"/>
    <w:rsid w:val="005D1140"/>
    <w:rsid w:val="0060093E"/>
    <w:rsid w:val="0066559C"/>
    <w:rsid w:val="00673435"/>
    <w:rsid w:val="006C77AC"/>
    <w:rsid w:val="006D3F29"/>
    <w:rsid w:val="006F1B62"/>
    <w:rsid w:val="007165EC"/>
    <w:rsid w:val="00725629"/>
    <w:rsid w:val="00783618"/>
    <w:rsid w:val="007C3AAF"/>
    <w:rsid w:val="00833C44"/>
    <w:rsid w:val="00840C4B"/>
    <w:rsid w:val="008F19CB"/>
    <w:rsid w:val="00986EE0"/>
    <w:rsid w:val="009B6335"/>
    <w:rsid w:val="00AD5F11"/>
    <w:rsid w:val="00BA250A"/>
    <w:rsid w:val="00C32BC0"/>
    <w:rsid w:val="00CD516E"/>
    <w:rsid w:val="00CD5EF5"/>
    <w:rsid w:val="00D00BAF"/>
    <w:rsid w:val="00D92AA5"/>
    <w:rsid w:val="00DC05EB"/>
    <w:rsid w:val="00E15366"/>
    <w:rsid w:val="00F6648E"/>
    <w:rsid w:val="00F94A6E"/>
    <w:rsid w:val="00FA2291"/>
    <w:rsid w:val="00FC276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21</cp:revision>
  <cp:lastPrinted>2020-05-08T08:29:00Z</cp:lastPrinted>
  <dcterms:created xsi:type="dcterms:W3CDTF">2020-05-08T05:18:00Z</dcterms:created>
  <dcterms:modified xsi:type="dcterms:W3CDTF">2020-09-03T10:22:00Z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