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0A" w:rsidRDefault="007C3AAF" w:rsidP="00E15366">
      <w:pPr>
        <w:pStyle w:val="Tekstpodstawowywcity"/>
        <w:widowControl w:val="0"/>
        <w:tabs>
          <w:tab w:val="left" w:pos="1211"/>
        </w:tabs>
        <w:spacing w:after="0"/>
        <w:ind w:left="360"/>
        <w:jc w:val="both"/>
      </w:pPr>
      <w:r>
        <w:rPr>
          <w:rStyle w:val="Domylnaczcionkaakapitu1"/>
          <w:rFonts w:ascii="Calibri" w:hAnsi="Calibri" w:cs="Arial"/>
          <w:i/>
          <w:sz w:val="18"/>
          <w:szCs w:val="18"/>
        </w:rPr>
        <w:t>Załącznik nr 1 do zaproszenia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i/>
          <w:sz w:val="18"/>
          <w:szCs w:val="18"/>
          <w:lang w:eastAsia="pl-PL"/>
        </w:rPr>
      </w:pP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p w:rsidR="00BA250A" w:rsidRPr="00E15366" w:rsidRDefault="007C3AAF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jc w:val="center"/>
        <w:rPr>
          <w:rFonts w:ascii="Calibri" w:hAnsi="Calibri"/>
          <w:b/>
          <w:sz w:val="18"/>
          <w:szCs w:val="18"/>
          <w:lang w:eastAsia="pl-PL"/>
        </w:rPr>
      </w:pPr>
      <w:r w:rsidRPr="00E15366">
        <w:rPr>
          <w:rFonts w:ascii="Calibri" w:hAnsi="Calibri"/>
          <w:b/>
          <w:sz w:val="18"/>
          <w:szCs w:val="18"/>
          <w:lang w:eastAsia="pl-PL"/>
        </w:rPr>
        <w:t>OPIS PRZEDMIOTU ZAMÓWIENIA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p w:rsidR="00340160" w:rsidRPr="00340160" w:rsidRDefault="00340160" w:rsidP="00340160">
      <w:pPr>
        <w:spacing w:after="0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340160">
        <w:rPr>
          <w:rFonts w:ascii="Calibri" w:hAnsi="Calibri" w:cs="Calibri"/>
          <w:b/>
          <w:sz w:val="20"/>
          <w:szCs w:val="20"/>
        </w:rPr>
        <w:t>„</w:t>
      </w:r>
      <w:r w:rsidRPr="00340160">
        <w:rPr>
          <w:rFonts w:ascii="Calibri" w:hAnsi="Calibri" w:cs="Calibri"/>
          <w:b/>
          <w:sz w:val="20"/>
          <w:szCs w:val="20"/>
          <w:u w:val="single"/>
        </w:rPr>
        <w:t>Dostawa mętnościomierza laboratoryjnego do UMCS”</w:t>
      </w:r>
    </w:p>
    <w:p w:rsidR="00340160" w:rsidRPr="00340160" w:rsidRDefault="00340160" w:rsidP="00340160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340160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40160">
        <w:rPr>
          <w:rFonts w:ascii="Calibri" w:hAnsi="Calibri" w:cs="Calibri"/>
          <w:b/>
          <w:bCs/>
          <w:sz w:val="20"/>
          <w:szCs w:val="20"/>
          <w:u w:val="single"/>
        </w:rPr>
        <w:t>(PU/32-2020/DZP-a)</w:t>
      </w:r>
    </w:p>
    <w:p w:rsidR="00BA250A" w:rsidRDefault="00BA250A" w:rsidP="00E15366">
      <w:pPr>
        <w:spacing w:after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BA250A" w:rsidRDefault="00BA250A" w:rsidP="00E15366">
      <w:pPr>
        <w:spacing w:after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BA250A" w:rsidRDefault="007C3AAF" w:rsidP="00E15366">
      <w:pPr>
        <w:spacing w:after="0"/>
        <w:jc w:val="both"/>
      </w:pPr>
      <w:r>
        <w:rPr>
          <w:rStyle w:val="Domylnaczcionkaakapitu1"/>
          <w:rFonts w:ascii="Calibri" w:hAnsi="Calibri" w:cs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Style w:val="Domylnaczcionkaakapitu1"/>
          <w:rFonts w:ascii="Calibri" w:hAnsi="Calibri" w:cs="Calibri"/>
          <w:b/>
          <w:sz w:val="18"/>
          <w:szCs w:val="18"/>
        </w:rPr>
        <w:t>2019r.</w:t>
      </w:r>
      <w:r>
        <w:rPr>
          <w:rStyle w:val="Domylnaczcionkaakapitu1"/>
          <w:rFonts w:ascii="Calibri" w:hAnsi="Calibri" w:cs="Calibri"/>
          <w:sz w:val="18"/>
          <w:szCs w:val="18"/>
        </w:rPr>
        <w:t>, a także musi spełniać wymagania techniczno-funkcjonalne wyszczególnione w opisie przedmiotu zamówienia.</w:t>
      </w:r>
    </w:p>
    <w:p w:rsidR="00BA250A" w:rsidRDefault="00BA250A" w:rsidP="00E15366">
      <w:pPr>
        <w:spacing w:after="0"/>
        <w:jc w:val="both"/>
        <w:rPr>
          <w:rFonts w:ascii="Calibri" w:hAnsi="Calibri" w:cs="Calibri"/>
          <w:b/>
          <w:sz w:val="18"/>
          <w:szCs w:val="18"/>
        </w:rPr>
      </w:pPr>
    </w:p>
    <w:p w:rsidR="00BA250A" w:rsidRDefault="00BA250A" w:rsidP="00E15366">
      <w:pPr>
        <w:spacing w:after="0"/>
        <w:jc w:val="both"/>
        <w:rPr>
          <w:rFonts w:ascii="Calibri" w:hAnsi="Calibri" w:cs="Calibri"/>
          <w:b/>
          <w:sz w:val="18"/>
          <w:szCs w:val="18"/>
        </w:rPr>
      </w:pPr>
    </w:p>
    <w:p w:rsidR="00BA250A" w:rsidRDefault="00BA250A" w:rsidP="00E15366">
      <w:pPr>
        <w:tabs>
          <w:tab w:val="left" w:pos="0"/>
        </w:tabs>
        <w:spacing w:after="0"/>
        <w:rPr>
          <w:rFonts w:ascii="Calibri" w:hAnsi="Calibri" w:cs="Arial"/>
          <w:b/>
          <w:sz w:val="18"/>
          <w:szCs w:val="1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26"/>
        <w:gridCol w:w="9888"/>
      </w:tblGrid>
      <w:tr w:rsidR="00BA250A" w:rsidTr="00DC05EB"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napToGri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0A" w:rsidRDefault="007C3AAF" w:rsidP="00E15366">
            <w:pPr>
              <w:snapToGrid w:val="0"/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BA250A" w:rsidTr="00DC05EB">
        <w:trPr>
          <w:trHeight w:val="27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2E" w:rsidRDefault="00DC05EB" w:rsidP="00DC05EB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Mętnościomierz laboratoryjny (nefelometr) o parametrach nie gorszych niż:</w:t>
            </w:r>
          </w:p>
          <w:p w:rsidR="00DC05EB" w:rsidRDefault="00DC05EB" w:rsidP="00DC05EB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podświetlany graficzny ekran</w:t>
            </w:r>
          </w:p>
          <w:p w:rsidR="00DC05EB" w:rsidRDefault="00DC05EB" w:rsidP="00DC05EB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zakres FNU: od 0,00 do 9,99; od 10,0 do 99,9; od 100 do 1000 FNU</w:t>
            </w:r>
          </w:p>
          <w:p w:rsidR="00DC05EB" w:rsidRDefault="00DC05EB" w:rsidP="00DC05EB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zakres FAU: od 10,0 do 99,9; od 100 do 4000 FAU</w:t>
            </w:r>
          </w:p>
          <w:p w:rsidR="00DC05EB" w:rsidRDefault="00DC05EB" w:rsidP="00DC05EB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zakres NTU ratio: od 0,00 do 9,99; od 10,0 do 99,9; od 100 do 4000 NTU; od 0,00 do 9,99; od 10,0 do 99,9; od 100 do 980 EBC</w:t>
            </w:r>
          </w:p>
          <w:p w:rsidR="00DC05EB" w:rsidRDefault="00DC05EB" w:rsidP="00DC05EB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zakres NTU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nie 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ratio: od 0,00 do 9,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99; od 10,0 do 99,9; od 100 do 1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000 NTU; od 0,00 do 9,99; od 10,0 do 99,9; od 100 do 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245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EBC</w:t>
            </w:r>
          </w:p>
          <w:p w:rsidR="00DC05EB" w:rsidRDefault="00DC05EB" w:rsidP="00DC05EB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wybór zakresu: automatyczny</w:t>
            </w:r>
          </w:p>
          <w:p w:rsidR="00DC05EB" w:rsidRDefault="00DC05EB" w:rsidP="00DC05EB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rozdzielczość FNU: 0,01; 0,1; 1 FNU</w:t>
            </w:r>
          </w:p>
          <w:p w:rsidR="00DC05EB" w:rsidRPr="004F4590" w:rsidRDefault="00DC05EB" w:rsidP="00DC05EB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rozdzielczość FAU: 0,1; 1 FAU</w:t>
            </w:r>
            <w:bookmarkStart w:id="0" w:name="_GoBack"/>
          </w:p>
          <w:p w:rsidR="006F1B62" w:rsidRPr="004F4590" w:rsidRDefault="00DC05EB" w:rsidP="006F1B6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F459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- </w:t>
            </w:r>
            <w:r w:rsidR="006F1B62" w:rsidRPr="004F4590">
              <w:rPr>
                <w:rFonts w:asciiTheme="minorHAnsi" w:eastAsiaTheme="minorEastAsia" w:hAnsiTheme="minorHAnsi" w:cstheme="minorBidi"/>
                <w:sz w:val="18"/>
                <w:szCs w:val="18"/>
              </w:rPr>
              <w:t>rozdzielczość NTU ratio: 0,01; 0,1; 1 NTU/0,01; 0,1; 1 EBC</w:t>
            </w:r>
          </w:p>
          <w:p w:rsidR="006F1B62" w:rsidRPr="004F4590" w:rsidRDefault="006F1B62" w:rsidP="006F1B6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F4590">
              <w:rPr>
                <w:rFonts w:asciiTheme="minorHAnsi" w:eastAsiaTheme="minorEastAsia" w:hAnsiTheme="minorHAnsi" w:cstheme="minorBidi"/>
                <w:sz w:val="18"/>
                <w:szCs w:val="18"/>
              </w:rPr>
              <w:t>- rozdzielczość NTU nie ratio: 0,01; 0,1; 1 NTU/0,01; 0,1; 1 EBC</w:t>
            </w:r>
          </w:p>
          <w:p w:rsidR="006F1B62" w:rsidRPr="004F4590" w:rsidRDefault="006F1B62" w:rsidP="006F1B6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F4590">
              <w:rPr>
                <w:rFonts w:asciiTheme="minorHAnsi" w:eastAsiaTheme="minorEastAsia" w:hAnsiTheme="minorHAnsi" w:cstheme="minorBidi"/>
                <w:sz w:val="18"/>
                <w:szCs w:val="18"/>
              </w:rPr>
              <w:t>- dokładność FNU: 2% odczytu + szumu tła lub lepsza</w:t>
            </w:r>
          </w:p>
          <w:p w:rsidR="006F1B62" w:rsidRPr="004F4590" w:rsidRDefault="006F1B62" w:rsidP="006F1B6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F4590">
              <w:rPr>
                <w:rFonts w:asciiTheme="minorHAnsi" w:eastAsiaTheme="minorEastAsia" w:hAnsiTheme="minorHAnsi" w:cstheme="minorBidi"/>
                <w:sz w:val="18"/>
                <w:szCs w:val="18"/>
              </w:rPr>
              <w:t>- dokładność FAU: 10% odczytu lub lepsza</w:t>
            </w:r>
          </w:p>
          <w:p w:rsidR="006F1B62" w:rsidRPr="004F4590" w:rsidRDefault="006F1B62" w:rsidP="006F1B6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F4590">
              <w:rPr>
                <w:rFonts w:asciiTheme="minorHAnsi" w:eastAsiaTheme="minorEastAsia" w:hAnsiTheme="minorHAnsi" w:cstheme="minorBidi"/>
                <w:sz w:val="18"/>
                <w:szCs w:val="18"/>
              </w:rPr>
              <w:t>- dokładność NTU ratio: 2% odczytu + szumu tła; 5% odczytu powyżej 1000 NTU lub lepsza</w:t>
            </w:r>
          </w:p>
          <w:p w:rsidR="006F1B62" w:rsidRPr="004F4590" w:rsidRDefault="006F1B62" w:rsidP="006F1B6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F4590">
              <w:rPr>
                <w:rFonts w:asciiTheme="minorHAnsi" w:eastAsiaTheme="minorEastAsia" w:hAnsiTheme="minorHAnsi" w:cstheme="minorBidi"/>
                <w:sz w:val="18"/>
                <w:szCs w:val="18"/>
              </w:rPr>
              <w:t>- dokładność NTU nie  ratio: 2% odczytu + szumu tła lub lepsza</w:t>
            </w:r>
          </w:p>
          <w:p w:rsidR="006F1B62" w:rsidRPr="004F4590" w:rsidRDefault="006F1B62" w:rsidP="006F1B6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F4590">
              <w:rPr>
                <w:rFonts w:asciiTheme="minorHAnsi" w:eastAsiaTheme="minorEastAsia" w:hAnsiTheme="minorHAnsi" w:cstheme="minorBidi"/>
                <w:sz w:val="18"/>
                <w:szCs w:val="18"/>
              </w:rPr>
              <w:t>- powtarzalność: 1% odczytu lub szumu tła najwyższej wartości</w:t>
            </w:r>
          </w:p>
          <w:p w:rsidR="006F1B62" w:rsidRPr="004F4590" w:rsidRDefault="006F1B62" w:rsidP="006F1B6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F4590">
              <w:rPr>
                <w:rFonts w:asciiTheme="minorHAnsi" w:eastAsiaTheme="minorEastAsia" w:hAnsiTheme="minorHAnsi" w:cstheme="minorBidi"/>
                <w:sz w:val="18"/>
                <w:szCs w:val="18"/>
              </w:rPr>
              <w:t>- szum tła (zakłócenie światła) &lt;0,1 NTU (0,05 EBC)</w:t>
            </w:r>
          </w:p>
          <w:p w:rsidR="006F1B62" w:rsidRPr="004F4590" w:rsidRDefault="006F1B62" w:rsidP="006F1B6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F4590">
              <w:rPr>
                <w:rFonts w:asciiTheme="minorHAnsi" w:eastAsiaTheme="minorEastAsia" w:hAnsiTheme="minorHAnsi" w:cstheme="minorBidi"/>
                <w:sz w:val="18"/>
                <w:szCs w:val="18"/>
              </w:rPr>
              <w:t>- wykrywacz światła: światłoczuły sensor krzemowy</w:t>
            </w:r>
          </w:p>
          <w:p w:rsidR="006F1B62" w:rsidRPr="004F4590" w:rsidRDefault="006F1B62" w:rsidP="006F1B6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F4590">
              <w:rPr>
                <w:rFonts w:asciiTheme="minorHAnsi" w:eastAsiaTheme="minorEastAsia" w:hAnsiTheme="minorHAnsi" w:cstheme="minorBidi"/>
                <w:sz w:val="18"/>
                <w:szCs w:val="18"/>
              </w:rPr>
              <w:t>- źródło światła LED dioda czerwona</w:t>
            </w:r>
          </w:p>
          <w:p w:rsidR="006F1B62" w:rsidRPr="004F4590" w:rsidRDefault="006F1B62" w:rsidP="006F1B6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F4590">
              <w:rPr>
                <w:rFonts w:asciiTheme="minorHAnsi" w:eastAsiaTheme="minorEastAsia" w:hAnsiTheme="minorHAnsi" w:cstheme="minorBidi"/>
                <w:sz w:val="18"/>
                <w:szCs w:val="18"/>
              </w:rPr>
              <w:t>- sposoby pomiaru: pojedynczy, wartość średnia, stały</w:t>
            </w:r>
          </w:p>
          <w:p w:rsidR="006F1B62" w:rsidRPr="004F4590" w:rsidRDefault="006F1B62" w:rsidP="006F1B6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F4590">
              <w:rPr>
                <w:rFonts w:asciiTheme="minorHAnsi" w:eastAsiaTheme="minorEastAsia" w:hAnsiTheme="minorHAnsi" w:cstheme="minorBidi"/>
                <w:sz w:val="18"/>
                <w:szCs w:val="18"/>
              </w:rPr>
              <w:t>- wybór kalibracji: &lt;0,1, 15, 100, 750 FNU y 2000 NTU</w:t>
            </w:r>
          </w:p>
          <w:p w:rsidR="006F1B62" w:rsidRPr="004F4590" w:rsidRDefault="006F1B62" w:rsidP="006F1B6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F4590">
              <w:rPr>
                <w:rFonts w:asciiTheme="minorHAnsi" w:eastAsiaTheme="minorEastAsia" w:hAnsiTheme="minorHAnsi" w:cstheme="minorBidi"/>
                <w:sz w:val="18"/>
                <w:szCs w:val="18"/>
              </w:rPr>
              <w:t>- kalibracja w 2,3 lub 4 punktach po teście 0</w:t>
            </w:r>
          </w:p>
          <w:p w:rsidR="006F1B62" w:rsidRPr="004F4590" w:rsidRDefault="006F1B62" w:rsidP="006F1B6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F4590">
              <w:rPr>
                <w:rFonts w:asciiTheme="minorHAnsi" w:eastAsiaTheme="minorEastAsia" w:hAnsiTheme="minorHAnsi" w:cstheme="minorBidi"/>
                <w:sz w:val="18"/>
                <w:szCs w:val="18"/>
              </w:rPr>
              <w:t>- łącze do komputera : port USB</w:t>
            </w:r>
          </w:p>
          <w:bookmarkEnd w:id="0"/>
          <w:p w:rsidR="006F1B62" w:rsidRPr="00305DC2" w:rsidRDefault="006F1B62" w:rsidP="00673435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zasilanie: zasilacz sieciowy 12 V</w:t>
            </w:r>
          </w:p>
        </w:tc>
      </w:tr>
      <w:tr w:rsidR="00BA250A" w:rsidTr="00DC05EB">
        <w:trPr>
          <w:trHeight w:val="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0A" w:rsidRDefault="007C3AAF" w:rsidP="00E15366">
            <w:pPr>
              <w:tabs>
                <w:tab w:val="left" w:pos="33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Gwarancja: minimum  1</w:t>
            </w:r>
            <w:r>
              <w:rPr>
                <w:rFonts w:asciiTheme="minorHAnsi" w:hAnsiTheme="minorHAnsi" w:cs="Arial"/>
                <w:sz w:val="18"/>
                <w:szCs w:val="18"/>
                <w:lang w:val="pl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miesięcy </w:t>
            </w:r>
          </w:p>
        </w:tc>
      </w:tr>
      <w:tr w:rsidR="00BA250A" w:rsidTr="00DC05EB"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Bezpłatny serwis gwarancyjny na czas trwania gwarancji: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naprawę w miejscu użytkowania sprzętu;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BA250A" w:rsidRDefault="007C3AAF" w:rsidP="00E15366">
      <w:pPr>
        <w:tabs>
          <w:tab w:val="left" w:pos="0"/>
        </w:tabs>
        <w:spacing w:after="0"/>
        <w:rPr>
          <w:rFonts w:ascii="Calibri" w:hAnsi="Calibri" w:cs="Arial"/>
          <w:b/>
          <w:sz w:val="18"/>
          <w:szCs w:val="18"/>
          <w:lang w:val="pl"/>
        </w:rPr>
      </w:pPr>
      <w:r>
        <w:rPr>
          <w:rFonts w:ascii="Calibri" w:hAnsi="Calibri" w:cs="Arial"/>
          <w:b/>
          <w:sz w:val="18"/>
          <w:szCs w:val="18"/>
          <w:lang w:val="pl"/>
        </w:rPr>
        <w:t xml:space="preserve"> 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sectPr w:rsidR="00BA250A">
      <w:footerReference w:type="default" r:id="rId9"/>
      <w:pgSz w:w="11906" w:h="16838"/>
      <w:pgMar w:top="708" w:right="707" w:bottom="425" w:left="992" w:header="0" w:footer="295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C0" w:rsidRDefault="00153DC0">
      <w:r>
        <w:separator/>
      </w:r>
    </w:p>
  </w:endnote>
  <w:endnote w:type="continuationSeparator" w:id="0">
    <w:p w:rsidR="00153DC0" w:rsidRDefault="0015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'Times New Rom">
    <w:altName w:val="Times New Roman"/>
    <w:charset w:val="00"/>
    <w:family w:val="auto"/>
    <w:pitch w:val="default"/>
  </w:font>
  <w:font w:name="Myriad Pro">
    <w:altName w:val="Gubbi"/>
    <w:charset w:val="01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0A" w:rsidRDefault="007C3AAF">
    <w:pPr>
      <w:pStyle w:val="Stopka"/>
      <w:jc w:val="right"/>
    </w:pPr>
    <w:r>
      <w:rPr>
        <w:rStyle w:val="Domylnaczcionkaakapitu1"/>
        <w:rFonts w:ascii="Calibri" w:hAnsi="Calibri" w:cs="Calibri"/>
        <w:sz w:val="16"/>
        <w:szCs w:val="16"/>
      </w:rPr>
      <w:fldChar w:fldCharType="begin"/>
    </w:r>
    <w:r>
      <w:rPr>
        <w:rStyle w:val="Domylnaczcionkaakapitu1"/>
        <w:rFonts w:ascii="Calibri" w:hAnsi="Calibri" w:cs="Calibri"/>
        <w:sz w:val="16"/>
        <w:szCs w:val="16"/>
      </w:rPr>
      <w:instrText>PAGE</w:instrText>
    </w:r>
    <w:r>
      <w:rPr>
        <w:rStyle w:val="Domylnaczcionkaakapitu1"/>
        <w:rFonts w:ascii="Calibri" w:hAnsi="Calibri" w:cs="Calibri"/>
        <w:sz w:val="16"/>
        <w:szCs w:val="16"/>
      </w:rPr>
      <w:fldChar w:fldCharType="separate"/>
    </w:r>
    <w:r w:rsidR="00153DC0">
      <w:rPr>
        <w:rStyle w:val="Domylnaczcionkaakapitu1"/>
        <w:rFonts w:ascii="Calibri" w:hAnsi="Calibri" w:cs="Calibri"/>
        <w:noProof/>
        <w:sz w:val="16"/>
        <w:szCs w:val="16"/>
      </w:rPr>
      <w:t>1</w:t>
    </w:r>
    <w:r>
      <w:rPr>
        <w:rStyle w:val="Domylnaczcionkaakapitu1"/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C0" w:rsidRDefault="00153DC0">
      <w:r>
        <w:separator/>
      </w:r>
    </w:p>
  </w:footnote>
  <w:footnote w:type="continuationSeparator" w:id="0">
    <w:p w:rsidR="00153DC0" w:rsidRDefault="00153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972024"/>
    <w:multiLevelType w:val="multilevel"/>
    <w:tmpl w:val="C39720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43779CA"/>
    <w:multiLevelType w:val="hybridMultilevel"/>
    <w:tmpl w:val="35DED504"/>
    <w:lvl w:ilvl="0" w:tplc="3E7EC0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958D3"/>
    <w:multiLevelType w:val="hybridMultilevel"/>
    <w:tmpl w:val="AC0A75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BA250A"/>
    <w:rsid w:val="DFFA473B"/>
    <w:rsid w:val="000056A6"/>
    <w:rsid w:val="00080E30"/>
    <w:rsid w:val="00123C3C"/>
    <w:rsid w:val="00153DC0"/>
    <w:rsid w:val="00305DC2"/>
    <w:rsid w:val="00340160"/>
    <w:rsid w:val="0035112E"/>
    <w:rsid w:val="004B7EA2"/>
    <w:rsid w:val="004E6CBE"/>
    <w:rsid w:val="004F4590"/>
    <w:rsid w:val="0060093E"/>
    <w:rsid w:val="00673435"/>
    <w:rsid w:val="006F1B62"/>
    <w:rsid w:val="007165EC"/>
    <w:rsid w:val="00783618"/>
    <w:rsid w:val="007C3AAF"/>
    <w:rsid w:val="00833C44"/>
    <w:rsid w:val="00840C4B"/>
    <w:rsid w:val="00AD5F11"/>
    <w:rsid w:val="00BA250A"/>
    <w:rsid w:val="00CD5EF5"/>
    <w:rsid w:val="00DC05EB"/>
    <w:rsid w:val="00E15366"/>
    <w:rsid w:val="00FA2291"/>
    <w:rsid w:val="35F3BCFE"/>
    <w:rsid w:val="77FF9890"/>
    <w:rsid w:val="7FB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endnote text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Domylnaczcionkaakapitu1">
    <w:name w:val="Domyślna czcionka akapitu1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Numerstrony1">
    <w:name w:val="Numer strony1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</w:pPr>
  </w:style>
  <w:style w:type="paragraph" w:customStyle="1" w:styleId="Normalny1">
    <w:name w:val="Normalny1"/>
    <w:qFormat/>
    <w:pPr>
      <w:widowControl w:val="0"/>
      <w:suppressAutoHyphens/>
      <w:spacing w:line="240" w:lineRule="auto"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  <w:spacing w:line="240" w:lineRule="auto"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 w:line="240" w:lineRule="auto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0">
    <w:name w:val="Bez odstępów1"/>
    <w:qFormat/>
    <w:pPr>
      <w:widowControl w:val="0"/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Mapadokumentu1">
    <w:name w:val="Mapa dokumentu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Poprawka1">
    <w:name w:val="Poprawka1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99"/>
    <w:unhideWhenUsed/>
    <w:rsid w:val="00600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11</cp:revision>
  <cp:lastPrinted>2020-05-08T08:29:00Z</cp:lastPrinted>
  <dcterms:created xsi:type="dcterms:W3CDTF">2020-05-08T05:18:00Z</dcterms:created>
  <dcterms:modified xsi:type="dcterms:W3CDTF">2020-07-09T15:47:00Z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