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99" w:rsidRPr="00E2411D" w:rsidRDefault="00B36099" w:rsidP="00B36099">
      <w:pPr>
        <w:pStyle w:val="Tytu"/>
        <w:rPr>
          <w:color w:val="000000" w:themeColor="text1"/>
        </w:rPr>
      </w:pPr>
      <w:bookmarkStart w:id="0" w:name="_GoBack"/>
      <w:r w:rsidRPr="00E2411D">
        <w:rPr>
          <w:color w:val="000000" w:themeColor="text1"/>
        </w:rPr>
        <w:t xml:space="preserve"> Zaplecze materialne </w:t>
      </w:r>
      <w:r w:rsidRPr="00E2411D">
        <w:rPr>
          <w:color w:val="000000" w:themeColor="text1"/>
          <w:lang w:eastAsia="en-US"/>
        </w:rPr>
        <w:t>Wydziału Humanistycznego UMCS</w:t>
      </w:r>
    </w:p>
    <w:bookmarkEnd w:id="0"/>
    <w:p w:rsidR="00B36099" w:rsidRPr="00E2411D" w:rsidRDefault="00B36099" w:rsidP="00B36099">
      <w:pPr>
        <w:rPr>
          <w:rFonts w:cs="Cambria"/>
          <w:b/>
          <w:bCs/>
          <w:color w:val="000000" w:themeColor="text1"/>
        </w:rPr>
      </w:pPr>
    </w:p>
    <w:p w:rsidR="00B36099" w:rsidRPr="00E2411D" w:rsidRDefault="00B36099" w:rsidP="00F24B74">
      <w:pPr>
        <w:pStyle w:val="Nagwek3"/>
        <w:numPr>
          <w:ilvl w:val="0"/>
          <w:numId w:val="7"/>
        </w:numPr>
        <w:ind w:left="426"/>
      </w:pPr>
      <w:r w:rsidRPr="00E2411D">
        <w:t>Minimalne wyposażenie sali dydaktycznej</w:t>
      </w:r>
    </w:p>
    <w:p w:rsidR="00B36099" w:rsidRPr="00E2411D" w:rsidRDefault="00B36099" w:rsidP="00F24B74">
      <w:pPr>
        <w:pStyle w:val="Nagwek1"/>
        <w:numPr>
          <w:ilvl w:val="0"/>
          <w:numId w:val="11"/>
        </w:numPr>
      </w:pPr>
      <w:r w:rsidRPr="00E2411D">
        <w:t>Sale wykładowe i ćwiczeniowe:</w:t>
      </w:r>
    </w:p>
    <w:p w:rsidR="00B36099" w:rsidRPr="00E2411D" w:rsidRDefault="00B36099" w:rsidP="00F24B74">
      <w:pPr>
        <w:pStyle w:val="anumeracja"/>
        <w:numPr>
          <w:ilvl w:val="0"/>
          <w:numId w:val="8"/>
        </w:numPr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stolik/biurko z krzesłem dla wykładowcy;</w:t>
      </w:r>
    </w:p>
    <w:p w:rsidR="00B36099" w:rsidRPr="00E2411D" w:rsidRDefault="00B36099" w:rsidP="00B36099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stoliki z kompletem krzeseł dla studentów;</w:t>
      </w:r>
    </w:p>
    <w:p w:rsidR="00B36099" w:rsidRPr="00E2411D" w:rsidRDefault="00B36099" w:rsidP="00B36099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tablica szkolna;</w:t>
      </w:r>
    </w:p>
    <w:p w:rsidR="00B36099" w:rsidRPr="00E2411D" w:rsidRDefault="00B36099" w:rsidP="00B36099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opcjonalnie: rzutnik, projektor multimedialny, telewizor, nagłośnienie, laptop.</w:t>
      </w:r>
    </w:p>
    <w:p w:rsidR="00B36099" w:rsidRPr="00E2411D" w:rsidRDefault="00B36099" w:rsidP="00B36099">
      <w:pPr>
        <w:pStyle w:val="Nagwek1"/>
      </w:pPr>
      <w:r w:rsidRPr="00E2411D">
        <w:t>Sale komputerowe:</w:t>
      </w:r>
    </w:p>
    <w:p w:rsidR="00B36099" w:rsidRPr="00E2411D" w:rsidRDefault="00B36099" w:rsidP="00F24B74">
      <w:pPr>
        <w:pStyle w:val="anumeracja"/>
        <w:numPr>
          <w:ilvl w:val="0"/>
          <w:numId w:val="9"/>
        </w:numPr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stoliki komputerowe z krzesłami;</w:t>
      </w:r>
    </w:p>
    <w:p w:rsidR="00B36099" w:rsidRPr="00E2411D" w:rsidRDefault="00B36099" w:rsidP="00B36099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stanowisko komputerowe dla wykładowcy, wyposażone w komputer połączony z Internetem, wyposażony w oprogramowanie właściwe dla pracowni oraz zestaw urządzeń peryferyjnych, takich jak nagrywarka CD/DVD, drukarka i skaner;</w:t>
      </w:r>
    </w:p>
    <w:p w:rsidR="00B36099" w:rsidRPr="00E2411D" w:rsidRDefault="00B36099" w:rsidP="00B36099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stanowiska komputerowe dla studentów, wyposażone w jednostkę centralną, ekran, klawiaturę i mysz lub laptop, z dostępem do Internetu, z oprogramowaniem właściwym dla pracowni;</w:t>
      </w:r>
    </w:p>
    <w:p w:rsidR="00B36099" w:rsidRPr="00E2411D" w:rsidRDefault="00B36099" w:rsidP="00B36099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tablica szkolna;</w:t>
      </w:r>
    </w:p>
    <w:p w:rsidR="00B36099" w:rsidRPr="00E2411D" w:rsidRDefault="00B36099" w:rsidP="00B36099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zestawy komputerowe lub notebooki;</w:t>
      </w:r>
    </w:p>
    <w:p w:rsidR="00B36099" w:rsidRPr="00E2411D" w:rsidRDefault="00B36099" w:rsidP="00B36099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rzutnik multimedialny.</w:t>
      </w:r>
    </w:p>
    <w:p w:rsidR="00B36099" w:rsidRPr="00E2411D" w:rsidRDefault="00B36099" w:rsidP="00B36099">
      <w:pPr>
        <w:pStyle w:val="Nagwek1"/>
      </w:pPr>
      <w:r w:rsidRPr="00E2411D">
        <w:t>Laboratorium językowe:</w:t>
      </w:r>
    </w:p>
    <w:p w:rsidR="00B36099" w:rsidRPr="00E2411D" w:rsidRDefault="00B36099" w:rsidP="00F24B74">
      <w:pPr>
        <w:pStyle w:val="anumeracja"/>
        <w:numPr>
          <w:ilvl w:val="0"/>
          <w:numId w:val="10"/>
        </w:numPr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stoliki laboratoryjne z krzesłami;</w:t>
      </w:r>
    </w:p>
    <w:p w:rsidR="00B36099" w:rsidRPr="00E2411D" w:rsidRDefault="00B36099" w:rsidP="00B36099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stanowiska laboratoryjne wyposażone w pulpity ze słuchawkami i mikrofonami dla wykładowcy i studentów;</w:t>
      </w:r>
    </w:p>
    <w:p w:rsidR="00B36099" w:rsidRPr="00E2411D" w:rsidRDefault="00B36099" w:rsidP="00B36099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tablica szkolna.</w:t>
      </w:r>
    </w:p>
    <w:p w:rsidR="00B36099" w:rsidRPr="00E2411D" w:rsidRDefault="00B36099" w:rsidP="009D4112">
      <w:r w:rsidRPr="00E2411D">
        <w:lastRenderedPageBreak/>
        <w:t>Wymienione sale dydaktyczne, laboratoria naukowe oraz ich wyposażenie są zgodne z potrzebami procesu nauczania i uczenia się, adekwatne do rzeczywistych warunków przyszłej pracy badawczej/zawodowej oraz umożliwiają osiągnięcie przez studentów efektów uczenia się, w tym przygotowanie do prowadzenia działalności naukowej lub udział w tej działalności oraz prawidłową realizację zajęć. Sale dydaktyczne dostosowane są także do rzeczywistych warunków przyszłej pracy zawodowej, umożliwiają prawidłową realizację zajęć, w tym prowadzenie zajęć kształtujących umiejętności praktyczne w warunkach właściwych dla zakresu działalności zawodowej w obszarach zawodowego rynku pracy związanych z kierunkiem.</w:t>
      </w:r>
    </w:p>
    <w:p w:rsidR="00B36099" w:rsidRPr="00E2411D" w:rsidRDefault="00B36099" w:rsidP="009D4112">
      <w:r w:rsidRPr="00E2411D">
        <w:t>Infrastruktura wymienionych sal obejmująca: sprzęt informatyczny, wyposażenie techniczne pomieszczeń i inne środki aparaturowe i dydaktyczne jest sprawna, nowoczesna, nieodbiegające od aktualnie używanych w działalności naukowej, a także używanych w działalności zawodowej w obszarach zawodowego rynku pracy właściwych dla kierunku oraz umożliwia prawidłową realizację zajęć, w tym z wykorzystaniem zaawansowanych technik informacyjno-komunikacyjnych.</w:t>
      </w:r>
    </w:p>
    <w:p w:rsidR="00B36099" w:rsidRPr="00E2411D" w:rsidRDefault="00B36099" w:rsidP="009D4112">
      <w:r w:rsidRPr="00E2411D">
        <w:t xml:space="preserve">Wymienione sale dydaktyczne i pracownie pod względem ich liczby, wielkości i układu pomieszczeń oraz wyposażenia technicznego, liczby stanowisk badawczych, komputerowych, licencji na specjalistyczne oprogramowanie itp. są dostosowane do liczby studentów oraz liczebności grup i umożliwiają prawidłową realizację zajęć, w tym samodzielne wykonywanie czynności badawczych i praktycznych przez studentów. </w:t>
      </w:r>
    </w:p>
    <w:p w:rsidR="00B36099" w:rsidRPr="00E2411D" w:rsidRDefault="00B36099" w:rsidP="009D4112">
      <w:r w:rsidRPr="00E2411D">
        <w:t xml:space="preserve">Zapewniona jest zgodność infrastruktury dydaktycznej, naukowej i bibliotecznej oraz zasad korzystania z niej z przepisami BHP. </w:t>
      </w:r>
    </w:p>
    <w:p w:rsidR="00B36099" w:rsidRPr="00E2411D" w:rsidRDefault="00B36099" w:rsidP="009D4112">
      <w:r w:rsidRPr="00E2411D">
        <w:t xml:space="preserve">W przypadku kierunków studiów przygotowujących do wykonywania zawodów, o których mowa w art. 68 ust. 1 ustawy z dnia 20 lipca 2018 r. Prawo o szkolnictwie wyższym i nauce (Dz. U. poz. 1668), infrastruktura dydaktyczna i naukowa uczelni, a także infrastruktura innych podmiotów, w których odbywają się zajęcia są zgodne z regułami i wymaganiami zawartymi w standardach kształcenia określonych w rozporządzeniach wydanych na podstawie art. 68 ust. 3 ustawy z dnia 20 lipca 2018 r. Prawo o szkolnictwie wyższym i nauce. </w:t>
      </w:r>
    </w:p>
    <w:p w:rsidR="00B36099" w:rsidRPr="00E2411D" w:rsidRDefault="00B36099" w:rsidP="00B36099">
      <w:pPr>
        <w:pStyle w:val="Nagwek3"/>
      </w:pPr>
      <w:r w:rsidRPr="00E2411D">
        <w:t>Zasady dostępu do sprzętu komputerowego</w:t>
      </w:r>
    </w:p>
    <w:p w:rsidR="00B36099" w:rsidRPr="00E2411D" w:rsidRDefault="00B36099" w:rsidP="00B36099">
      <w:pPr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W trakcie zajęć dydaktycznych studenci mają dostęp do stanowisk komputerowych w odpowiednich pracowniach.</w:t>
      </w:r>
    </w:p>
    <w:p w:rsidR="00B36099" w:rsidRPr="00E2411D" w:rsidRDefault="00B36099" w:rsidP="00B36099">
      <w:pPr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lastRenderedPageBreak/>
        <w:t>W czasie wolnym od zajęć dydaktycznych studenci mogą korzystać ze stanowisk komputerowych znajdujących się w Bibliotece Głównej UMCS oraz Bibliotece Wydziałowej i bibliotekach instytutowych.</w:t>
      </w:r>
    </w:p>
    <w:p w:rsidR="00B36099" w:rsidRPr="00E2411D" w:rsidRDefault="00B36099" w:rsidP="00B36099">
      <w:pPr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Po złożeniu stosownego podania do władz Instytutu, Wydziału dysponującego salami studenci mają zapewniony dostęp do pomieszczeń dydaktycznych, laboratoriów naukowych, komputerowych, specjalistycznego oprogramowania poza godzinami zajęć, w celu wykonywania zadań, realizacji projektów, itp.</w:t>
      </w:r>
    </w:p>
    <w:p w:rsidR="00B36099" w:rsidRPr="00E2411D" w:rsidRDefault="00B36099" w:rsidP="00B36099">
      <w:pPr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</w:rPr>
        <w:t>Studenci mają swobodny dostęp do sieci bezprzewodowej dzięki infrastrukturze Eduroam działającej na uczelni. Studenci mają tym samym dostęp do bezprzewodowego Internetu zarówno na terenie uczelni i jej budynków jak i na terenie wszystkich instytucji stowarzyszonych w Eduroam zarówno w Polsce, jak i za granicą.</w:t>
      </w:r>
    </w:p>
    <w:p w:rsidR="00B36099" w:rsidRPr="00E2411D" w:rsidRDefault="00B36099" w:rsidP="00B36099">
      <w:pPr>
        <w:pStyle w:val="Nagwek3"/>
      </w:pPr>
      <w:r w:rsidRPr="00E2411D">
        <w:t>Zasady dostępu do sprzętu specjalistycznego</w:t>
      </w:r>
    </w:p>
    <w:p w:rsidR="00B36099" w:rsidRPr="00E2411D" w:rsidRDefault="00B36099" w:rsidP="00B36099">
      <w:pPr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Studenci mogą korzystać ze sprzętu zakupionego na potrzeby studenckich kół naukowych.</w:t>
      </w:r>
    </w:p>
    <w:p w:rsidR="00B36099" w:rsidRPr="00E2411D" w:rsidRDefault="00B36099" w:rsidP="00B36099">
      <w:pPr>
        <w:pStyle w:val="Nagwek3"/>
      </w:pPr>
      <w:r w:rsidRPr="00E2411D">
        <w:t>Zasady dostępu do sprzętu powielającego</w:t>
      </w:r>
    </w:p>
    <w:p w:rsidR="00B36099" w:rsidRPr="00E2411D" w:rsidRDefault="00B36099" w:rsidP="00B36099">
      <w:pPr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  <w:lang w:eastAsia="pl-PL"/>
        </w:rPr>
        <w:t>Studenci mogą korzystać z odpłatnych punktów kserograficznych zlokalizowanych w budynku Wydziału Humanistycznego oraz jego otoczeniu.</w:t>
      </w:r>
    </w:p>
    <w:p w:rsidR="00B36099" w:rsidRPr="00E2411D" w:rsidRDefault="00B36099" w:rsidP="00B36099">
      <w:pPr>
        <w:rPr>
          <w:rFonts w:cs="Cambria"/>
          <w:color w:val="000000" w:themeColor="text1"/>
        </w:rPr>
      </w:pPr>
    </w:p>
    <w:p w:rsidR="00B36099" w:rsidRPr="00E2411D" w:rsidRDefault="00B36099" w:rsidP="00B36099">
      <w:pPr>
        <w:pStyle w:val="Nagwek3"/>
      </w:pPr>
      <w:r w:rsidRPr="00E2411D">
        <w:t>System ułatwień dla osób niepełnosprawnych w budynku Wydziału Humanistycznego</w:t>
      </w:r>
    </w:p>
    <w:p w:rsidR="00B36099" w:rsidRPr="00E2411D" w:rsidRDefault="00B36099" w:rsidP="00B36099">
      <w:pPr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 xml:space="preserve">Wydział dąży do zapewnienia studentom niepełnosprawnym odpowiednich warunków studiowania. </w:t>
      </w:r>
    </w:p>
    <w:p w:rsidR="00B36099" w:rsidRPr="00E2411D" w:rsidRDefault="00B36099" w:rsidP="00B36099">
      <w:pPr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W budynku Wydziału znajdują się specjalne podjazdy, windy i toalety dla niepełnosprawnych.</w:t>
      </w:r>
    </w:p>
    <w:p w:rsidR="00B36099" w:rsidRPr="00E2411D" w:rsidRDefault="00B36099" w:rsidP="00B36099">
      <w:pPr>
        <w:spacing w:after="240"/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</w:rPr>
        <w:t>Zapewnione jest dostosowanie infrastruktury dydaktycznej, naukowej i bibliotecznej do potrzeb osób z niepełnosprawnością, w sposób zapewniający tym osobom pełny udział w kształceniu i prowadzeniu działalności naukowej oraz korzystaniu z technologii informacyjno-komunikacyjnej</w:t>
      </w:r>
    </w:p>
    <w:p w:rsidR="00B36099" w:rsidRPr="00E2411D" w:rsidRDefault="00B36099" w:rsidP="00B36099">
      <w:pPr>
        <w:pStyle w:val="Nagwek3"/>
      </w:pPr>
      <w:r w:rsidRPr="00E2411D">
        <w:lastRenderedPageBreak/>
        <w:t>Zasady dostępu do zbiorów bibliotecznych i materiałów dydaktycznych</w:t>
      </w:r>
    </w:p>
    <w:p w:rsidR="00B36099" w:rsidRPr="00E2411D" w:rsidRDefault="00B36099" w:rsidP="00B36099">
      <w:pPr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  <w:lang w:eastAsia="pl-PL"/>
        </w:rPr>
        <w:t>Zasady korzystania ze zbiorów Biblioteki Głównej oraz Biblioteki Wydziału</w:t>
      </w:r>
      <w:r w:rsidRPr="00E2411D">
        <w:rPr>
          <w:rFonts w:cs="Cambria"/>
          <w:color w:val="000000" w:themeColor="text1"/>
        </w:rPr>
        <w:t xml:space="preserve"> Humanistycznego UMCS określa </w:t>
      </w:r>
      <w:r w:rsidRPr="00E2411D">
        <w:rPr>
          <w:rFonts w:cs="Cambria"/>
          <w:i/>
          <w:iCs/>
          <w:color w:val="000000" w:themeColor="text1"/>
        </w:rPr>
        <w:t>Regulamin Biblioteki Uniwersytetu Marii Curie-Skłodowskiej</w:t>
      </w:r>
      <w:r w:rsidRPr="00E2411D">
        <w:rPr>
          <w:rFonts w:cs="Cambria"/>
          <w:color w:val="000000" w:themeColor="text1"/>
        </w:rPr>
        <w:t xml:space="preserve"> – załącznik do Zarządzenia Nr 6/2010 Rektora Uniwersytetu Marii Curie-Skłodowskiej w Lublinie z dnia 29 stycznia 2010 r. w sprawie wprowadzenia Regulaminu Biblioteki Uniwersytetu Marii Curie-Skłodowskiej w Lublinie.</w:t>
      </w:r>
    </w:p>
    <w:p w:rsidR="00B36099" w:rsidRPr="00E2411D" w:rsidRDefault="00B36099" w:rsidP="00B36099">
      <w:pPr>
        <w:rPr>
          <w:rFonts w:cs="Cambria"/>
          <w:i/>
          <w:iCs/>
          <w:color w:val="000000" w:themeColor="text1"/>
        </w:rPr>
      </w:pPr>
      <w:r w:rsidRPr="00E2411D">
        <w:rPr>
          <w:rFonts w:cs="Cambria"/>
          <w:color w:val="000000" w:themeColor="text1"/>
          <w:lang w:eastAsia="pl-PL"/>
        </w:rPr>
        <w:t>Regulamin</w:t>
      </w:r>
      <w:r w:rsidRPr="00E2411D">
        <w:rPr>
          <w:rFonts w:cs="Cambria"/>
          <w:i/>
          <w:iCs/>
          <w:color w:val="000000" w:themeColor="text1"/>
        </w:rPr>
        <w:t xml:space="preserve"> korzystania ze zbiorów Biblioteki Wydziału Humanistycznego UMCS.</w:t>
      </w:r>
    </w:p>
    <w:p w:rsidR="00B36099" w:rsidRPr="00E2411D" w:rsidRDefault="00B36099" w:rsidP="00B36099">
      <w:pPr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  <w:lang w:eastAsia="pl-PL"/>
        </w:rPr>
        <w:t>Zasady</w:t>
      </w:r>
      <w:r w:rsidRPr="00E2411D">
        <w:rPr>
          <w:rFonts w:cs="Cambria"/>
          <w:color w:val="000000" w:themeColor="text1"/>
        </w:rPr>
        <w:t xml:space="preserve"> korzystania ze zbiorów podręcznych poszczególnych jednostek Wydziału są ustalane przez ich kierowników.</w:t>
      </w:r>
    </w:p>
    <w:p w:rsidR="00B36099" w:rsidRPr="00E2411D" w:rsidRDefault="00B36099" w:rsidP="00B36099">
      <w:pPr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Lokalizacja biblioteki, liczba, wielkość i układ pomieszczeń bibliotecznych, ich wyposażenie techniczne, liczba miejsc w czytelni, udogodnienia dla użytkowników, godziny otwarcia zapewniają warunki do komfortowego korzystania z zasobów bibliotecznych w formie tradycyjnej i cyfrowej</w:t>
      </w:r>
    </w:p>
    <w:p w:rsidR="00B36099" w:rsidRPr="00E2411D" w:rsidRDefault="00B36099" w:rsidP="00B36099">
      <w:pPr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Zasoby biblioteczne są zgodne, co do aktualności, zakresu tematycznego i zasięgu językowego, a także formy wydawniczej, z potrzebami procesu nauczania i uczenia się, umożliwiają osiągnięcie przez studentów efektów uczenia się, w tym przygotowanie do prowadzenia działalności naukowej lub udział w tej działalności oraz prawidłową realizację zajęć oraz umożliwiają przygotowanie do działalności zawodowej w obszarach zawodowego rynku pracy właściwych dla kierunku oraz prawidłową realizację zajęć </w:t>
      </w:r>
    </w:p>
    <w:p w:rsidR="00B36099" w:rsidRPr="00E2411D" w:rsidRDefault="00B36099" w:rsidP="00B36099">
      <w:pPr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Zasoby biblioteczne obejmują piśmiennictwo zalecane w sylabusach w liczbie egzemplarzy dostosowanej do potrzeb procesu nauczania i uczenia się oraz liczby studentów</w:t>
      </w:r>
    </w:p>
    <w:p w:rsidR="00B36099" w:rsidRPr="00E2411D" w:rsidRDefault="00B36099" w:rsidP="00B36099">
      <w:pPr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Zasoby są dostępne tradycyjnie oraz z wykorzystaniem narzędzi informatycznych, w tym umożliwiających dostęp do światowych zasobów informacji naukowej jak również profesjonalnej</w:t>
      </w:r>
    </w:p>
    <w:p w:rsidR="00B36099" w:rsidRPr="00E2411D" w:rsidRDefault="00B36099" w:rsidP="00B36099">
      <w:pPr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Zasoby są dostosowane do potrzeb osób z niepełnosprawnością, w sposób zapewniający tym osobom pełne korzystanie z zasobów</w:t>
      </w:r>
    </w:p>
    <w:p w:rsidR="00B36099" w:rsidRPr="00E2411D" w:rsidRDefault="00B36099" w:rsidP="00B36099">
      <w:pPr>
        <w:spacing w:after="240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Dodatkowo, w przypadku prowadzenia zajęć z wykorzystaniem metod i technik kształcenia na odległość lub w formie kształcenia hybrydowego (blended learning) </w:t>
      </w:r>
      <w:r w:rsidRPr="00E2411D">
        <w:rPr>
          <w:rFonts w:cs="Cambria"/>
          <w:color w:val="000000" w:themeColor="text1"/>
        </w:rPr>
        <w:lastRenderedPageBreak/>
        <w:t xml:space="preserve">prowadzący zajęcia udostępniają studentom materiały dydaktyczne opracowane w formie elektronicznej na platformie „Wirtualny kampus” </w:t>
      </w:r>
    </w:p>
    <w:p w:rsidR="00B36099" w:rsidRPr="00E2411D" w:rsidRDefault="00B36099" w:rsidP="00B36099">
      <w:pPr>
        <w:pStyle w:val="Nagwek3"/>
      </w:pPr>
      <w:r w:rsidRPr="00E2411D">
        <w:t>Zasady dostępu do Internetu i platform e-</w:t>
      </w:r>
      <w:r w:rsidRPr="00E2411D">
        <w:t>learningowych</w:t>
      </w:r>
    </w:p>
    <w:p w:rsidR="00B36099" w:rsidRPr="00E2411D" w:rsidRDefault="00B36099" w:rsidP="00B36099">
      <w:pPr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W trakcie zajęć dydaktycznych studenci mają dostęp do Internetu w salach komputerowych;</w:t>
      </w:r>
    </w:p>
    <w:p w:rsidR="00B36099" w:rsidRPr="00E2411D" w:rsidRDefault="00B36099" w:rsidP="00B36099">
      <w:pPr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W czasie wolnym od zajęć dydaktycznych studenci mogą korzystać z:</w:t>
      </w:r>
    </w:p>
    <w:p w:rsidR="00B36099" w:rsidRPr="00E2411D" w:rsidRDefault="00B36099" w:rsidP="00F24B74">
      <w:pPr>
        <w:pStyle w:val="Akapitzlist"/>
        <w:numPr>
          <w:ilvl w:val="0"/>
          <w:numId w:val="1"/>
        </w:numPr>
        <w:spacing w:before="0"/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stanowisk komputerowych znajdujących się w Bibliotece Głównej UMCS oraz Bibliotece Wydziałowej i bibliotekach instytutowych;</w:t>
      </w:r>
    </w:p>
    <w:p w:rsidR="00B36099" w:rsidRPr="00E2411D" w:rsidRDefault="00B36099" w:rsidP="00F24B74">
      <w:pPr>
        <w:pStyle w:val="Akapitzlist"/>
        <w:numPr>
          <w:ilvl w:val="0"/>
          <w:numId w:val="1"/>
        </w:numPr>
        <w:spacing w:before="0"/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uniwersyteckiej sieci bezprzewodowej;</w:t>
      </w:r>
    </w:p>
    <w:p w:rsidR="00B36099" w:rsidRPr="00E2411D" w:rsidRDefault="00B36099" w:rsidP="00F24B74">
      <w:pPr>
        <w:pStyle w:val="Akapitzlist"/>
        <w:numPr>
          <w:ilvl w:val="0"/>
          <w:numId w:val="1"/>
        </w:numPr>
        <w:spacing w:before="0"/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 xml:space="preserve">ogólnodostępnego bezprzewodowego Internetu, dostarczanego przez LubMAN przez hot spot znajdujący się przy pl. Marii Curie-Skłodowskiej </w:t>
      </w:r>
    </w:p>
    <w:p w:rsidR="00B36099" w:rsidRPr="00E2411D" w:rsidRDefault="00B36099" w:rsidP="00B36099">
      <w:pPr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Studenci mają swobodny dostęp do sieci bezprzewodowej Eduroam    </w:t>
      </w:r>
    </w:p>
    <w:p w:rsidR="00B36099" w:rsidRPr="00E2411D" w:rsidRDefault="00B36099" w:rsidP="00B36099">
      <w:pPr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W przypadku realizacji zajęć  z wykorzystaniem metod i technik kształcenia na odległość lub w formie kształcenia hybrydowego (blended learning)  studenci maja zapewniony dostęp do uczelnianej platformy e-learningowej „Wirtualny kampus” (</w:t>
      </w:r>
      <w:hyperlink r:id="rId7" w:history="1">
        <w:r w:rsidRPr="00E2411D">
          <w:rPr>
            <w:rStyle w:val="Hipercze"/>
            <w:rFonts w:cs="Cambria"/>
            <w:color w:val="000000" w:themeColor="text1"/>
          </w:rPr>
          <w:t>https://kampus.umcs.pl/</w:t>
        </w:r>
      </w:hyperlink>
      <w:r w:rsidRPr="00E2411D">
        <w:rPr>
          <w:rFonts w:cs="Cambria"/>
          <w:color w:val="000000" w:themeColor="text1"/>
        </w:rPr>
        <w:t>) umożliwiającej synchroniczną i asynchroniczną interakcję między studentami a nauczycielami akademickimi i innymi osobami prowadzącymi zajęcia. Dostęp do platformy jest bezpłatny i otwarty dla wszystkich studentów i prowadzących zajęcia.</w:t>
      </w:r>
    </w:p>
    <w:p w:rsidR="00B36099" w:rsidRPr="00E2411D" w:rsidRDefault="00B36099" w:rsidP="00B36099">
      <w:pPr>
        <w:pStyle w:val="Nagwek3"/>
      </w:pPr>
      <w:r w:rsidRPr="00E2411D">
        <w:t>Sposoby weryfikacji jakości zaplecza</w:t>
      </w:r>
    </w:p>
    <w:p w:rsidR="00B36099" w:rsidRPr="00E2411D" w:rsidRDefault="00B36099" w:rsidP="00B36099">
      <w:pPr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Przed rozpoczęciem każdego semestru władze jednostki dokonują przeglądu warunków prowadzenia zajęć dydaktycznych. W miarę możliwości zapewniony jest udział nauczycieli akademickich oraz innych osób prowadzących zajęcia, jak również studentów, w okresowych przeglądach</w:t>
      </w:r>
    </w:p>
    <w:p w:rsidR="00B36099" w:rsidRPr="00E2411D" w:rsidRDefault="00B36099" w:rsidP="00B36099">
      <w:pPr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Ocena warunków prowadzenia zajęć dydaktycznych odbywa się na podstawie analizy danych dotyczących:</w:t>
      </w:r>
    </w:p>
    <w:p w:rsidR="00B36099" w:rsidRPr="00E2411D" w:rsidRDefault="00B36099" w:rsidP="00F24B74">
      <w:pPr>
        <w:pStyle w:val="Akapitzlist"/>
        <w:numPr>
          <w:ilvl w:val="0"/>
          <w:numId w:val="2"/>
        </w:numPr>
        <w:spacing w:before="0"/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sal dydaktycznych;</w:t>
      </w:r>
    </w:p>
    <w:p w:rsidR="00B36099" w:rsidRPr="00E2411D" w:rsidRDefault="00B36099" w:rsidP="00F24B74">
      <w:pPr>
        <w:pStyle w:val="Akapitzlist"/>
        <w:numPr>
          <w:ilvl w:val="0"/>
          <w:numId w:val="2"/>
        </w:numPr>
        <w:spacing w:before="0"/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liczebności studentów w poszczególnych grupach;</w:t>
      </w:r>
    </w:p>
    <w:p w:rsidR="00B36099" w:rsidRPr="00E2411D" w:rsidRDefault="00B36099" w:rsidP="00F24B74">
      <w:pPr>
        <w:pStyle w:val="Akapitzlist"/>
        <w:numPr>
          <w:ilvl w:val="0"/>
          <w:numId w:val="2"/>
        </w:numPr>
        <w:spacing w:before="0"/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racjonalności rozkładów zajęć;</w:t>
      </w:r>
    </w:p>
    <w:p w:rsidR="00B36099" w:rsidRPr="00E2411D" w:rsidRDefault="00B36099" w:rsidP="00F24B74">
      <w:pPr>
        <w:pStyle w:val="Akapitzlist"/>
        <w:numPr>
          <w:ilvl w:val="0"/>
          <w:numId w:val="2"/>
        </w:numPr>
        <w:spacing w:before="0"/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dostępu do pomocy dydaktycznych;</w:t>
      </w:r>
    </w:p>
    <w:p w:rsidR="00B36099" w:rsidRPr="00E2411D" w:rsidRDefault="00B36099" w:rsidP="00F24B74">
      <w:pPr>
        <w:pStyle w:val="Akapitzlist"/>
        <w:numPr>
          <w:ilvl w:val="0"/>
          <w:numId w:val="2"/>
        </w:numPr>
        <w:spacing w:before="0"/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kontaktu przez Internet;</w:t>
      </w:r>
    </w:p>
    <w:p w:rsidR="00B36099" w:rsidRPr="00E2411D" w:rsidRDefault="00B36099" w:rsidP="00F24B74">
      <w:pPr>
        <w:pStyle w:val="Akapitzlist"/>
        <w:numPr>
          <w:ilvl w:val="0"/>
          <w:numId w:val="2"/>
        </w:numPr>
        <w:spacing w:before="0"/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lastRenderedPageBreak/>
        <w:t>wyposażenia bibliotek i czytelni;</w:t>
      </w:r>
    </w:p>
    <w:p w:rsidR="00B36099" w:rsidRPr="00E2411D" w:rsidRDefault="00B36099" w:rsidP="00F24B74">
      <w:pPr>
        <w:pStyle w:val="Akapitzlist"/>
        <w:numPr>
          <w:ilvl w:val="0"/>
          <w:numId w:val="2"/>
        </w:numPr>
        <w:spacing w:before="0"/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poziomu komputeryzacji.</w:t>
      </w:r>
    </w:p>
    <w:p w:rsidR="00B36099" w:rsidRPr="00E2411D" w:rsidRDefault="00B36099" w:rsidP="00B36099">
      <w:pPr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Dyrektorzy poszczególnych Instytutów/Jednostek dokonują zgłoszeń koniecznych uzupełnień do Administracji.</w:t>
      </w:r>
    </w:p>
    <w:p w:rsidR="00B36099" w:rsidRPr="00E2411D" w:rsidRDefault="00B36099" w:rsidP="00B36099">
      <w:pPr>
        <w:rPr>
          <w:rFonts w:cs="Cambria"/>
          <w:color w:val="000000" w:themeColor="text1"/>
          <w:lang w:eastAsia="pl-PL"/>
        </w:rPr>
      </w:pPr>
      <w:r w:rsidRPr="00E2411D">
        <w:rPr>
          <w:rFonts w:cs="Cambria"/>
          <w:color w:val="000000" w:themeColor="text1"/>
          <w:lang w:eastAsia="pl-PL"/>
        </w:rPr>
        <w:t>Wyniki okresowych przeglądów, w tym wnioski z oceny dokonywanej przez studentów, są wykorzystywane do doskonalenia infrastruktury dydaktycznej, naukowej i bibliotecznej wyposażenia technicznego pomieszczeń, pomocy i środków dydaktycznych, aparatury badawczej, specjalistycznego oprogramowania, zasobów bibliotecznych, informacyjnych oraz edukacyjnych</w:t>
      </w:r>
    </w:p>
    <w:p w:rsidR="00B36099" w:rsidRPr="00E2411D" w:rsidRDefault="00B36099" w:rsidP="00B36099">
      <w:pPr>
        <w:rPr>
          <w:rFonts w:cs="Cambria"/>
          <w:color w:val="000000" w:themeColor="text1"/>
          <w:lang w:eastAsia="pl-PL"/>
        </w:rPr>
      </w:pPr>
    </w:p>
    <w:p w:rsidR="00B36099" w:rsidRPr="00E2411D" w:rsidRDefault="00B36099" w:rsidP="00B36099">
      <w:pPr>
        <w:rPr>
          <w:color w:val="000000" w:themeColor="text1"/>
        </w:rPr>
      </w:pPr>
      <w:r w:rsidRPr="00E2411D">
        <w:rPr>
          <w:color w:val="000000" w:themeColor="text1"/>
        </w:rPr>
        <w:t xml:space="preserve"> </w:t>
      </w:r>
    </w:p>
    <w:p w:rsidR="00B36099" w:rsidRPr="00E2411D" w:rsidRDefault="00B36099" w:rsidP="009D4112">
      <w:pPr>
        <w:suppressAutoHyphens w:val="0"/>
        <w:spacing w:before="0"/>
        <w:rPr>
          <w:color w:val="000000" w:themeColor="text1"/>
        </w:rPr>
      </w:pPr>
    </w:p>
    <w:sectPr w:rsidR="00B36099" w:rsidRPr="00E2411D" w:rsidSect="003E52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964" w:bottom="3261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74" w:rsidRDefault="00F24B74" w:rsidP="005F6C16">
      <w:r>
        <w:separator/>
      </w:r>
    </w:p>
  </w:endnote>
  <w:endnote w:type="continuationSeparator" w:id="0">
    <w:p w:rsidR="00F24B74" w:rsidRDefault="00F24B74" w:rsidP="005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036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34961" w:rsidRDefault="000349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D411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D411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4961" w:rsidRDefault="00034961">
    <w:pPr>
      <w:pStyle w:val="Stopka"/>
      <w:ind w:right="360"/>
      <w:rPr>
        <w:color w:val="5D6A70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Stopka"/>
      <w:spacing w:line="220" w:lineRule="exact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6485" cy="358775"/>
          <wp:effectExtent l="0" t="0" r="0" b="0"/>
          <wp:wrapNone/>
          <wp:docPr id="272" name="Obraz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D6A70"/>
        <w:sz w:val="15"/>
      </w:rPr>
      <w:t xml:space="preserve">pl. Marii Curie-Skłodowskiej 4A, 20-031 Lublin, </w:t>
    </w:r>
    <w:hyperlink r:id="rId2" w:history="1">
      <w:r>
        <w:rPr>
          <w:rStyle w:val="Hipercze"/>
          <w:rFonts w:ascii="Arial" w:hAnsi="Arial" w:cs="Arial"/>
          <w:color w:val="5D6A70"/>
          <w:sz w:val="15"/>
        </w:rPr>
        <w:t>www.umcs.lublin.pl</w:t>
      </w:r>
    </w:hyperlink>
    <w:r>
      <w:rPr>
        <w:rFonts w:ascii="Arial" w:hAnsi="Arial" w:cs="Arial"/>
        <w:color w:val="5D6A70"/>
        <w:sz w:val="15"/>
      </w:rPr>
      <w:br/>
      <w:t>dziekanat: +48 81 537 27 60, fax: +48 81 537 27 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74" w:rsidRDefault="00F24B74" w:rsidP="005F6C16">
      <w:r>
        <w:separator/>
      </w:r>
    </w:p>
  </w:footnote>
  <w:footnote w:type="continuationSeparator" w:id="0">
    <w:p w:rsidR="00F24B74" w:rsidRDefault="00F24B74" w:rsidP="005F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5487670</wp:posOffset>
          </wp:positionH>
          <wp:positionV relativeFrom="page">
            <wp:posOffset>744855</wp:posOffset>
          </wp:positionV>
          <wp:extent cx="1459230" cy="455930"/>
          <wp:effectExtent l="0" t="0" r="0" b="0"/>
          <wp:wrapNone/>
          <wp:docPr id="269" name="Obraz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0" t="0" r="0" b="0"/>
          <wp:wrapNone/>
          <wp:docPr id="270" name="Obraz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034961" w:rsidRDefault="0003496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16510" b="18415"/>
              <wp:wrapTopAndBottom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AA151" id="Łącznik prost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034961" w:rsidRDefault="00034961">
    <w:pPr>
      <w:pStyle w:val="Nagwek"/>
      <w:spacing w:line="240" w:lineRule="exact"/>
      <w:jc w:val="right"/>
    </w:pPr>
    <w:r>
      <w:rPr>
        <w:noProof/>
        <w:lang w:eastAsia="pl-PL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0" t="0" r="0" b="0"/>
          <wp:wrapNone/>
          <wp:docPr id="271" name="Obraz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4136"/>
    <w:multiLevelType w:val="hybridMultilevel"/>
    <w:tmpl w:val="04F6C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C5328"/>
    <w:multiLevelType w:val="multilevel"/>
    <w:tmpl w:val="A14A226C"/>
    <w:lvl w:ilvl="0">
      <w:start w:val="1"/>
      <w:numFmt w:val="bullet"/>
      <w:pStyle w:val="punktor"/>
      <w:lvlText w:val=""/>
      <w:lvlJc w:val="left"/>
      <w:pPr>
        <w:ind w:left="1173" w:hanging="46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E3E4935"/>
    <w:multiLevelType w:val="hybridMultilevel"/>
    <w:tmpl w:val="8732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C51E8"/>
    <w:multiLevelType w:val="hybridMultilevel"/>
    <w:tmpl w:val="75B87C70"/>
    <w:lvl w:ilvl="0" w:tplc="41361D08">
      <w:start w:val="1"/>
      <w:numFmt w:val="lowerLetter"/>
      <w:pStyle w:val="anumeracja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455BB"/>
    <w:multiLevelType w:val="hybridMultilevel"/>
    <w:tmpl w:val="5DFAAF7E"/>
    <w:lvl w:ilvl="0" w:tplc="DFE631F6">
      <w:start w:val="1"/>
      <w:numFmt w:val="upperRoman"/>
      <w:pStyle w:val="Nagwek3"/>
      <w:lvlText w:val="%1."/>
      <w:lvlJc w:val="right"/>
      <w:pPr>
        <w:ind w:left="2160" w:hanging="360"/>
      </w:pPr>
      <w:rPr>
        <w:color w:val="261D18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F3D1F2C"/>
    <w:multiLevelType w:val="multilevel"/>
    <w:tmpl w:val="F31AD6F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6"/>
    <w:rsid w:val="00001599"/>
    <w:rsid w:val="0001176B"/>
    <w:rsid w:val="00034961"/>
    <w:rsid w:val="0007243A"/>
    <w:rsid w:val="000813CE"/>
    <w:rsid w:val="000A0D29"/>
    <w:rsid w:val="00126FE7"/>
    <w:rsid w:val="00181055"/>
    <w:rsid w:val="001F452A"/>
    <w:rsid w:val="00217D4B"/>
    <w:rsid w:val="002676F5"/>
    <w:rsid w:val="00271184"/>
    <w:rsid w:val="002829F0"/>
    <w:rsid w:val="002A620D"/>
    <w:rsid w:val="002A7667"/>
    <w:rsid w:val="002D76A6"/>
    <w:rsid w:val="002E3A42"/>
    <w:rsid w:val="003323CC"/>
    <w:rsid w:val="00392BE3"/>
    <w:rsid w:val="003C0A29"/>
    <w:rsid w:val="003C5015"/>
    <w:rsid w:val="003D6D8C"/>
    <w:rsid w:val="003E5263"/>
    <w:rsid w:val="00430809"/>
    <w:rsid w:val="00473DCB"/>
    <w:rsid w:val="004E4F85"/>
    <w:rsid w:val="00516B32"/>
    <w:rsid w:val="00546C47"/>
    <w:rsid w:val="00563FFE"/>
    <w:rsid w:val="005907B6"/>
    <w:rsid w:val="005A69C1"/>
    <w:rsid w:val="005B7A24"/>
    <w:rsid w:val="005E5F6A"/>
    <w:rsid w:val="005F6C16"/>
    <w:rsid w:val="00655A0C"/>
    <w:rsid w:val="00682F64"/>
    <w:rsid w:val="006A69A2"/>
    <w:rsid w:val="006B70DB"/>
    <w:rsid w:val="006C0001"/>
    <w:rsid w:val="006F0F30"/>
    <w:rsid w:val="00780595"/>
    <w:rsid w:val="007B5EAD"/>
    <w:rsid w:val="007C4D72"/>
    <w:rsid w:val="007E7F40"/>
    <w:rsid w:val="00803DB5"/>
    <w:rsid w:val="00835A14"/>
    <w:rsid w:val="0085307C"/>
    <w:rsid w:val="008A3EA4"/>
    <w:rsid w:val="008B3423"/>
    <w:rsid w:val="008C4366"/>
    <w:rsid w:val="008C4C04"/>
    <w:rsid w:val="00927CC2"/>
    <w:rsid w:val="00952BC6"/>
    <w:rsid w:val="009D4112"/>
    <w:rsid w:val="009F0A9B"/>
    <w:rsid w:val="00A06FD0"/>
    <w:rsid w:val="00A17A2C"/>
    <w:rsid w:val="00AD5CA0"/>
    <w:rsid w:val="00AD77CC"/>
    <w:rsid w:val="00AE6DAF"/>
    <w:rsid w:val="00B36099"/>
    <w:rsid w:val="00B547C0"/>
    <w:rsid w:val="00B5768B"/>
    <w:rsid w:val="00B630F3"/>
    <w:rsid w:val="00B83613"/>
    <w:rsid w:val="00B93D8A"/>
    <w:rsid w:val="00BA4E09"/>
    <w:rsid w:val="00BC6688"/>
    <w:rsid w:val="00BD0F4F"/>
    <w:rsid w:val="00BE03C0"/>
    <w:rsid w:val="00C13CEE"/>
    <w:rsid w:val="00C1501F"/>
    <w:rsid w:val="00C80C42"/>
    <w:rsid w:val="00C81C13"/>
    <w:rsid w:val="00CD3971"/>
    <w:rsid w:val="00CE4159"/>
    <w:rsid w:val="00D20773"/>
    <w:rsid w:val="00D26DD1"/>
    <w:rsid w:val="00D36E63"/>
    <w:rsid w:val="00D74C1B"/>
    <w:rsid w:val="00DF663A"/>
    <w:rsid w:val="00E1277B"/>
    <w:rsid w:val="00E2411D"/>
    <w:rsid w:val="00E255CE"/>
    <w:rsid w:val="00E544F7"/>
    <w:rsid w:val="00EB43A6"/>
    <w:rsid w:val="00EC2CB1"/>
    <w:rsid w:val="00ED4747"/>
    <w:rsid w:val="00F24B74"/>
    <w:rsid w:val="00F30965"/>
    <w:rsid w:val="00F74C8D"/>
    <w:rsid w:val="00F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D242"/>
  <w15:chartTrackingRefBased/>
  <w15:docId w15:val="{EE4215BE-E77E-47A1-9950-A40132C4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63"/>
    <w:pPr>
      <w:suppressAutoHyphens/>
      <w:spacing w:before="120"/>
    </w:pPr>
    <w:rPr>
      <w:rFonts w:ascii="Cambria" w:eastAsia="Times New Roman" w:hAnsi="Cambria"/>
      <w:sz w:val="24"/>
      <w:szCs w:val="24"/>
      <w:lang w:eastAsia="zh-CN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C13CEE"/>
    <w:pPr>
      <w:keepNext/>
      <w:keepLines/>
      <w:numPr>
        <w:numId w:val="3"/>
      </w:numPr>
      <w:spacing w:after="120"/>
      <w:ind w:left="426" w:hanging="426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aliases w:val=" Znak9 Znak"/>
    <w:basedOn w:val="Normalny"/>
    <w:next w:val="Normalny"/>
    <w:link w:val="Nagwek2Znak"/>
    <w:rsid w:val="005F6C1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b/>
      <w:bCs/>
      <w:i/>
      <w:iCs/>
      <w:sz w:val="28"/>
      <w:szCs w:val="28"/>
      <w:lang w:eastAsia="pl-PL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B547C0"/>
    <w:pPr>
      <w:keepNext/>
      <w:keepLines/>
      <w:numPr>
        <w:numId w:val="5"/>
      </w:numPr>
      <w:spacing w:before="240" w:after="240"/>
      <w:ind w:left="284" w:hanging="284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rsid w:val="005F6C1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43080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80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80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80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80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9 Znak Znak"/>
    <w:link w:val="Nagwek2"/>
    <w:rsid w:val="005F6C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5F6C16"/>
    <w:rPr>
      <w:rFonts w:eastAsia="Times New Roman"/>
      <w:b/>
      <w:bCs/>
      <w:sz w:val="28"/>
      <w:szCs w:val="28"/>
    </w:rPr>
  </w:style>
  <w:style w:type="character" w:styleId="Hipercze">
    <w:name w:val="Hyperlink"/>
    <w:uiPriority w:val="99"/>
    <w:rsid w:val="005F6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5F6C16"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C16"/>
    <w:pPr>
      <w:ind w:left="720"/>
      <w:contextualSpacing/>
    </w:pPr>
    <w:rPr>
      <w:rFonts w:eastAsia="Calibri"/>
      <w:szCs w:val="20"/>
    </w:rPr>
  </w:style>
  <w:style w:type="paragraph" w:styleId="Tekstpodstawowy2">
    <w:name w:val="Body Text 2"/>
    <w:basedOn w:val="Normalny"/>
    <w:link w:val="Tekstpodstawowy2Znak"/>
    <w:rsid w:val="005F6C1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F6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6C1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F6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C16"/>
    <w:rPr>
      <w:vertAlign w:val="superscript"/>
    </w:rPr>
  </w:style>
  <w:style w:type="paragraph" w:customStyle="1" w:styleId="Default">
    <w:name w:val="Default"/>
    <w:uiPriority w:val="99"/>
    <w:rsid w:val="005F6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F85"/>
    <w:rPr>
      <w:rFonts w:ascii="Lucida Grande CE" w:eastAsia="Times New Roman" w:hAnsi="Lucida Grande CE" w:cs="Lucida Grande CE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8A3E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A4"/>
  </w:style>
  <w:style w:type="character" w:customStyle="1" w:styleId="TekstkomentarzaZnak">
    <w:name w:val="Tekst komentarza Znak"/>
    <w:link w:val="Tekstkomentarza"/>
    <w:uiPriority w:val="99"/>
    <w:semiHidden/>
    <w:rsid w:val="008A3EA4"/>
    <w:rPr>
      <w:rFonts w:ascii="Times New Roman" w:eastAsia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EA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A3EA4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EC2CB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EC2CB1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styleId="Pogrubienie">
    <w:name w:val="Strong"/>
    <w:basedOn w:val="Domylnaczcionkaakapitu"/>
    <w:uiPriority w:val="99"/>
    <w:qFormat/>
    <w:rsid w:val="00E1277B"/>
    <w:rPr>
      <w:b/>
      <w:bCs/>
    </w:rPr>
  </w:style>
  <w:style w:type="character" w:customStyle="1" w:styleId="Nagwek1Znak">
    <w:name w:val="Nagłówek 1 Znak"/>
    <w:aliases w:val="1. numeracja Znak"/>
    <w:basedOn w:val="Domylnaczcionkaakapitu"/>
    <w:link w:val="Nagwek1"/>
    <w:uiPriority w:val="9"/>
    <w:rsid w:val="00C13CEE"/>
    <w:rPr>
      <w:rFonts w:ascii="Cambria" w:eastAsiaTheme="majorEastAsia" w:hAnsi="Cambria" w:cstheme="majorBidi"/>
      <w:color w:val="000000" w:themeColor="text1"/>
      <w:sz w:val="24"/>
      <w:szCs w:val="32"/>
      <w:lang w:eastAsia="zh-CN"/>
    </w:rPr>
  </w:style>
  <w:style w:type="character" w:customStyle="1" w:styleId="Nagwek3Znak">
    <w:name w:val="Nagłówek 3 Znak"/>
    <w:aliases w:val="I Numeracja Znak"/>
    <w:basedOn w:val="Domylnaczcionkaakapitu"/>
    <w:link w:val="Nagwek3"/>
    <w:uiPriority w:val="9"/>
    <w:rsid w:val="00B547C0"/>
    <w:rPr>
      <w:rFonts w:asciiTheme="majorHAnsi" w:eastAsiaTheme="majorEastAsia" w:hAnsiTheme="majorHAnsi" w:cstheme="majorBidi"/>
      <w:b/>
      <w:color w:val="000000" w:themeColor="text1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809"/>
    <w:rPr>
      <w:rFonts w:asciiTheme="majorHAnsi" w:eastAsiaTheme="majorEastAsia" w:hAnsiTheme="majorHAnsi" w:cstheme="majorBidi"/>
      <w:color w:val="C77C0E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809"/>
    <w:rPr>
      <w:rFonts w:asciiTheme="majorHAnsi" w:eastAsiaTheme="majorEastAsia" w:hAnsiTheme="majorHAnsi" w:cstheme="majorBidi"/>
      <w:color w:val="845209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809"/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08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0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anumeracja">
    <w:name w:val="a. numeracja"/>
    <w:basedOn w:val="Normalny"/>
    <w:link w:val="anumeracjaZnak"/>
    <w:qFormat/>
    <w:rsid w:val="00C13CEE"/>
    <w:pPr>
      <w:numPr>
        <w:numId w:val="6"/>
      </w:numPr>
      <w:suppressAutoHyphens w:val="0"/>
      <w:spacing w:after="120"/>
    </w:pPr>
    <w:rPr>
      <w:rFonts w:cs="Cambria"/>
    </w:rPr>
  </w:style>
  <w:style w:type="paragraph" w:customStyle="1" w:styleId="punktor">
    <w:name w:val="punktor"/>
    <w:basedOn w:val="Akapitzlist"/>
    <w:link w:val="punktorZnak"/>
    <w:qFormat/>
    <w:rsid w:val="003E5263"/>
    <w:pPr>
      <w:numPr>
        <w:numId w:val="4"/>
      </w:numPr>
      <w:suppressAutoHyphens w:val="0"/>
      <w:ind w:left="284" w:hanging="284"/>
    </w:pPr>
    <w:rPr>
      <w:rFonts w:cs="Cambria"/>
      <w:b/>
      <w:bCs/>
    </w:rPr>
  </w:style>
  <w:style w:type="character" w:customStyle="1" w:styleId="anumeracjaZnak">
    <w:name w:val="a. numeracja Znak"/>
    <w:basedOn w:val="Domylnaczcionkaakapitu"/>
    <w:link w:val="anumeracja"/>
    <w:rsid w:val="00C13CEE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podstawa">
    <w:name w:val="podstawa"/>
    <w:basedOn w:val="Normalny"/>
    <w:link w:val="podstawaZnak"/>
    <w:qFormat/>
    <w:rsid w:val="003E5263"/>
    <w:pPr>
      <w:spacing w:after="120"/>
      <w:jc w:val="center"/>
    </w:pPr>
    <w:rPr>
      <w:rFonts w:cs="Cambria"/>
      <w:b/>
      <w:bCs/>
      <w:color w:val="261D18" w:themeColor="text2" w:themeShade="8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E03C0"/>
    <w:rPr>
      <w:rFonts w:ascii="Cambria" w:hAnsi="Cambria"/>
      <w:sz w:val="24"/>
      <w:lang w:eastAsia="zh-CN"/>
    </w:rPr>
  </w:style>
  <w:style w:type="character" w:customStyle="1" w:styleId="punktorZnak">
    <w:name w:val="punktor Znak"/>
    <w:basedOn w:val="AkapitzlistZnak"/>
    <w:link w:val="punktor"/>
    <w:rsid w:val="003E5263"/>
    <w:rPr>
      <w:rFonts w:ascii="Cambria" w:hAnsi="Cambria" w:cs="Cambria"/>
      <w:b/>
      <w:bCs/>
      <w:sz w:val="24"/>
      <w:lang w:eastAsia="zh-CN"/>
    </w:rPr>
  </w:style>
  <w:style w:type="paragraph" w:styleId="Bezodstpw">
    <w:name w:val="No Spacing"/>
    <w:uiPriority w:val="1"/>
    <w:qFormat/>
    <w:rsid w:val="00B547C0"/>
    <w:pPr>
      <w:suppressAutoHyphens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podstawaZnak">
    <w:name w:val="podstawa Znak"/>
    <w:basedOn w:val="Domylnaczcionkaakapitu"/>
    <w:link w:val="podstawa"/>
    <w:rsid w:val="003E5263"/>
    <w:rPr>
      <w:rFonts w:ascii="Cambria" w:eastAsia="Times New Roman" w:hAnsi="Cambria" w:cs="Cambria"/>
      <w:b/>
      <w:bCs/>
      <w:color w:val="261D18" w:themeColor="text2" w:themeShade="80"/>
      <w:sz w:val="24"/>
      <w:szCs w:val="24"/>
      <w:lang w:eastAsia="en-US"/>
    </w:rPr>
  </w:style>
  <w:style w:type="character" w:customStyle="1" w:styleId="h2">
    <w:name w:val="h2"/>
    <w:uiPriority w:val="99"/>
    <w:rsid w:val="00B36099"/>
  </w:style>
  <w:style w:type="character" w:customStyle="1" w:styleId="name">
    <w:name w:val="name"/>
    <w:uiPriority w:val="99"/>
    <w:rsid w:val="00B36099"/>
  </w:style>
  <w:style w:type="character" w:styleId="Odwoanieintensywne">
    <w:name w:val="Intense Reference"/>
    <w:uiPriority w:val="32"/>
    <w:qFormat/>
    <w:rsid w:val="00B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mpus.umcs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DE4B904C48E4487F419AA651539EF" ma:contentTypeVersion="0" ma:contentTypeDescription="Utwórz nowy dokument." ma:contentTypeScope="" ma:versionID="3fd2709ee2bcb104928d2dc3f0448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B0D85-E402-4042-8E10-2B624B670B9B}"/>
</file>

<file path=customXml/itemProps2.xml><?xml version="1.0" encoding="utf-8"?>
<ds:datastoreItem xmlns:ds="http://schemas.openxmlformats.org/officeDocument/2006/customXml" ds:itemID="{626CBFFD-620C-44E8-BDB2-8A23F3F8BE18}"/>
</file>

<file path=customXml/itemProps3.xml><?xml version="1.0" encoding="utf-8"?>
<ds:datastoreItem xmlns:ds="http://schemas.openxmlformats.org/officeDocument/2006/customXml" ds:itemID="{5E413A58-1756-4E86-9D3A-1E60E3E9A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9321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Zaplecze materialne Wydziału Humanistycznego UMCS</dc:title>
  <dc:subject>szablon</dc:subject>
  <dc:creator>Iwona Morawska</dc:creator>
  <cp:keywords/>
  <cp:lastModifiedBy>Łukasz Sędyka</cp:lastModifiedBy>
  <cp:revision>2</cp:revision>
  <cp:lastPrinted>2020-02-18T16:58:00Z</cp:lastPrinted>
  <dcterms:created xsi:type="dcterms:W3CDTF">2020-05-06T20:36:00Z</dcterms:created>
  <dcterms:modified xsi:type="dcterms:W3CDTF">2020-05-06T20:36:00Z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0x010100523DE4B904C48E4487F419AA651539EF</vt:lpwstr>
  </property>
</Properties>
</file>