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8" w:rsidRDefault="00BC5A98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BC5A98" w:rsidRDefault="0057269F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PUB/</w:t>
      </w:r>
      <w:r>
        <w:rPr>
          <w:rFonts w:ascii="Calibri" w:hAnsi="Calibri" w:cs="Calibri"/>
          <w:sz w:val="16"/>
          <w:szCs w:val="16"/>
          <w:u w:val="single"/>
          <w:lang w:val="pl"/>
        </w:rPr>
        <w:t>4</w:t>
      </w:r>
      <w:r w:rsidR="004649DF">
        <w:rPr>
          <w:rFonts w:ascii="Calibri" w:hAnsi="Calibri" w:cs="Calibri"/>
          <w:sz w:val="16"/>
          <w:szCs w:val="16"/>
          <w:u w:val="single"/>
          <w:lang w:val="pl"/>
        </w:rPr>
        <w:t>9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BC5A98" w:rsidRDefault="0057269F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BC5A98" w:rsidRDefault="0057269F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BC5A98" w:rsidRDefault="0057269F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BC5A98" w:rsidRDefault="0057269F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BC5A98" w:rsidRDefault="0057269F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4649DF">
        <w:rPr>
          <w:rFonts w:ascii="Calibri" w:hAnsi="Calibri" w:cs="Arial"/>
          <w:sz w:val="18"/>
          <w:szCs w:val="18"/>
          <w:lang w:val="pl" w:eastAsia="pl-PL"/>
        </w:rPr>
        <w:t>miernika podatności magnetycznej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Wykonawcy, zgodnie z opisem przedmiotu zamówienia (załącznik nr 1 do zaproszenia).</w:t>
      </w:r>
    </w:p>
    <w:p w:rsidR="00BC5A98" w:rsidRDefault="0057269F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BC5A98" w:rsidRDefault="0057269F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BC5A98" w:rsidRDefault="0057269F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4649DF">
        <w:rPr>
          <w:rFonts w:ascii="Calibri" w:hAnsi="Calibri" w:cs="Calibri"/>
          <w:b/>
          <w:color w:val="000000"/>
          <w:szCs w:val="18"/>
        </w:rPr>
        <w:t>28</w:t>
      </w:r>
      <w:bookmarkStart w:id="0" w:name="_GoBack"/>
      <w:bookmarkEnd w:id="0"/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BC5A98" w:rsidRDefault="0057269F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angielskim.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BC5A98" w:rsidRDefault="0057269F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BC5A98" w:rsidRDefault="0057269F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BC5A98" w:rsidRDefault="0057269F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BC5A98" w:rsidRDefault="00BC5A9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BC5A98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BC5A98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BC5A98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BC5A98" w:rsidRDefault="0057269F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BC5A98" w:rsidRDefault="0057269F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BC5A98" w:rsidRDefault="0057269F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BC5A98" w:rsidRDefault="00BC5A9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BC5A98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BC5A98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BC5A98" w:rsidRDefault="0057269F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BC5A98" w:rsidRDefault="0057269F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BC5A98" w:rsidRDefault="0057269F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BC5A98" w:rsidRDefault="0057269F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BC5A98" w:rsidRDefault="0057269F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BC5A98" w:rsidRDefault="0057269F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BC5A98" w:rsidRDefault="0057269F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BC5A98" w:rsidRDefault="0057269F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BC5A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47" w:rsidRDefault="00D55B47">
      <w:pPr>
        <w:spacing w:line="240" w:lineRule="auto"/>
      </w:pPr>
      <w:r>
        <w:separator/>
      </w:r>
    </w:p>
  </w:endnote>
  <w:endnote w:type="continuationSeparator" w:id="0">
    <w:p w:rsidR="00D55B47" w:rsidRDefault="00D55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C5A98" w:rsidRDefault="00BC5A98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BC5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47" w:rsidRDefault="00D55B47">
      <w:pPr>
        <w:spacing w:line="240" w:lineRule="auto"/>
      </w:pPr>
      <w:r>
        <w:separator/>
      </w:r>
    </w:p>
  </w:footnote>
  <w:footnote w:type="continuationSeparator" w:id="0">
    <w:p w:rsidR="00D55B47" w:rsidRDefault="00D55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251659264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251658240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7"/>
    <w:rsid w:val="97E70369"/>
    <w:rsid w:val="FFAEDB5A"/>
    <w:rsid w:val="00052C0D"/>
    <w:rsid w:val="00196B63"/>
    <w:rsid w:val="002D7417"/>
    <w:rsid w:val="003A7A18"/>
    <w:rsid w:val="003F6BEE"/>
    <w:rsid w:val="004649DF"/>
    <w:rsid w:val="004B7DE2"/>
    <w:rsid w:val="0057269F"/>
    <w:rsid w:val="00587B50"/>
    <w:rsid w:val="006B3D68"/>
    <w:rsid w:val="0070639E"/>
    <w:rsid w:val="009E6F6D"/>
    <w:rsid w:val="00AD6665"/>
    <w:rsid w:val="00BC5A98"/>
    <w:rsid w:val="00C16D64"/>
    <w:rsid w:val="00D55B47"/>
    <w:rsid w:val="00D70380"/>
    <w:rsid w:val="00F23729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1314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urządzenia do rejestracji sygnałów bio</vt:lpstr>
      <vt:lpstr>W sprawach nieuregulowanych umową mają zastosowanie przepisy Kodeksu cywilnego.</vt:lpstr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cp:lastPrinted>2018-02-01T12:25:00Z</cp:lastPrinted>
  <dcterms:created xsi:type="dcterms:W3CDTF">2020-05-22T09:28:00Z</dcterms:created>
  <dcterms:modified xsi:type="dcterms:W3CDTF">2020-06-01T09:13:00Z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