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17E9" w14:textId="77777777" w:rsidR="00C67A17" w:rsidRPr="00F53FE0" w:rsidRDefault="00C67A17">
      <w:pPr>
        <w:spacing w:before="2"/>
        <w:rPr>
          <w:rFonts w:ascii="Arial" w:hAnsi="Arial" w:cs="Arial"/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6167"/>
      </w:tblGrid>
      <w:tr w:rsidR="00C67A17" w:rsidRPr="00F53FE0" w14:paraId="3975B0D2" w14:textId="77777777" w:rsidTr="00F53FE0">
        <w:trPr>
          <w:trHeight w:val="230"/>
        </w:trPr>
        <w:tc>
          <w:tcPr>
            <w:tcW w:w="3047" w:type="dxa"/>
          </w:tcPr>
          <w:p w14:paraId="76AA1A63" w14:textId="77777777" w:rsidR="00C67A17" w:rsidRPr="00F53FE0" w:rsidRDefault="0075636B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 w:rsidRPr="00F53FE0">
              <w:rPr>
                <w:rFonts w:ascii="Arial" w:hAnsi="Arial" w:cs="Arial"/>
                <w:sz w:val="20"/>
              </w:rPr>
              <w:t xml:space="preserve">Module </w:t>
            </w:r>
            <w:proofErr w:type="spellStart"/>
            <w:r w:rsidRPr="00F53FE0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6167" w:type="dxa"/>
          </w:tcPr>
          <w:p w14:paraId="76C33283" w14:textId="77777777" w:rsidR="00C67A17" w:rsidRPr="00F53FE0" w:rsidRDefault="0075636B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proofErr w:type="spellStart"/>
            <w:r w:rsidRPr="00F53FE0">
              <w:rPr>
                <w:rFonts w:ascii="Arial" w:hAnsi="Arial" w:cs="Arial"/>
                <w:b/>
                <w:sz w:val="20"/>
              </w:rPr>
              <w:t>Philosophy</w:t>
            </w:r>
            <w:proofErr w:type="spellEnd"/>
            <w:r w:rsidRPr="00F53FE0">
              <w:rPr>
                <w:rFonts w:ascii="Arial" w:hAnsi="Arial" w:cs="Arial"/>
                <w:b/>
                <w:sz w:val="20"/>
              </w:rPr>
              <w:t xml:space="preserve"> as </w:t>
            </w:r>
            <w:proofErr w:type="spellStart"/>
            <w:r w:rsidRPr="00F53FE0">
              <w:rPr>
                <w:rFonts w:ascii="Arial" w:hAnsi="Arial" w:cs="Arial"/>
                <w:b/>
                <w:sz w:val="20"/>
              </w:rPr>
              <w:t>Therapy</w:t>
            </w:r>
            <w:proofErr w:type="spellEnd"/>
          </w:p>
        </w:tc>
      </w:tr>
      <w:tr w:rsidR="00C67A17" w:rsidRPr="00F53FE0" w14:paraId="43F76F9C" w14:textId="77777777" w:rsidTr="00F53FE0">
        <w:trPr>
          <w:trHeight w:val="230"/>
        </w:trPr>
        <w:tc>
          <w:tcPr>
            <w:tcW w:w="3047" w:type="dxa"/>
          </w:tcPr>
          <w:p w14:paraId="730D2B0C" w14:textId="77777777" w:rsidR="00C67A17" w:rsidRPr="00F53FE0" w:rsidRDefault="0075636B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 w:rsidRPr="00F53FE0">
              <w:rPr>
                <w:rFonts w:ascii="Arial" w:hAnsi="Arial" w:cs="Arial"/>
                <w:sz w:val="20"/>
              </w:rPr>
              <w:t xml:space="preserve">Erasmus </w:t>
            </w:r>
            <w:proofErr w:type="spellStart"/>
            <w:r w:rsidRPr="00F53FE0">
              <w:rPr>
                <w:rFonts w:ascii="Arial" w:hAnsi="Arial" w:cs="Arial"/>
                <w:sz w:val="20"/>
              </w:rPr>
              <w:t>code</w:t>
            </w:r>
            <w:proofErr w:type="spellEnd"/>
          </w:p>
        </w:tc>
        <w:tc>
          <w:tcPr>
            <w:tcW w:w="6167" w:type="dxa"/>
          </w:tcPr>
          <w:p w14:paraId="5B39657E" w14:textId="4FE3AB81" w:rsidR="00C67A17" w:rsidRPr="00B22A97" w:rsidRDefault="00B22A9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2A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2A97">
              <w:rPr>
                <w:rFonts w:ascii="Arial" w:hAnsi="Arial" w:cs="Arial"/>
                <w:sz w:val="20"/>
                <w:szCs w:val="20"/>
              </w:rPr>
              <w:t>PL_UMCS_Phil_07</w:t>
            </w:r>
          </w:p>
        </w:tc>
      </w:tr>
      <w:tr w:rsidR="00C67A17" w:rsidRPr="00F53FE0" w14:paraId="5C308AC7" w14:textId="77777777" w:rsidTr="00F53FE0">
        <w:trPr>
          <w:trHeight w:val="230"/>
        </w:trPr>
        <w:tc>
          <w:tcPr>
            <w:tcW w:w="3047" w:type="dxa"/>
          </w:tcPr>
          <w:p w14:paraId="06818F8A" w14:textId="77777777" w:rsidR="00C67A17" w:rsidRPr="00F53FE0" w:rsidRDefault="0075636B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 w:rsidRPr="00F53FE0">
              <w:rPr>
                <w:rFonts w:ascii="Arial" w:hAnsi="Arial" w:cs="Arial"/>
                <w:sz w:val="20"/>
              </w:rPr>
              <w:t xml:space="preserve">ISCED </w:t>
            </w:r>
            <w:proofErr w:type="spellStart"/>
            <w:r w:rsidRPr="00F53FE0">
              <w:rPr>
                <w:rFonts w:ascii="Arial" w:hAnsi="Arial" w:cs="Arial"/>
                <w:sz w:val="20"/>
              </w:rPr>
              <w:t>code</w:t>
            </w:r>
            <w:proofErr w:type="spellEnd"/>
          </w:p>
        </w:tc>
        <w:tc>
          <w:tcPr>
            <w:tcW w:w="6167" w:type="dxa"/>
          </w:tcPr>
          <w:p w14:paraId="336C48C5" w14:textId="77777777" w:rsidR="00C67A17" w:rsidRPr="00F53FE0" w:rsidRDefault="00C67A1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C67A17" w:rsidRPr="00F53FE0" w14:paraId="1C0B39C2" w14:textId="77777777" w:rsidTr="00F53FE0">
        <w:trPr>
          <w:trHeight w:val="229"/>
        </w:trPr>
        <w:tc>
          <w:tcPr>
            <w:tcW w:w="3047" w:type="dxa"/>
          </w:tcPr>
          <w:p w14:paraId="4D48CCA2" w14:textId="77777777" w:rsidR="00C67A17" w:rsidRPr="00F53FE0" w:rsidRDefault="0075636B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 w:rsidRPr="00F53FE0">
              <w:rPr>
                <w:rFonts w:ascii="Arial" w:hAnsi="Arial" w:cs="Arial"/>
                <w:sz w:val="20"/>
              </w:rPr>
              <w:t xml:space="preserve">Language of </w:t>
            </w:r>
            <w:proofErr w:type="spellStart"/>
            <w:r w:rsidRPr="00F53FE0">
              <w:rPr>
                <w:rFonts w:ascii="Arial" w:hAnsi="Arial" w:cs="Arial"/>
                <w:sz w:val="20"/>
              </w:rPr>
              <w:t>instruction</w:t>
            </w:r>
            <w:proofErr w:type="spellEnd"/>
          </w:p>
        </w:tc>
        <w:tc>
          <w:tcPr>
            <w:tcW w:w="6167" w:type="dxa"/>
          </w:tcPr>
          <w:p w14:paraId="7CDF429B" w14:textId="77777777" w:rsidR="00C67A17" w:rsidRPr="00F53FE0" w:rsidRDefault="0075636B">
            <w:pPr>
              <w:pStyle w:val="TableParagraph"/>
              <w:rPr>
                <w:rFonts w:ascii="Arial" w:hAnsi="Arial" w:cs="Arial"/>
                <w:sz w:val="20"/>
              </w:rPr>
            </w:pPr>
            <w:r w:rsidRPr="00F53FE0">
              <w:rPr>
                <w:rFonts w:ascii="Arial" w:hAnsi="Arial" w:cs="Arial"/>
                <w:sz w:val="20"/>
              </w:rPr>
              <w:t>English</w:t>
            </w:r>
          </w:p>
        </w:tc>
      </w:tr>
      <w:tr w:rsidR="00C67A17" w:rsidRPr="00F53FE0" w14:paraId="6488F23E" w14:textId="77777777" w:rsidTr="00F53FE0">
        <w:trPr>
          <w:trHeight w:val="230"/>
        </w:trPr>
        <w:tc>
          <w:tcPr>
            <w:tcW w:w="3047" w:type="dxa"/>
          </w:tcPr>
          <w:p w14:paraId="75B38E48" w14:textId="77777777" w:rsidR="00C67A17" w:rsidRPr="00F53FE0" w:rsidRDefault="0075636B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proofErr w:type="spellStart"/>
            <w:r w:rsidRPr="00F53FE0">
              <w:rPr>
                <w:rFonts w:ascii="Arial" w:hAnsi="Arial" w:cs="Arial"/>
                <w:sz w:val="20"/>
              </w:rPr>
              <w:t>Website</w:t>
            </w:r>
            <w:proofErr w:type="spellEnd"/>
          </w:p>
        </w:tc>
        <w:tc>
          <w:tcPr>
            <w:tcW w:w="6167" w:type="dxa"/>
          </w:tcPr>
          <w:p w14:paraId="046652F3" w14:textId="77777777" w:rsidR="00C67A17" w:rsidRPr="00F53FE0" w:rsidRDefault="00C67A1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C67A17" w:rsidRPr="00B22A97" w14:paraId="1FB766D6" w14:textId="77777777" w:rsidTr="00F53FE0">
        <w:trPr>
          <w:trHeight w:val="230"/>
        </w:trPr>
        <w:tc>
          <w:tcPr>
            <w:tcW w:w="3047" w:type="dxa"/>
          </w:tcPr>
          <w:p w14:paraId="74C216AD" w14:textId="77777777" w:rsidR="00C67A17" w:rsidRPr="00F53FE0" w:rsidRDefault="0075636B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proofErr w:type="spellStart"/>
            <w:r w:rsidRPr="00F53FE0">
              <w:rPr>
                <w:rFonts w:ascii="Arial" w:hAnsi="Arial" w:cs="Arial"/>
                <w:sz w:val="20"/>
              </w:rPr>
              <w:t>Prerequisites</w:t>
            </w:r>
            <w:proofErr w:type="spellEnd"/>
          </w:p>
        </w:tc>
        <w:tc>
          <w:tcPr>
            <w:tcW w:w="6167" w:type="dxa"/>
          </w:tcPr>
          <w:p w14:paraId="54ECE91A" w14:textId="77777777" w:rsidR="00C67A17" w:rsidRPr="00F53FE0" w:rsidRDefault="0075636B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>Background in philosophy and behavioral sciences</w:t>
            </w:r>
          </w:p>
        </w:tc>
      </w:tr>
      <w:tr w:rsidR="00C67A17" w:rsidRPr="00B22A97" w14:paraId="1849CC7D" w14:textId="77777777" w:rsidTr="00F53FE0">
        <w:trPr>
          <w:trHeight w:val="230"/>
        </w:trPr>
        <w:tc>
          <w:tcPr>
            <w:tcW w:w="3047" w:type="dxa"/>
          </w:tcPr>
          <w:p w14:paraId="5982E5C7" w14:textId="77777777" w:rsidR="00C67A17" w:rsidRPr="00F53FE0" w:rsidRDefault="0075636B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proofErr w:type="spellStart"/>
            <w:r w:rsidRPr="00F53FE0">
              <w:rPr>
                <w:rFonts w:ascii="Arial" w:hAnsi="Arial" w:cs="Arial"/>
                <w:sz w:val="20"/>
              </w:rPr>
              <w:t>Educational</w:t>
            </w:r>
            <w:proofErr w:type="spellEnd"/>
            <w:r w:rsidRPr="00F53F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3FE0">
              <w:rPr>
                <w:rFonts w:ascii="Arial" w:hAnsi="Arial" w:cs="Arial"/>
                <w:sz w:val="20"/>
              </w:rPr>
              <w:t>outcomes</w:t>
            </w:r>
            <w:proofErr w:type="spellEnd"/>
            <w:r w:rsidRPr="00F53F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3FE0">
              <w:rPr>
                <w:rFonts w:ascii="Arial" w:hAnsi="Arial" w:cs="Arial"/>
                <w:sz w:val="20"/>
              </w:rPr>
              <w:t>verification</w:t>
            </w:r>
            <w:proofErr w:type="spellEnd"/>
            <w:r w:rsidRPr="00F53F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3FE0">
              <w:rPr>
                <w:rFonts w:ascii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6167" w:type="dxa"/>
          </w:tcPr>
          <w:p w14:paraId="0DB5F377" w14:textId="77777777" w:rsidR="00C67A17" w:rsidRPr="00F53FE0" w:rsidRDefault="0075636B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>Either an essay or an oral exam</w:t>
            </w:r>
          </w:p>
        </w:tc>
      </w:tr>
      <w:tr w:rsidR="00C67A17" w:rsidRPr="00B22A97" w14:paraId="5344879A" w14:textId="77777777" w:rsidTr="009B7AC9">
        <w:trPr>
          <w:trHeight w:val="3099"/>
        </w:trPr>
        <w:tc>
          <w:tcPr>
            <w:tcW w:w="3047" w:type="dxa"/>
          </w:tcPr>
          <w:p w14:paraId="623689FC" w14:textId="77777777" w:rsidR="00C67A17" w:rsidRPr="00F53FE0" w:rsidRDefault="0075636B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</w:rPr>
            </w:pPr>
            <w:proofErr w:type="spellStart"/>
            <w:r w:rsidRPr="00F53FE0">
              <w:rPr>
                <w:rFonts w:ascii="Arial" w:hAnsi="Arial" w:cs="Arial"/>
                <w:sz w:val="20"/>
              </w:rPr>
              <w:t>Description</w:t>
            </w:r>
            <w:proofErr w:type="spellEnd"/>
          </w:p>
        </w:tc>
        <w:tc>
          <w:tcPr>
            <w:tcW w:w="6167" w:type="dxa"/>
          </w:tcPr>
          <w:p w14:paraId="615879B0" w14:textId="77777777" w:rsidR="00C67A17" w:rsidRPr="00F53FE0" w:rsidRDefault="00C67A1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  <w:p w14:paraId="1A41396B" w14:textId="77777777" w:rsidR="00C67A17" w:rsidRPr="00F53FE0" w:rsidRDefault="0075636B">
            <w:pPr>
              <w:pStyle w:val="TableParagraph"/>
              <w:spacing w:line="240" w:lineRule="auto"/>
              <w:ind w:right="135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 xml:space="preserve">The aim of the </w:t>
            </w:r>
            <w:proofErr w:type="spellStart"/>
            <w:proofErr w:type="gramStart"/>
            <w:r w:rsidRPr="00F53FE0">
              <w:rPr>
                <w:rFonts w:ascii="Arial" w:hAnsi="Arial" w:cs="Arial"/>
                <w:sz w:val="20"/>
                <w:lang w:val="en-US"/>
              </w:rPr>
              <w:t>course,is</w:t>
            </w:r>
            <w:proofErr w:type="spellEnd"/>
            <w:proofErr w:type="gram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to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analyse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therapeutic function of humanities and social sciences. How philosophy can be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practised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as a kind of counselling and psychotherapy? What is a difference between philosophical therapy and therapeutic philosophy? Can philosophy be helpful and supportive in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psychotherapeutical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psychiatrical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(medical) practice? The role of philosopher and humanist (scholars) as an expert in emotional and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behavioural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problems and practical issues of decision </w:t>
            </w:r>
            <w:proofErr w:type="spellStart"/>
            <w:proofErr w:type="gramStart"/>
            <w:r w:rsidRPr="00F53FE0">
              <w:rPr>
                <w:rFonts w:ascii="Arial" w:hAnsi="Arial" w:cs="Arial"/>
                <w:sz w:val="20"/>
                <w:lang w:val="en-US"/>
              </w:rPr>
              <w:t>making,will</w:t>
            </w:r>
            <w:proofErr w:type="spellEnd"/>
            <w:proofErr w:type="gram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be presented. Distinct versions of philosophical therapy will be presented: philosophical counselling,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Foucaldian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care of the self, phenomenological transformation,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wittgensteinian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therapy, Fulford Values-Based Psychiatry.</w:t>
            </w:r>
          </w:p>
        </w:tc>
      </w:tr>
      <w:tr w:rsidR="00C67A17" w:rsidRPr="00B22A97" w14:paraId="7230C1B3" w14:textId="77777777" w:rsidTr="00F53FE0">
        <w:trPr>
          <w:trHeight w:val="3451"/>
        </w:trPr>
        <w:tc>
          <w:tcPr>
            <w:tcW w:w="3047" w:type="dxa"/>
          </w:tcPr>
          <w:p w14:paraId="0712EE99" w14:textId="77777777" w:rsidR="00C67A17" w:rsidRPr="00F53FE0" w:rsidRDefault="0075636B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</w:rPr>
            </w:pPr>
            <w:r w:rsidRPr="00F53FE0">
              <w:rPr>
                <w:rFonts w:ascii="Arial" w:hAnsi="Arial" w:cs="Arial"/>
                <w:sz w:val="20"/>
              </w:rPr>
              <w:t>Reading list</w:t>
            </w:r>
          </w:p>
        </w:tc>
        <w:tc>
          <w:tcPr>
            <w:tcW w:w="6167" w:type="dxa"/>
          </w:tcPr>
          <w:p w14:paraId="7C581A47" w14:textId="77777777" w:rsidR="00C67A17" w:rsidRPr="00F53FE0" w:rsidRDefault="0075636B">
            <w:pPr>
              <w:pStyle w:val="TableParagraph"/>
              <w:spacing w:line="288" w:lineRule="auto"/>
              <w:ind w:right="848"/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Kapusta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A. (2014) Karl Jaspers' Psychopathology</w:t>
            </w:r>
            <w:r w:rsidRPr="00F53FE0">
              <w:rPr>
                <w:rFonts w:ascii="Arial" w:hAnsi="Arial" w:cs="Arial"/>
                <w:spacing w:val="-20"/>
                <w:sz w:val="20"/>
                <w:lang w:val="en-US"/>
              </w:rPr>
              <w:t xml:space="preserve"> </w:t>
            </w:r>
            <w:r w:rsidRPr="00F53FE0">
              <w:rPr>
                <w:rFonts w:ascii="Arial" w:hAnsi="Arial" w:cs="Arial"/>
                <w:sz w:val="20"/>
                <w:lang w:val="en-US"/>
              </w:rPr>
              <w:t xml:space="preserve">and contemporary psychiatry Advances in Psychiatry and </w:t>
            </w:r>
            <w:proofErr w:type="spellStart"/>
            <w:proofErr w:type="gramStart"/>
            <w:r w:rsidRPr="00F53FE0">
              <w:rPr>
                <w:rFonts w:ascii="Arial" w:hAnsi="Arial" w:cs="Arial"/>
                <w:sz w:val="20"/>
                <w:lang w:val="en-US"/>
              </w:rPr>
              <w:t>Neurology,,</w:t>
            </w:r>
            <w:proofErr w:type="gramEnd"/>
            <w:r w:rsidRPr="00F53FE0">
              <w:rPr>
                <w:rFonts w:ascii="Arial" w:hAnsi="Arial" w:cs="Arial"/>
                <w:sz w:val="20"/>
                <w:lang w:val="en-US"/>
              </w:rPr>
              <w:t>p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>. N.</w:t>
            </w:r>
            <w:r w:rsidRPr="00F53FE0">
              <w:rPr>
                <w:rFonts w:ascii="Arial" w:hAnsi="Arial" w:cs="Arial"/>
                <w:spacing w:val="-1"/>
                <w:sz w:val="20"/>
                <w:lang w:val="en-US"/>
              </w:rPr>
              <w:t xml:space="preserve"> </w:t>
            </w:r>
            <w:r w:rsidRPr="00F53FE0">
              <w:rPr>
                <w:rFonts w:ascii="Arial" w:hAnsi="Arial" w:cs="Arial"/>
                <w:sz w:val="20"/>
                <w:lang w:val="en-US"/>
              </w:rPr>
              <w:t>23,169-178</w:t>
            </w:r>
          </w:p>
          <w:p w14:paraId="5AF5068F" w14:textId="77777777" w:rsidR="00C67A17" w:rsidRPr="00F53FE0" w:rsidRDefault="0075636B">
            <w:pPr>
              <w:pStyle w:val="TableParagraph"/>
              <w:spacing w:line="288" w:lineRule="auto"/>
              <w:ind w:right="135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 xml:space="preserve">Fischer, E. (2011) </w:t>
            </w:r>
            <w:proofErr w:type="gramStart"/>
            <w:r w:rsidRPr="00F53FE0">
              <w:rPr>
                <w:rFonts w:ascii="Arial" w:hAnsi="Arial" w:cs="Arial"/>
                <w:sz w:val="20"/>
                <w:lang w:val="en-US"/>
              </w:rPr>
              <w:t>‘ Diseases</w:t>
            </w:r>
            <w:proofErr w:type="gram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of the Understanding and the Need for Philosophical Therapy, Philosophical Investigations 34: 22 – 54.</w:t>
            </w:r>
          </w:p>
          <w:p w14:paraId="05098407" w14:textId="77777777" w:rsidR="00C67A17" w:rsidRPr="00F53FE0" w:rsidRDefault="0075636B">
            <w:pPr>
              <w:pStyle w:val="TableParagraph"/>
              <w:spacing w:before="1" w:line="288" w:lineRule="auto"/>
              <w:ind w:right="485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 xml:space="preserve">——— . (2011b) Philosophical Delusion and Its Therapy: Outline of a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PhilosophicalRevolution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>. London:</w:t>
            </w:r>
            <w:r w:rsidRPr="00F53FE0">
              <w:rPr>
                <w:rFonts w:ascii="Arial" w:hAnsi="Arial" w:cs="Arial"/>
                <w:spacing w:val="-21"/>
                <w:sz w:val="20"/>
                <w:lang w:val="en-US"/>
              </w:rPr>
              <w:t xml:space="preserve"> </w:t>
            </w:r>
            <w:r w:rsidRPr="00F53FE0">
              <w:rPr>
                <w:rFonts w:ascii="Arial" w:hAnsi="Arial" w:cs="Arial"/>
                <w:sz w:val="20"/>
                <w:lang w:val="en-US"/>
              </w:rPr>
              <w:t>Routledge. Paden, R. (1998). ‘‘De</w:t>
            </w:r>
            <w:r w:rsidRPr="00F53FE0">
              <w:rPr>
                <w:rFonts w:ascii="Arial" w:hAnsi="Arial" w:cs="Arial"/>
                <w:sz w:val="20"/>
              </w:rPr>
              <w:t>ﬁ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ning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Philosophical Counselling.’’ International Journal of Applied Philosophy</w:t>
            </w:r>
            <w:r w:rsidRPr="00F53FE0">
              <w:rPr>
                <w:rFonts w:ascii="Arial" w:hAnsi="Arial" w:cs="Arial"/>
                <w:spacing w:val="-7"/>
                <w:sz w:val="20"/>
                <w:lang w:val="en-US"/>
              </w:rPr>
              <w:t xml:space="preserve"> </w:t>
            </w:r>
            <w:r w:rsidRPr="00F53FE0">
              <w:rPr>
                <w:rFonts w:ascii="Arial" w:hAnsi="Arial" w:cs="Arial"/>
                <w:sz w:val="20"/>
                <w:lang w:val="en-US"/>
              </w:rPr>
              <w:t>12:1–17.</w:t>
            </w:r>
          </w:p>
          <w:p w14:paraId="591ABF7B" w14:textId="77777777" w:rsidR="00C67A17" w:rsidRPr="00F53FE0" w:rsidRDefault="0075636B">
            <w:pPr>
              <w:pStyle w:val="TableParagraph"/>
              <w:tabs>
                <w:tab w:val="left" w:pos="1270"/>
                <w:tab w:val="left" w:pos="2217"/>
                <w:tab w:val="left" w:pos="2933"/>
                <w:tab w:val="left" w:pos="3674"/>
                <w:tab w:val="left" w:pos="4072"/>
              </w:tabs>
              <w:spacing w:line="240" w:lineRule="auto"/>
              <w:ind w:right="95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Wisnewski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>,</w:t>
            </w:r>
            <w:r w:rsidRPr="00F53FE0">
              <w:rPr>
                <w:rFonts w:ascii="Arial" w:hAnsi="Arial" w:cs="Arial"/>
                <w:sz w:val="20"/>
                <w:lang w:val="en-US"/>
              </w:rPr>
              <w:tab/>
            </w:r>
            <w:proofErr w:type="gramStart"/>
            <w:r w:rsidRPr="00F53FE0">
              <w:rPr>
                <w:rFonts w:ascii="Arial" w:hAnsi="Arial" w:cs="Arial"/>
                <w:sz w:val="20"/>
                <w:lang w:val="en-US"/>
              </w:rPr>
              <w:t>J.(</w:t>
            </w:r>
            <w:proofErr w:type="gramEnd"/>
            <w:r w:rsidRPr="00F53FE0">
              <w:rPr>
                <w:rFonts w:ascii="Arial" w:hAnsi="Arial" w:cs="Arial"/>
                <w:sz w:val="20"/>
                <w:lang w:val="en-US"/>
              </w:rPr>
              <w:t>2003).</w:t>
            </w:r>
            <w:r w:rsidRPr="00F53FE0">
              <w:rPr>
                <w:rFonts w:ascii="Arial" w:hAnsi="Arial" w:cs="Arial"/>
                <w:sz w:val="20"/>
                <w:lang w:val="en-US"/>
              </w:rPr>
              <w:tab/>
              <w:t>‘‘Five</w:t>
            </w:r>
            <w:r w:rsidRPr="00F53FE0">
              <w:rPr>
                <w:rFonts w:ascii="Arial" w:hAnsi="Arial" w:cs="Arial"/>
                <w:sz w:val="20"/>
                <w:lang w:val="en-US"/>
              </w:rPr>
              <w:tab/>
              <w:t>Forms</w:t>
            </w:r>
            <w:r w:rsidRPr="00F53FE0">
              <w:rPr>
                <w:rFonts w:ascii="Arial" w:hAnsi="Arial" w:cs="Arial"/>
                <w:sz w:val="20"/>
                <w:lang w:val="en-US"/>
              </w:rPr>
              <w:tab/>
              <w:t>of</w:t>
            </w:r>
            <w:r w:rsidRPr="00F53FE0">
              <w:rPr>
                <w:rFonts w:ascii="Arial" w:hAnsi="Arial" w:cs="Arial"/>
                <w:sz w:val="20"/>
                <w:lang w:val="en-US"/>
              </w:rPr>
              <w:tab/>
              <w:t xml:space="preserve">Philosophical </w:t>
            </w:r>
            <w:proofErr w:type="spellStart"/>
            <w:r w:rsidRPr="00F53FE0">
              <w:rPr>
                <w:rFonts w:ascii="Arial" w:hAnsi="Arial" w:cs="Arial"/>
                <w:sz w:val="20"/>
                <w:lang w:val="en-US"/>
              </w:rPr>
              <w:t>Therapy.’’Philosophy</w:t>
            </w:r>
            <w:proofErr w:type="spellEnd"/>
            <w:r w:rsidRPr="00F53FE0">
              <w:rPr>
                <w:rFonts w:ascii="Arial" w:hAnsi="Arial" w:cs="Arial"/>
                <w:sz w:val="20"/>
                <w:lang w:val="en-US"/>
              </w:rPr>
              <w:t xml:space="preserve"> Today</w:t>
            </w:r>
            <w:r w:rsidRPr="00F53FE0">
              <w:rPr>
                <w:rFonts w:ascii="Arial" w:hAnsi="Arial" w:cs="Arial"/>
                <w:spacing w:val="-3"/>
                <w:sz w:val="20"/>
                <w:lang w:val="en-US"/>
              </w:rPr>
              <w:t xml:space="preserve"> </w:t>
            </w:r>
            <w:r w:rsidRPr="00F53FE0">
              <w:rPr>
                <w:rFonts w:ascii="Arial" w:hAnsi="Arial" w:cs="Arial"/>
                <w:sz w:val="20"/>
                <w:lang w:val="en-US"/>
              </w:rPr>
              <w:t>47:53–79.</w:t>
            </w:r>
          </w:p>
        </w:tc>
      </w:tr>
      <w:tr w:rsidR="00C67A17" w:rsidRPr="00B22A97" w14:paraId="1FCE84CB" w14:textId="77777777" w:rsidTr="00F53FE0">
        <w:trPr>
          <w:trHeight w:val="1149"/>
        </w:trPr>
        <w:tc>
          <w:tcPr>
            <w:tcW w:w="3047" w:type="dxa"/>
          </w:tcPr>
          <w:p w14:paraId="5383DF12" w14:textId="77777777" w:rsidR="00C67A17" w:rsidRPr="00F53FE0" w:rsidRDefault="0075636B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</w:rPr>
            </w:pPr>
            <w:proofErr w:type="spellStart"/>
            <w:r w:rsidRPr="00F53FE0">
              <w:rPr>
                <w:rFonts w:ascii="Arial" w:hAnsi="Arial" w:cs="Arial"/>
                <w:sz w:val="20"/>
              </w:rPr>
              <w:t>Educational</w:t>
            </w:r>
            <w:proofErr w:type="spellEnd"/>
            <w:r w:rsidRPr="00F53F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3FE0">
              <w:rPr>
                <w:rFonts w:ascii="Arial" w:hAnsi="Arial" w:cs="Arial"/>
                <w:sz w:val="20"/>
              </w:rPr>
              <w:t>outcomes</w:t>
            </w:r>
            <w:proofErr w:type="spellEnd"/>
          </w:p>
        </w:tc>
        <w:tc>
          <w:tcPr>
            <w:tcW w:w="6167" w:type="dxa"/>
          </w:tcPr>
          <w:p w14:paraId="051196E0" w14:textId="77777777" w:rsidR="00C67A17" w:rsidRPr="00F53FE0" w:rsidRDefault="0075636B">
            <w:pPr>
              <w:pStyle w:val="TableParagraph"/>
              <w:spacing w:line="229" w:lineRule="exact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>After completing the subject, the students should be able:</w:t>
            </w:r>
          </w:p>
          <w:p w14:paraId="0ED5C0FB" w14:textId="77777777" w:rsidR="00C67A17" w:rsidRPr="00F53FE0" w:rsidRDefault="0075636B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29" w:lineRule="exact"/>
              <w:ind w:hanging="372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>to know the relation between philosophy and</w:t>
            </w:r>
            <w:r w:rsidRPr="00F53FE0">
              <w:rPr>
                <w:rFonts w:ascii="Arial" w:hAnsi="Arial" w:cs="Arial"/>
                <w:spacing w:val="-12"/>
                <w:sz w:val="20"/>
                <w:lang w:val="en-US"/>
              </w:rPr>
              <w:t xml:space="preserve"> </w:t>
            </w:r>
            <w:r w:rsidRPr="00F53FE0">
              <w:rPr>
                <w:rFonts w:ascii="Arial" w:hAnsi="Arial" w:cs="Arial"/>
                <w:sz w:val="20"/>
                <w:lang w:val="en-US"/>
              </w:rPr>
              <w:t>psychiatry,</w:t>
            </w:r>
          </w:p>
          <w:p w14:paraId="39591A1A" w14:textId="77777777" w:rsidR="00C67A17" w:rsidRPr="00F53FE0" w:rsidRDefault="0075636B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1" w:line="240" w:lineRule="auto"/>
              <w:ind w:hanging="372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>to understand nature of philosophical</w:t>
            </w:r>
            <w:r w:rsidRPr="00F53FE0">
              <w:rPr>
                <w:rFonts w:ascii="Arial" w:hAnsi="Arial" w:cs="Arial"/>
                <w:spacing w:val="-3"/>
                <w:sz w:val="20"/>
                <w:lang w:val="en-US"/>
              </w:rPr>
              <w:t xml:space="preserve"> </w:t>
            </w:r>
            <w:proofErr w:type="gramStart"/>
            <w:r w:rsidRPr="00F53FE0">
              <w:rPr>
                <w:rFonts w:ascii="Arial" w:hAnsi="Arial" w:cs="Arial"/>
                <w:sz w:val="20"/>
                <w:lang w:val="en-US"/>
              </w:rPr>
              <w:t>practice;</w:t>
            </w:r>
            <w:proofErr w:type="gramEnd"/>
          </w:p>
          <w:p w14:paraId="2A4B24C6" w14:textId="77777777" w:rsidR="00C67A17" w:rsidRPr="00F53FE0" w:rsidRDefault="0075636B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30" w:lineRule="atLeast"/>
              <w:ind w:right="355" w:hanging="372"/>
              <w:rPr>
                <w:rFonts w:ascii="Arial" w:hAnsi="Arial" w:cs="Arial"/>
                <w:sz w:val="20"/>
                <w:lang w:val="en-US"/>
              </w:rPr>
            </w:pPr>
            <w:r w:rsidRPr="00F53FE0">
              <w:rPr>
                <w:rFonts w:ascii="Arial" w:hAnsi="Arial" w:cs="Arial"/>
                <w:sz w:val="20"/>
                <w:lang w:val="en-US"/>
              </w:rPr>
              <w:t>to discuss the limits of therapeutic function of</w:t>
            </w:r>
            <w:r w:rsidRPr="00F53FE0">
              <w:rPr>
                <w:rFonts w:ascii="Arial" w:hAnsi="Arial" w:cs="Arial"/>
                <w:spacing w:val="-15"/>
                <w:sz w:val="20"/>
                <w:lang w:val="en-US"/>
              </w:rPr>
              <w:t xml:space="preserve"> </w:t>
            </w:r>
            <w:r w:rsidRPr="00F53FE0">
              <w:rPr>
                <w:rFonts w:ascii="Arial" w:hAnsi="Arial" w:cs="Arial"/>
                <w:sz w:val="20"/>
                <w:lang w:val="en-US"/>
              </w:rPr>
              <w:t>philosophy and to recognize its moral dilemmas;</w:t>
            </w:r>
          </w:p>
        </w:tc>
      </w:tr>
      <w:tr w:rsidR="00C67A17" w:rsidRPr="00F53FE0" w14:paraId="3B3F6BAC" w14:textId="77777777" w:rsidTr="00F53FE0">
        <w:trPr>
          <w:trHeight w:val="230"/>
        </w:trPr>
        <w:tc>
          <w:tcPr>
            <w:tcW w:w="3047" w:type="dxa"/>
          </w:tcPr>
          <w:p w14:paraId="50C91073" w14:textId="77777777" w:rsidR="00C67A17" w:rsidRPr="00F53FE0" w:rsidRDefault="0075636B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proofErr w:type="spellStart"/>
            <w:r w:rsidRPr="00F53FE0">
              <w:rPr>
                <w:rFonts w:ascii="Arial" w:hAnsi="Arial" w:cs="Arial"/>
                <w:sz w:val="20"/>
              </w:rPr>
              <w:t>Practice</w:t>
            </w:r>
            <w:proofErr w:type="spellEnd"/>
          </w:p>
        </w:tc>
        <w:tc>
          <w:tcPr>
            <w:tcW w:w="6167" w:type="dxa"/>
          </w:tcPr>
          <w:p w14:paraId="4C88E82A" w14:textId="77777777" w:rsidR="00C67A17" w:rsidRPr="00F53FE0" w:rsidRDefault="0075636B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F53FE0">
              <w:rPr>
                <w:rFonts w:ascii="Arial" w:hAnsi="Arial" w:cs="Arial"/>
                <w:sz w:val="20"/>
              </w:rPr>
              <w:t>None</w:t>
            </w:r>
            <w:proofErr w:type="spellEnd"/>
          </w:p>
        </w:tc>
      </w:tr>
    </w:tbl>
    <w:p w14:paraId="0B128C37" w14:textId="77777777" w:rsidR="0075636B" w:rsidRPr="00F53FE0" w:rsidRDefault="0075636B">
      <w:pPr>
        <w:rPr>
          <w:rFonts w:ascii="Arial" w:hAnsi="Arial" w:cs="Arial"/>
        </w:rPr>
      </w:pPr>
    </w:p>
    <w:sectPr w:rsidR="0075636B" w:rsidRPr="00F53FE0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7697B"/>
    <w:multiLevelType w:val="hybridMultilevel"/>
    <w:tmpl w:val="BA1AF968"/>
    <w:lvl w:ilvl="0" w:tplc="8FE26AA2">
      <w:start w:val="1"/>
      <w:numFmt w:val="decimal"/>
      <w:lvlText w:val="%1."/>
      <w:lvlJc w:val="left"/>
      <w:pPr>
        <w:ind w:left="47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43E274A">
      <w:numFmt w:val="bullet"/>
      <w:lvlText w:val="•"/>
      <w:lvlJc w:val="left"/>
      <w:pPr>
        <w:ind w:left="958" w:hanging="201"/>
      </w:pPr>
      <w:rPr>
        <w:rFonts w:hint="default"/>
        <w:lang w:val="pl-PL" w:eastAsia="pl-PL" w:bidi="pl-PL"/>
      </w:rPr>
    </w:lvl>
    <w:lvl w:ilvl="2" w:tplc="8C7AB374">
      <w:numFmt w:val="bullet"/>
      <w:lvlText w:val="•"/>
      <w:lvlJc w:val="left"/>
      <w:pPr>
        <w:ind w:left="1437" w:hanging="201"/>
      </w:pPr>
      <w:rPr>
        <w:rFonts w:hint="default"/>
        <w:lang w:val="pl-PL" w:eastAsia="pl-PL" w:bidi="pl-PL"/>
      </w:rPr>
    </w:lvl>
    <w:lvl w:ilvl="3" w:tplc="FB3E0410">
      <w:numFmt w:val="bullet"/>
      <w:lvlText w:val="•"/>
      <w:lvlJc w:val="left"/>
      <w:pPr>
        <w:ind w:left="1916" w:hanging="201"/>
      </w:pPr>
      <w:rPr>
        <w:rFonts w:hint="default"/>
        <w:lang w:val="pl-PL" w:eastAsia="pl-PL" w:bidi="pl-PL"/>
      </w:rPr>
    </w:lvl>
    <w:lvl w:ilvl="4" w:tplc="11428292">
      <w:numFmt w:val="bullet"/>
      <w:lvlText w:val="•"/>
      <w:lvlJc w:val="left"/>
      <w:pPr>
        <w:ind w:left="2394" w:hanging="201"/>
      </w:pPr>
      <w:rPr>
        <w:rFonts w:hint="default"/>
        <w:lang w:val="pl-PL" w:eastAsia="pl-PL" w:bidi="pl-PL"/>
      </w:rPr>
    </w:lvl>
    <w:lvl w:ilvl="5" w:tplc="8342FD78">
      <w:numFmt w:val="bullet"/>
      <w:lvlText w:val="•"/>
      <w:lvlJc w:val="left"/>
      <w:pPr>
        <w:ind w:left="2873" w:hanging="201"/>
      </w:pPr>
      <w:rPr>
        <w:rFonts w:hint="default"/>
        <w:lang w:val="pl-PL" w:eastAsia="pl-PL" w:bidi="pl-PL"/>
      </w:rPr>
    </w:lvl>
    <w:lvl w:ilvl="6" w:tplc="AC720508">
      <w:numFmt w:val="bullet"/>
      <w:lvlText w:val="•"/>
      <w:lvlJc w:val="left"/>
      <w:pPr>
        <w:ind w:left="3352" w:hanging="201"/>
      </w:pPr>
      <w:rPr>
        <w:rFonts w:hint="default"/>
        <w:lang w:val="pl-PL" w:eastAsia="pl-PL" w:bidi="pl-PL"/>
      </w:rPr>
    </w:lvl>
    <w:lvl w:ilvl="7" w:tplc="81C4998A">
      <w:numFmt w:val="bullet"/>
      <w:lvlText w:val="•"/>
      <w:lvlJc w:val="left"/>
      <w:pPr>
        <w:ind w:left="3830" w:hanging="201"/>
      </w:pPr>
      <w:rPr>
        <w:rFonts w:hint="default"/>
        <w:lang w:val="pl-PL" w:eastAsia="pl-PL" w:bidi="pl-PL"/>
      </w:rPr>
    </w:lvl>
    <w:lvl w:ilvl="8" w:tplc="CCB614FC">
      <w:numFmt w:val="bullet"/>
      <w:lvlText w:val="•"/>
      <w:lvlJc w:val="left"/>
      <w:pPr>
        <w:ind w:left="4309" w:hanging="20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17"/>
    <w:rsid w:val="0075636B"/>
    <w:rsid w:val="009B7AC9"/>
    <w:rsid w:val="00B22A97"/>
    <w:rsid w:val="00C67A17"/>
    <w:rsid w:val="00F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F13C"/>
  <w15:docId w15:val="{291D0C39-FC68-4F17-9C5D-9FF5E16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4</cp:revision>
  <dcterms:created xsi:type="dcterms:W3CDTF">2019-05-13T09:14:00Z</dcterms:created>
  <dcterms:modified xsi:type="dcterms:W3CDTF">2020-05-13T12:04:00Z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