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0" t="0" r="9525" b="9525"/>
            <wp:wrapTight wrapText="bothSides">
              <wp:wrapPolygon>
                <wp:start x="-98" y="0"/>
                <wp:lineTo x="-98" y="21039"/>
                <wp:lineTo x="21600" y="21039"/>
                <wp:lineTo x="21600" y="0"/>
                <wp:lineTo x="-98" y="0"/>
              </wp:wrapPolygon>
            </wp:wrapTight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>
      <w:pPr>
        <w:spacing w:line="240" w:lineRule="auto"/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>
      <w:pPr>
        <w:spacing w:line="240" w:lineRule="auto"/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0" t="0" r="10160" b="9525"/>
            <wp:wrapTight wrapText="bothSides">
              <wp:wrapPolygon>
                <wp:start x="-51" y="0"/>
                <wp:lineTo x="-51" y="7200"/>
                <wp:lineTo x="21600" y="7200"/>
                <wp:lineTo x="21549" y="0"/>
                <wp:lineTo x="-51" y="0"/>
              </wp:wrapPolygon>
            </wp:wrapTight>
            <wp:docPr id="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Dział Zamówień Publicznych                       </w:t>
      </w:r>
    </w:p>
    <w:p>
      <w:pPr>
        <w:spacing w:line="240" w:lineRule="auto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Sekcja Zaopatrzenia</w:t>
      </w:r>
    </w:p>
    <w:p>
      <w:pPr>
        <w:spacing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>
      <w:pPr>
        <w:suppressAutoHyphens/>
        <w:spacing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materiałów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laboratoryjnych</w:t>
      </w:r>
      <w:r>
        <w:rPr>
          <w:rFonts w:ascii="Calibri" w:hAnsi="Calibri" w:cs="Calibri"/>
          <w:b/>
          <w:sz w:val="18"/>
          <w:szCs w:val="18"/>
        </w:rPr>
        <w:t xml:space="preserve"> do UMCS w Lublinie” </w:t>
      </w:r>
      <w:r>
        <w:rPr>
          <w:rFonts w:ascii="Calibri" w:hAnsi="Calibri" w:cs="Calibri"/>
          <w:b/>
          <w:bCs/>
          <w:sz w:val="18"/>
          <w:szCs w:val="18"/>
        </w:rPr>
        <w:t>(PU/5</w:t>
      </w:r>
      <w:r>
        <w:rPr>
          <w:rFonts w:hint="default" w:ascii="Calibri" w:hAnsi="Calibri" w:cs="Calibri"/>
          <w:b/>
          <w:bCs/>
          <w:sz w:val="18"/>
          <w:szCs w:val="18"/>
          <w:lang w:val="pl-PL"/>
        </w:rPr>
        <w:t>5</w:t>
      </w:r>
      <w:r>
        <w:rPr>
          <w:rFonts w:ascii="Calibri" w:hAnsi="Calibri" w:cs="Calibri"/>
          <w:b/>
          <w:bCs/>
          <w:sz w:val="18"/>
          <w:szCs w:val="18"/>
        </w:rPr>
        <w:t>-2020/DZP-z)</w:t>
      </w:r>
    </w:p>
    <w:p>
      <w:pPr>
        <w:tabs>
          <w:tab w:val="left" w:pos="1560"/>
        </w:tabs>
        <w:spacing w:after="0" w:line="240" w:lineRule="auto"/>
        <w:ind w:left="28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Zamawiający: </w:t>
      </w:r>
      <w:r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>
      <w:pPr>
        <w:tabs>
          <w:tab w:val="left" w:pos="1560"/>
        </w:tabs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NIP: </w:t>
      </w:r>
      <w:r>
        <w:rPr>
          <w:rStyle w:val="57"/>
          <w:rFonts w:ascii="Calibri" w:hAnsi="Calibri" w:cs="Calibri"/>
          <w:sz w:val="18"/>
          <w:szCs w:val="18"/>
        </w:rPr>
        <w:t xml:space="preserve">712-010-36-92, </w:t>
      </w:r>
      <w:r>
        <w:rPr>
          <w:rFonts w:ascii="Calibri" w:hAnsi="Calibri" w:cs="Calibri"/>
          <w:sz w:val="18"/>
          <w:szCs w:val="18"/>
        </w:rPr>
        <w:t xml:space="preserve">REGON: </w:t>
      </w:r>
      <w:r>
        <w:rPr>
          <w:rStyle w:val="57"/>
          <w:rFonts w:ascii="Calibri" w:hAnsi="Calibri" w:cs="Calibri"/>
          <w:sz w:val="18"/>
          <w:szCs w:val="18"/>
        </w:rPr>
        <w:t>000001353, s</w:t>
      </w:r>
      <w:r>
        <w:rPr>
          <w:rFonts w:ascii="Calibri" w:hAnsi="Calibri" w:cs="Calibri"/>
          <w:sz w:val="18"/>
          <w:szCs w:val="18"/>
        </w:rPr>
        <w:t xml:space="preserve">trona internetowa: </w:t>
      </w:r>
      <w:r>
        <w:fldChar w:fldCharType="begin"/>
      </w:r>
      <w:r>
        <w:instrText xml:space="preserve"> HYPERLINK "http://www.umcs.pl"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www.umcs.pl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  <w:lang w:val="fr-FR"/>
        </w:rPr>
        <w:t>tel +48 81 537 57 01</w:t>
      </w:r>
    </w:p>
    <w:p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b/>
          <w:sz w:val="18"/>
          <w:szCs w:val="18"/>
        </w:rPr>
      </w:pPr>
    </w:p>
    <w:p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Tryb udzielenia zamówienia:</w:t>
      </w:r>
      <w:r>
        <w:rPr>
          <w:rFonts w:ascii="Calibri" w:hAnsi="Calibri" w:cs="Calibri"/>
          <w:b/>
          <w:sz w:val="18"/>
          <w:szCs w:val="18"/>
        </w:rPr>
        <w:tab/>
      </w:r>
    </w:p>
    <w:p>
      <w:pPr>
        <w:tabs>
          <w:tab w:val="right" w:pos="9648"/>
        </w:tabs>
        <w:suppressAutoHyphens/>
        <w:spacing w:line="240" w:lineRule="auto"/>
        <w:ind w:left="360"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Postępowanie prowadzone jest na podstawie </w:t>
      </w:r>
      <w:r>
        <w:rPr>
          <w:rFonts w:ascii="Calibri" w:hAnsi="Calibri" w:cs="Calibri"/>
          <w:b/>
          <w:sz w:val="18"/>
          <w:szCs w:val="18"/>
          <w:lang w:eastAsia="ar-SA"/>
        </w:rPr>
        <w:t>art.4</w:t>
      </w:r>
      <w:r>
        <w:rPr>
          <w:rFonts w:hint="default" w:ascii="Calibri" w:hAnsi="Calibri" w:cs="Calibri"/>
          <w:b/>
          <w:sz w:val="18"/>
          <w:szCs w:val="18"/>
          <w:lang w:val="pl-PL" w:eastAsia="ar-SA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>pkt.</w:t>
      </w:r>
      <w:r>
        <w:rPr>
          <w:rFonts w:hint="default" w:ascii="Calibri" w:hAnsi="Calibri" w:cs="Calibri"/>
          <w:b/>
          <w:sz w:val="18"/>
          <w:szCs w:val="18"/>
          <w:lang w:val="pl-PL" w:eastAsia="ar-SA"/>
        </w:rPr>
        <w:t>8</w:t>
      </w:r>
      <w:r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publicznych (Dz. U. z 2019r. poz.1843 t.j.) – zwanej dalej ustawą oraz zgodnie z Regulaminem udzielania zamówień publicznych w Uniwersytecie Marii Curie-Skłodowskiej w Lublinie.</w:t>
      </w:r>
    </w:p>
    <w:p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right="55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zamówienia:</w:t>
      </w:r>
    </w:p>
    <w:p>
      <w:pPr>
        <w:suppressAutoHyphens/>
        <w:spacing w:after="0" w:line="240" w:lineRule="auto"/>
        <w:ind w:left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 obejmujący części od 1 do 2.</w:t>
      </w:r>
    </w:p>
    <w:p>
      <w:pPr>
        <w:suppressAutoHyphens/>
        <w:spacing w:after="0" w:line="240" w:lineRule="auto"/>
        <w:ind w:left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>
      <w:pPr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 do kontaktu: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Magdalena Łabędź, e-mail: </w:t>
      </w:r>
      <w:r>
        <w:fldChar w:fldCharType="begin"/>
      </w:r>
      <w:r>
        <w:instrText xml:space="preserve"> HYPERLINK "mailto:magdalena.labedz@umcs.pl"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magdalena.labedz@poczta.umcs.lublin.pl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</w:p>
    <w:p>
      <w:pPr>
        <w:numPr>
          <w:ilvl w:val="0"/>
          <w:numId w:val="1"/>
        </w:numPr>
        <w:autoSpaceDE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Opis sposobu przygotowania oferty: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Wykonawcy.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„Oferta w postępowaniu na ………………………………….….,</w:t>
      </w:r>
      <w:r>
        <w:rPr>
          <w:rFonts w:ascii="Calibri" w:hAnsi="Calibri" w:cs="Calibri"/>
          <w:iCs/>
          <w:sz w:val="18"/>
          <w:szCs w:val="18"/>
        </w:rPr>
        <w:t xml:space="preserve"> o</w:t>
      </w:r>
      <w:r>
        <w:rPr>
          <w:rFonts w:ascii="Calibri" w:hAnsi="Calibri" w:cs="Calibri"/>
          <w:bCs/>
          <w:sz w:val="18"/>
          <w:szCs w:val="18"/>
          <w:lang w:eastAsia="ar-SA"/>
        </w:rPr>
        <w:t>znaczenie sprawy: ……………………………………….</w:t>
      </w:r>
      <w:r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>
        <w:rPr>
          <w:rFonts w:ascii="Calibri" w:hAnsi="Calibri" w:cs="Calibri"/>
          <w:sz w:val="18"/>
          <w:szCs w:val="18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>
      <w:pPr>
        <w:spacing w:line="240" w:lineRule="auto"/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Miejsce i termin składania ofert:</w:t>
      </w:r>
    </w:p>
    <w:p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Ofertę należy przesłać na adres e-mail: </w:t>
      </w:r>
      <w:r>
        <w:fldChar w:fldCharType="begin"/>
      </w:r>
      <w:r>
        <w:instrText xml:space="preserve"> HYPERLINK "mailto:magdalena.labedz@umcs.pl" </w:instrText>
      </w:r>
      <w:r>
        <w:fldChar w:fldCharType="separate"/>
      </w:r>
      <w:r>
        <w:rPr>
          <w:rStyle w:val="26"/>
          <w:rFonts w:ascii="Calibri" w:hAnsi="Calibri" w:cs="Calibri"/>
          <w:sz w:val="18"/>
          <w:szCs w:val="18"/>
        </w:rPr>
        <w:t>magdalena.labedz@umcs.pl</w:t>
      </w:r>
      <w:r>
        <w:rPr>
          <w:rStyle w:val="26"/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w terminie do dnia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02</w:t>
      </w:r>
      <w:r>
        <w:rPr>
          <w:rFonts w:ascii="Calibri" w:hAnsi="Calibri" w:cs="Calibri"/>
          <w:b/>
          <w:sz w:val="18"/>
          <w:szCs w:val="18"/>
        </w:rPr>
        <w:t>.0</w:t>
      </w:r>
      <w:r>
        <w:rPr>
          <w:rFonts w:hint="default" w:ascii="Calibri" w:hAnsi="Calibri" w:cs="Calibri"/>
          <w:b/>
          <w:sz w:val="18"/>
          <w:szCs w:val="18"/>
          <w:lang w:val="pl-PL"/>
        </w:rPr>
        <w:t>4</w:t>
      </w:r>
      <w:r>
        <w:rPr>
          <w:rFonts w:ascii="Calibri" w:hAnsi="Calibri" w:cs="Calibri"/>
          <w:b/>
          <w:sz w:val="18"/>
          <w:szCs w:val="18"/>
        </w:rPr>
        <w:t>.2020 r. do godz. 1</w:t>
      </w:r>
      <w:r>
        <w:rPr>
          <w:rFonts w:hint="default" w:ascii="Calibri" w:hAnsi="Calibri" w:cs="Calibri"/>
          <w:b/>
          <w:sz w:val="18"/>
          <w:szCs w:val="18"/>
          <w:lang w:val="pl-PL"/>
        </w:rPr>
        <w:t>0</w:t>
      </w:r>
      <w:r>
        <w:rPr>
          <w:rFonts w:ascii="Calibri" w:hAnsi="Calibri" w:cs="Calibri"/>
          <w:b/>
          <w:sz w:val="18"/>
          <w:szCs w:val="18"/>
        </w:rPr>
        <w:t>:00.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Kryteria oceny ofert:</w:t>
      </w:r>
    </w:p>
    <w:p>
      <w:pPr>
        <w:spacing w:line="240" w:lineRule="auto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nieuregulowanych zaproszeniem stosuje się przepisy Kodeksu cywilnego.</w:t>
      </w:r>
    </w:p>
    <w:p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>
      <w:p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Załączniki:</w:t>
      </w:r>
    </w:p>
    <w:p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1 – Opis przedmiotu zamówienia</w:t>
      </w:r>
    </w:p>
    <w:p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– Formularz ofertowy</w:t>
      </w:r>
    </w:p>
    <w:p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>
      <w:pPr>
        <w:pStyle w:val="8"/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>
      <w:pPr>
        <w:pStyle w:val="16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>
      <w:pPr>
        <w:pStyle w:val="16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>
      <w:pPr>
        <w:pStyle w:val="16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Oznaczenie sprawy: </w:t>
      </w:r>
      <w:r>
        <w:rPr>
          <w:rFonts w:ascii="Calibri" w:hAnsi="Calibri" w:cs="Calibri"/>
          <w:bCs/>
          <w:sz w:val="18"/>
          <w:szCs w:val="18"/>
        </w:rPr>
        <w:t>PU/5</w:t>
      </w:r>
      <w:r>
        <w:rPr>
          <w:rFonts w:hint="default" w:ascii="Calibri" w:hAnsi="Calibri" w:cs="Calibri"/>
          <w:bCs/>
          <w:sz w:val="18"/>
          <w:szCs w:val="18"/>
          <w:lang w:val="pl-PL"/>
        </w:rPr>
        <w:t>5</w:t>
      </w:r>
      <w:r>
        <w:rPr>
          <w:rFonts w:ascii="Calibri" w:hAnsi="Calibri" w:cs="Calibri"/>
          <w:bCs/>
          <w:sz w:val="18"/>
          <w:szCs w:val="18"/>
        </w:rPr>
        <w:t>-2020/DZP-z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nr  1 </w:t>
      </w:r>
    </w:p>
    <w:p>
      <w:pPr>
        <w:pStyle w:val="16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left" w:pos="3645"/>
        </w:tabs>
        <w:spacing w:line="24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Przedmiotem zamówienia jest dostawa materiałów </w:t>
      </w:r>
      <w:r>
        <w:rPr>
          <w:rFonts w:hint="default" w:ascii="Calibri" w:hAnsi="Calibri" w:cs="Calibri"/>
          <w:b w:val="0"/>
          <w:bCs/>
          <w:sz w:val="18"/>
          <w:szCs w:val="18"/>
          <w:lang w:val="pl-PL"/>
        </w:rPr>
        <w:t>laboratoryjnych</w:t>
      </w:r>
      <w:r>
        <w:rPr>
          <w:rFonts w:ascii="Calibri" w:hAnsi="Calibri" w:cs="Calibri"/>
          <w:sz w:val="18"/>
          <w:szCs w:val="18"/>
        </w:rPr>
        <w:t xml:space="preserve"> do UMCS w Lublinie:</w:t>
      </w:r>
    </w:p>
    <w:p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Style w:val="29"/>
        <w:tblpPr w:leftFromText="141" w:rightFromText="141" w:bottomFromText="200" w:vertAnchor="text" w:tblpX="114" w:tblpY="1"/>
        <w:tblOverlap w:val="never"/>
        <w:tblW w:w="10598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19"/>
        <w:gridCol w:w="110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1,2-Phenylenediamine for synthesis, opakowanie 250g np. nr kat. 8.14538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Benzozin 98%, opakowanie 500g np. nr kat. B8681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p-Anisaldehyde 98%, opakowanie 100g np. nr kat. A88107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4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4-Aminophenol for synthesis, opakowanie 1kg np. nr kat. 8.00421 lub produkt równoważny. 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D-(+)-Glucosamine hydrochloride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≥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99%, BioReagent suitable for cell culture, opakowanie 100g np. nr kat. G1514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6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L-Carvon</w:t>
            </w:r>
            <w:r>
              <w:rPr>
                <w:rFonts w:hint="default" w:hAnsi="Calibri" w:cs="Calibri" w:asciiTheme="minorAscii"/>
                <w:sz w:val="18"/>
                <w:szCs w:val="18"/>
                <w:lang w:val="pl-PL"/>
              </w:rPr>
              <w:t xml:space="preserve">e </w:t>
            </w:r>
            <w:r>
              <w:rPr>
                <w:rFonts w:hint="default" w:hAnsi="Arial" w:cs="Arial" w:asciiTheme="minorAscii"/>
                <w:sz w:val="18"/>
                <w:szCs w:val="18"/>
                <w:lang w:val="pl-PL"/>
              </w:rPr>
              <w:t xml:space="preserve">≥97%, FCC, FG, opakowanie 1kg np. nr kat. W224901 lub produkt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7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L-Proline 99%, FCC, FG, opakowanie 100g np.nr kat. W331902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8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4-Nitroaniline for synthesis, opakowanie 1kg np. nr kat. 8.22292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9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Supelco Celite 545, particle size 0.02-0.1mm, opakowanie 1kg np. nr kat. 1.02693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10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(-)-Borneol predominantly endo, 97%, opakowanie 100g np. nr kat. 139114 lub produkt równoważny. 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11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D(+)-Glucose, opakowanie 250g np. nr kat. X977.1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12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Benzoyl chloride for synthesis, opakowanie 1L np. nr kat. 8.01804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13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Naphthalene for synthesis, opakowanie 1kg np. nr kat. 8.20846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14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Monopersulfate compound, opakowanie 100g np. nr kat. 228036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</w:tr>
    </w:tbl>
    <w:p>
      <w:pPr>
        <w:tabs>
          <w:tab w:val="left" w:pos="10005"/>
        </w:tabs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</w:t>
      </w:r>
    </w:p>
    <w:tbl>
      <w:tblPr>
        <w:tblStyle w:val="29"/>
        <w:tblpPr w:leftFromText="141" w:rightFromText="141" w:bottomFromText="200" w:vertAnchor="text" w:tblpX="114" w:tblpY="1"/>
        <w:tblOverlap w:val="never"/>
        <w:tblW w:w="10598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19"/>
        <w:gridCol w:w="110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Bromine, 99+%, extra pure, opakowanie 1LT np. nr kat. 402840010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8819" w:type="dxa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Nitrobenzene, 99% extra pure , opakowanie 1L np. nr kat. 128420010 lub produkt równoważny.</w:t>
            </w:r>
          </w:p>
        </w:tc>
        <w:tc>
          <w:tcPr>
            <w:tcW w:w="1105" w:type="dxa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1.Zamawiający dopuszcza możliwość zaoferowania produktów równoważnych. </w:t>
      </w:r>
      <w:r>
        <w:rPr>
          <w:rFonts w:ascii="Calibri" w:hAnsi="Calibri" w:cs="Calibri"/>
          <w:i/>
          <w:sz w:val="18"/>
          <w:szCs w:val="18"/>
        </w:rPr>
        <w:t xml:space="preserve">  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>
        <w:rPr>
          <w:rFonts w:ascii="Calibri" w:hAnsi="Calibri" w:cs="Calibri"/>
          <w:sz w:val="18"/>
          <w:szCs w:val="18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Oznacza to, że produkt równoważny </w:t>
      </w:r>
      <w:r>
        <w:rPr>
          <w:rFonts w:ascii="Calibri" w:hAnsi="Calibri" w:cs="Calibri"/>
          <w:b/>
          <w:sz w:val="18"/>
          <w:szCs w:val="18"/>
        </w:rPr>
        <w:t>musi spełniać minimalne parametry</w:t>
      </w:r>
      <w:r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ponadto na żądanie Zamawiającego: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dodatkowych materiałów zużywalnych.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>
      <w:pPr>
        <w:suppressAutoHyphens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3.Dostawca zobowiązuje się dostarczyć przedmiot zamówienia w terminie do 30 dni od dnia złożenia zamówienia.</w:t>
      </w:r>
    </w:p>
    <w:p>
      <w:pPr>
        <w:suppressAutoHyphens/>
        <w:spacing w:line="240" w:lineRule="auto"/>
        <w:rPr>
          <w:rFonts w:ascii="Calibri" w:hAnsi="Calibri" w:eastAsia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</w:rPr>
        <w:t>4 .Termin i warunki płatności: zapłata za przedmiot umowy będzie dokonana w formie przelewu, na podstawie prawidłowo wystawionej  faktury VAT, w terminie 30 dni od daty jej otrzymania.</w:t>
      </w:r>
      <w:r>
        <w:rPr>
          <w:rFonts w:ascii="Calibri" w:hAnsi="Calibri" w:eastAsia="Calibri" w:cs="Calibri"/>
          <w:sz w:val="18"/>
          <w:szCs w:val="18"/>
          <w:lang w:eastAsia="en-US"/>
        </w:rPr>
        <w:t xml:space="preserve"> </w:t>
      </w:r>
    </w:p>
    <w:p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Wykonawca na własny koszt i ryzyko zapewni transport oraz rozładunek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miejsca wskazanego przez Zamawiającego: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</w:t>
      </w:r>
    </w:p>
    <w:p>
      <w:pPr>
        <w:spacing w:after="120" w:line="240" w:lineRule="auto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</w:rPr>
        <w:t xml:space="preserve">   Wydział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Chemii</w:t>
      </w:r>
      <w:r>
        <w:rPr>
          <w:rFonts w:ascii="Calibri" w:hAnsi="Calibri" w:cs="Calibri"/>
          <w:b/>
          <w:sz w:val="18"/>
          <w:szCs w:val="18"/>
        </w:rPr>
        <w:t xml:space="preserve">, Katedra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Chemii Organicznej</w:t>
      </w:r>
    </w:p>
    <w:p>
      <w:pPr>
        <w:spacing w:after="12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Ul.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Gliniana 33</w:t>
      </w:r>
      <w:r>
        <w:rPr>
          <w:rFonts w:ascii="Calibri" w:hAnsi="Calibri" w:cs="Calibri"/>
          <w:b/>
          <w:sz w:val="18"/>
          <w:szCs w:val="18"/>
        </w:rPr>
        <w:t>, 20-</w:t>
      </w:r>
      <w:r>
        <w:rPr>
          <w:rFonts w:hint="default" w:ascii="Calibri" w:hAnsi="Calibri" w:cs="Calibri"/>
          <w:b/>
          <w:sz w:val="18"/>
          <w:szCs w:val="18"/>
          <w:lang w:val="pl-PL"/>
        </w:rPr>
        <w:t>614</w:t>
      </w:r>
      <w:r>
        <w:rPr>
          <w:rFonts w:ascii="Calibri" w:hAnsi="Calibri" w:cs="Calibri"/>
          <w:b/>
          <w:sz w:val="18"/>
          <w:szCs w:val="18"/>
        </w:rPr>
        <w:t xml:space="preserve"> Lublin</w:t>
      </w:r>
    </w:p>
    <w:p>
      <w:pPr>
        <w:spacing w:after="120" w:line="240" w:lineRule="auto"/>
        <w:ind w:left="284"/>
        <w:jc w:val="center"/>
        <w:rPr>
          <w:rFonts w:hint="default"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</w:rPr>
        <w:t xml:space="preserve">Osoba do kontaktu: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Pani Ewa Jakson</w:t>
      </w:r>
      <w:r>
        <w:rPr>
          <w:rFonts w:ascii="Calibri" w:hAnsi="Calibri" w:cs="Calibri"/>
          <w:b/>
          <w:sz w:val="18"/>
          <w:szCs w:val="18"/>
        </w:rPr>
        <w:t xml:space="preserve"> tel. 81 537 </w:t>
      </w:r>
      <w:r>
        <w:rPr>
          <w:rFonts w:hint="default" w:ascii="Calibri" w:hAnsi="Calibri" w:cs="Calibri"/>
          <w:b/>
          <w:sz w:val="18"/>
          <w:szCs w:val="18"/>
          <w:lang w:val="pl-PL"/>
        </w:rPr>
        <w:t>22 51 (wew.135)</w:t>
      </w: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rPr>
          <w:rFonts w:ascii="Calibri" w:hAnsi="Calibri" w:cs="Calibri"/>
          <w:b/>
          <w:sz w:val="18"/>
          <w:szCs w:val="18"/>
        </w:rPr>
      </w:pPr>
    </w:p>
    <w:p>
      <w:pPr>
        <w:pStyle w:val="16"/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Oznaczenie sprawy: </w:t>
      </w:r>
      <w:r>
        <w:rPr>
          <w:rFonts w:ascii="Calibri" w:hAnsi="Calibri" w:cs="Calibri"/>
          <w:bCs/>
          <w:sz w:val="16"/>
          <w:szCs w:val="16"/>
        </w:rPr>
        <w:t>PU/5</w:t>
      </w:r>
      <w:r>
        <w:rPr>
          <w:rFonts w:hint="default" w:ascii="Calibri" w:hAnsi="Calibri" w:cs="Calibri"/>
          <w:bCs/>
          <w:sz w:val="16"/>
          <w:szCs w:val="16"/>
          <w:lang w:val="pl-PL"/>
        </w:rPr>
        <w:t>5</w:t>
      </w:r>
      <w:r>
        <w:rPr>
          <w:rFonts w:ascii="Calibri" w:hAnsi="Calibri" w:cs="Calibri"/>
          <w:bCs/>
          <w:sz w:val="16"/>
          <w:szCs w:val="16"/>
        </w:rPr>
        <w:t>-2020/DZP-z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Załącznik nr  2</w:t>
      </w:r>
    </w:p>
    <w:p>
      <w:pPr>
        <w:pStyle w:val="16"/>
        <w:spacing w:line="240" w:lineRule="auto"/>
        <w:rPr>
          <w:rFonts w:ascii="Calibri" w:hAnsi="Calibri" w:cs="Calibri"/>
          <w:sz w:val="16"/>
          <w:szCs w:val="16"/>
        </w:rPr>
      </w:pPr>
    </w:p>
    <w:p>
      <w:pPr>
        <w:pStyle w:val="46"/>
        <w:spacing w:line="240" w:lineRule="auto"/>
        <w:ind w:left="3540" w:right="559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FORMULARZ OFERTY   </w:t>
      </w:r>
    </w:p>
    <w:p>
      <w:pPr>
        <w:spacing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Wykonawca: 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</w:t>
      </w:r>
      <w:r>
        <w:rPr>
          <w:rFonts w:ascii="Calibri" w:hAnsi="Calibri" w:cs="Calibri"/>
          <w:b/>
          <w:i/>
          <w:sz w:val="16"/>
          <w:szCs w:val="16"/>
        </w:rPr>
        <w:t>r</w:t>
      </w:r>
      <w:r>
        <w:rPr>
          <w:rFonts w:ascii="Calibri" w:hAnsi="Calibri" w:cs="Calibri"/>
          <w:i/>
          <w:sz w:val="16"/>
          <w:szCs w:val="16"/>
        </w:rPr>
        <w:t>ma, adres )</w:t>
      </w:r>
    </w:p>
    <w:p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>
        <w:rPr>
          <w:rFonts w:ascii="Calibri" w:hAnsi="Calibri" w:cs="Calibri"/>
          <w:sz w:val="16"/>
          <w:szCs w:val="16"/>
        </w:rPr>
        <w:t xml:space="preserve"> .………………………………………………………………………………………………..……………………………………………………………</w:t>
      </w:r>
    </w:p>
    <w:p>
      <w:pPr>
        <w:spacing w:line="240" w:lineRule="auto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>
      <w:pPr>
        <w:spacing w:line="240" w:lineRule="auto"/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………………………………………………………………………….........</w:t>
      </w:r>
    </w:p>
    <w:p>
      <w:pPr>
        <w:spacing w:after="120" w:line="240" w:lineRule="auto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>tel., fax, adres e-mail:    …...............................................................................................................................................................</w:t>
      </w:r>
    </w:p>
    <w:p>
      <w:pPr>
        <w:tabs>
          <w:tab w:val="left" w:pos="1680"/>
        </w:tabs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odpowiedzi na zaproszenie do składania ofert:  </w:t>
      </w:r>
      <w:r>
        <w:rPr>
          <w:rFonts w:ascii="Calibri" w:hAnsi="Calibri" w:cs="Calibri"/>
          <w:b/>
          <w:sz w:val="16"/>
          <w:szCs w:val="16"/>
        </w:rPr>
        <w:t xml:space="preserve">„Dostawa materiałów </w:t>
      </w:r>
      <w:r>
        <w:rPr>
          <w:rFonts w:hint="default" w:ascii="Calibri" w:hAnsi="Calibri" w:cs="Calibri"/>
          <w:b/>
          <w:sz w:val="18"/>
          <w:szCs w:val="18"/>
          <w:lang w:val="pl-PL"/>
        </w:rPr>
        <w:t xml:space="preserve">laboratoryjnych </w:t>
      </w:r>
      <w:r>
        <w:rPr>
          <w:rFonts w:ascii="Calibri" w:hAnsi="Calibri" w:cs="Calibri"/>
          <w:b/>
          <w:sz w:val="16"/>
          <w:szCs w:val="16"/>
        </w:rPr>
        <w:t xml:space="preserve">do UMCS w Lublinie” </w:t>
      </w:r>
      <w:r>
        <w:rPr>
          <w:rFonts w:ascii="Calibri" w:hAnsi="Calibri" w:cs="Calibri"/>
          <w:sz w:val="16"/>
          <w:szCs w:val="16"/>
        </w:rPr>
        <w:t>składamy niniejszą ofertę.</w:t>
      </w:r>
    </w:p>
    <w:p>
      <w:pPr>
        <w:widowControl w:val="0"/>
        <w:numPr>
          <w:ilvl w:val="0"/>
          <w:numId w:val="3"/>
        </w:numPr>
        <w:spacing w:after="120" w:line="240" w:lineRule="auto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Oferujemy wykonanie zamówienia w pełnym rzeczowym zakresie, zgodnie z opisem przedmiotów zamówienia wg poniższego zestawienia:</w:t>
      </w: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Style w:val="29"/>
        <w:tblpPr w:leftFromText="141" w:rightFromText="141" w:bottomFromText="200" w:vertAnchor="text" w:tblpY="1"/>
        <w:tblOverlap w:val="never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>
            <w:pPr>
              <w:spacing w:after="24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1,2-Phenylenediamine for synthesis, opakowanie 250g np. nr kat. 8.14538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Benzozin 98%, opakowanie 500g np. nr kat. B8681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p-Anisaldehyde 98%, opakowanie 100g np. nr kat. A88107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4-Aminophenol for synthesis, opakowanie 1kg np. nr kat. 8.00421 lub produkt równoważny. 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D-(+)-Glucosamine hydrochloride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≥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99%, BioReagent suitable for cell culture, opakowanie 100g np. nr kat. G1514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L-Carvon</w:t>
            </w:r>
            <w:r>
              <w:rPr>
                <w:rFonts w:hint="default" w:hAnsi="Calibri" w:cs="Calibri" w:asciiTheme="minorAscii"/>
                <w:sz w:val="18"/>
                <w:szCs w:val="18"/>
                <w:lang w:val="pl-PL"/>
              </w:rPr>
              <w:t xml:space="preserve">e </w:t>
            </w:r>
            <w:r>
              <w:rPr>
                <w:rFonts w:hint="default" w:hAnsi="Arial" w:cs="Arial" w:asciiTheme="minorAscii"/>
                <w:sz w:val="18"/>
                <w:szCs w:val="18"/>
                <w:lang w:val="pl-PL"/>
              </w:rPr>
              <w:t xml:space="preserve">≥97%, FCC, FG, opakowanie 1kg np. nr kat. W224901 lub produkt </w:t>
            </w: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L-Proline 99%, FCC, FG, opakowanie 100g np.nr kat. W331902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4-Nitroaniline for synthesis, opakowanie 1kg np. nr kat. 8.22292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Supelco Celite 545, particle size 0.02-0.1mm, opakowanie 1kg np. nr kat. 1.02693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 xml:space="preserve">(-)-Borneol predominantly endo, 97%, opakowanie 100g np. nr kat. 139114 lub produkt równoważny. 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11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D(+)-Glucose, opakowanie 250g np. nr kat. X977.1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Benzoyl chloride for synthesis, opakowanie 1L np. nr kat. 8.01804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Naphthalene for synthesis, opakowanie 1kg np. nr kat. 8.20846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14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Monopersulfate compound, opakowanie 100g np. nr kat. 228036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sz w:val="18"/>
                <w:szCs w:val="18"/>
                <w:lang w:val="pl-PL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  <w:vAlign w:val="center"/>
          </w:tcPr>
          <w:p>
            <w:pPr>
              <w:pStyle w:val="17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</w:p>
    <w:p>
      <w:pPr>
        <w:widowControl w:val="0"/>
        <w:spacing w:line="240" w:lineRule="auto"/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Style w:val="29"/>
        <w:tblpPr w:leftFromText="141" w:rightFromText="141" w:bottomFromText="200" w:vertAnchor="text" w:tblpY="1"/>
        <w:tblOverlap w:val="never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>
            <w:pPr>
              <w:spacing w:after="24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Bromine, 99+%, extra pure, opakowanie 1LT np. nr kat. 402840010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1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4406" w:type="dxa"/>
            <w:vAlign w:val="top"/>
          </w:tcPr>
          <w:p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Nitrobenzene, 99% extra pure , opakowanie 1L np. nr kat. 128420010 lub produkt równoważny.</w:t>
            </w:r>
          </w:p>
        </w:tc>
        <w:tc>
          <w:tcPr>
            <w:tcW w:w="850" w:type="dxa"/>
            <w:vAlign w:val="top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pl-PL"/>
              </w:rPr>
              <w:t>2 op.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22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6" w:type="dxa"/>
            <w:vAlign w:val="center"/>
          </w:tcPr>
          <w:p>
            <w:pPr>
              <w:pStyle w:val="17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>
      <w:pPr>
        <w:widowControl w:val="0"/>
        <w:numPr>
          <w:ilvl w:val="0"/>
          <w:numId w:val="3"/>
        </w:numPr>
        <w:spacing w:after="0" w:line="240" w:lineRule="auto"/>
        <w:ind w:left="357" w:right="559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>
      <w:pPr>
        <w:widowControl w:val="0"/>
        <w:numPr>
          <w:ilvl w:val="0"/>
          <w:numId w:val="3"/>
        </w:numPr>
        <w:suppressAutoHyphens/>
        <w:spacing w:after="0" w:line="240" w:lineRule="auto"/>
        <w:ind w:left="357" w:right="559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Płatność przelewem w terminie 30 dni od daty otrzymania faktury.</w:t>
      </w:r>
    </w:p>
    <w:p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Uważamy się za związanych niniejszą ofertą przez okres 30 dni od upływu terminu do składania ofert.</w:t>
      </w:r>
    </w:p>
    <w:p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25"/>
          <w:rFonts w:ascii="Calibri" w:hAnsi="Calibri" w:cs="Calibri"/>
          <w:color w:val="000000"/>
          <w:sz w:val="16"/>
          <w:szCs w:val="16"/>
        </w:rPr>
        <w:footnoteReference w:id="0"/>
      </w:r>
      <w:r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>
        <w:rPr>
          <w:rFonts w:ascii="Calibri" w:hAnsi="Calibri" w:cs="Calibri"/>
          <w:sz w:val="16"/>
          <w:szCs w:val="16"/>
        </w:rPr>
        <w:t>od których dane osobowe bezpośrednio lub pośrednio pozyskałem</w:t>
      </w:r>
      <w:r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25"/>
          <w:rFonts w:ascii="Calibri" w:hAnsi="Calibri" w:cs="Calibri"/>
          <w:color w:val="000000"/>
          <w:sz w:val="16"/>
          <w:szCs w:val="16"/>
        </w:rPr>
        <w:footnoteReference w:id="1"/>
      </w:r>
    </w:p>
    <w:p>
      <w:pPr>
        <w:pStyle w:val="37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>
      <w:pPr>
        <w:pStyle w:val="37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>
      <w:pPr>
        <w:pStyle w:val="37"/>
        <w:spacing w:before="0" w:line="240" w:lineRule="auto"/>
        <w:jc w:val="left"/>
        <w:rPr>
          <w:rFonts w:ascii="Calibri" w:hAnsi="Calibri" w:cs="Calibri"/>
          <w:i/>
          <w:sz w:val="18"/>
          <w:szCs w:val="18"/>
        </w:rPr>
      </w:pPr>
    </w:p>
    <w:p>
      <w:pPr>
        <w:pStyle w:val="37"/>
        <w:spacing w:before="0" w:line="240" w:lineRule="auto"/>
        <w:ind w:left="360"/>
        <w:jc w:val="lef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…………………………………………………                                     ……………………………………………</w:t>
      </w:r>
    </w:p>
    <w:p>
      <w:pPr>
        <w:spacing w:after="0" w:line="240" w:lineRule="auto"/>
        <w:ind w:left="42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(miejscowość, data)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          (pieczęć firmowa Wykonawcy)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 xml:space="preserve">       (podpis, pieczątka imienna osoby upoważnionej</w:t>
      </w: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do składania oświadczeń woli w imieniu Wykonawcy)</w:t>
      </w: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after="0" w:line="240" w:lineRule="auto"/>
        <w:ind w:left="5658" w:firstLine="6"/>
        <w:rPr>
          <w:rFonts w:ascii="Calibri" w:hAnsi="Calibri" w:cs="Calibri"/>
          <w:i/>
          <w:sz w:val="18"/>
          <w:szCs w:val="18"/>
        </w:rPr>
      </w:pPr>
    </w:p>
    <w:p>
      <w:pPr>
        <w:spacing w:line="240" w:lineRule="auto"/>
        <w:rPr>
          <w:rFonts w:ascii="Calibri" w:hAnsi="Calibri" w:cs="Calibri"/>
          <w:i/>
          <w:sz w:val="14"/>
          <w:szCs w:val="14"/>
        </w:rPr>
      </w:pPr>
    </w:p>
    <w:p>
      <w:pPr>
        <w:pStyle w:val="35"/>
        <w:spacing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Załącznik nr 3</w:t>
      </w:r>
    </w:p>
    <w:p>
      <w:pPr>
        <w:pStyle w:val="35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>
      <w:pPr>
        <w:spacing w:after="0" w:line="240" w:lineRule="auto"/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6"/>
          <w:szCs w:val="16"/>
        </w:rPr>
        <w:t>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jest osoba pełniąca funkcję ABI</w:t>
      </w:r>
      <w:r>
        <w:rPr>
          <w:rFonts w:ascii="Calibri" w:hAnsi="Calibri" w:cs="Calibri"/>
          <w:i/>
          <w:sz w:val="16"/>
          <w:szCs w:val="16"/>
        </w:rPr>
        <w:t xml:space="preserve">, kontakt: Sylwia Pawłowska-Jachura, </w:t>
      </w:r>
      <w:r>
        <w:rPr>
          <w:rFonts w:ascii="Calibri" w:hAnsi="Calibri" w:cs="Calibri"/>
          <w:b/>
          <w:i/>
          <w:sz w:val="16"/>
          <w:szCs w:val="16"/>
        </w:rPr>
        <w:t>dane.osobowe@poczta.umcs.lublin.pl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 xml:space="preserve">dostawa materiałów </w:t>
      </w:r>
      <w:r>
        <w:rPr>
          <w:rFonts w:hint="default" w:ascii="Calibri" w:hAnsi="Calibri" w:cs="Calibri"/>
          <w:b/>
          <w:sz w:val="16"/>
          <w:szCs w:val="16"/>
          <w:lang w:val="pl-PL"/>
        </w:rPr>
        <w:t>laboratoryjnych</w:t>
      </w:r>
      <w:r>
        <w:rPr>
          <w:rFonts w:ascii="Calibri" w:hAnsi="Calibri" w:cs="Calibri"/>
          <w:b/>
          <w:sz w:val="16"/>
          <w:szCs w:val="16"/>
        </w:rPr>
        <w:t xml:space="preserve"> do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sprawy: PU/5</w:t>
      </w:r>
      <w:r>
        <w:rPr>
          <w:rFonts w:hint="default" w:ascii="Calibri" w:hAnsi="Calibri" w:cs="Calibri"/>
          <w:b/>
          <w:bCs/>
          <w:i/>
          <w:sz w:val="16"/>
          <w:szCs w:val="16"/>
          <w:lang w:val="pl-PL"/>
        </w:rPr>
        <w:t>5</w:t>
      </w:r>
      <w:r>
        <w:rPr>
          <w:rFonts w:ascii="Calibri" w:hAnsi="Calibri" w:cs="Calibri"/>
          <w:b/>
          <w:bCs/>
          <w:i/>
          <w:sz w:val="16"/>
          <w:szCs w:val="16"/>
        </w:rPr>
        <w:t>-2020/DZP-z)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</w:t>
      </w:r>
      <w:r>
        <w:rPr>
          <w:rFonts w:ascii="Calibri" w:hAnsi="Calibri" w:cs="Calibri"/>
          <w:b/>
          <w:sz w:val="16"/>
          <w:szCs w:val="16"/>
        </w:rPr>
        <w:t>art.</w:t>
      </w:r>
      <w:r>
        <w:rPr>
          <w:rFonts w:hint="default" w:ascii="Calibri" w:hAnsi="Calibri" w:cs="Calibri"/>
          <w:b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4 pkt</w:t>
      </w:r>
      <w:r>
        <w:rPr>
          <w:rFonts w:hint="default" w:ascii="Calibri" w:hAnsi="Calibri" w:cs="Calibri"/>
          <w:b/>
          <w:sz w:val="16"/>
          <w:szCs w:val="16"/>
          <w:lang w:val="pl-PL"/>
        </w:rPr>
        <w:t>.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hint="default" w:ascii="Calibri" w:hAnsi="Calibri" w:cs="Calibri"/>
          <w:b/>
          <w:sz w:val="16"/>
          <w:szCs w:val="16"/>
          <w:lang w:val="pl-PL"/>
        </w:rPr>
        <w:t>8</w:t>
      </w:r>
      <w:r>
        <w:rPr>
          <w:rFonts w:ascii="Calibri" w:hAnsi="Calibri" w:cs="Calibri"/>
          <w:b/>
          <w:sz w:val="16"/>
          <w:szCs w:val="16"/>
        </w:rPr>
        <w:t xml:space="preserve"> PZP</w:t>
      </w:r>
      <w:r>
        <w:rPr>
          <w:rFonts w:ascii="Calibri" w:hAnsi="Calibri" w:cs="Calibri"/>
          <w:sz w:val="16"/>
          <w:szCs w:val="16"/>
        </w:rPr>
        <w:t xml:space="preserve">  zwanej dalej ustawą oraz zgodnie z Regulaminem udzielania zamówień publicznych w Uniwersytecie Marii Curie-Skłodowskiej w Lublinie;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 oparciu o art. 8 i art. 8a  oraz art. 96 ust. 3 , ust.3a i ust.3b ustawy z dnia 29 stycznia 2004r. – Prawo zamówień publicznych (Dz. U. z 2019r. poz. 1843 t.j.) dalej „ustawa Pzp”;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Pani/Pana dane osobowe będą przechowywane, zgodnie z art. 97 ust. 1 ustawy Pzp, przez okres 4 lat od dnia zakończenia postępowania o udzielenie zamówienia lub zgodnie z wytycznymi Projektu i umową o dofinansowanie.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5"/>
        </w:numPr>
        <w:spacing w:after="0" w:line="240" w:lineRule="auto"/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>
      <w:pPr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b/>
          <w:sz w:val="16"/>
          <w:szCs w:val="16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spacing w:after="0" w:line="240" w:lineRule="auto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>
      <w:pPr>
        <w:spacing w:after="0" w:line="240" w:lineRule="auto"/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>
      <w:pPr>
        <w:spacing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sectPr>
      <w:footerReference r:id="rId5" w:type="first"/>
      <w:footerReference r:id="rId4" w:type="even"/>
      <w:pgSz w:w="11906" w:h="16838"/>
      <w:pgMar w:top="720" w:right="720" w:bottom="720" w:left="720" w:header="420" w:footer="295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</w:instrText>
    </w:r>
    <w:r>
      <w:rPr>
        <w:rStyle w:val="27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5"/>
        <w:jc w:val="both"/>
        <w:rPr>
          <w:rFonts w:ascii="Calibri" w:hAnsi="Calibri" w:cs="Calibri"/>
          <w:sz w:val="16"/>
          <w:szCs w:val="16"/>
        </w:rPr>
      </w:pPr>
      <w:r>
        <w:rPr>
          <w:rStyle w:val="25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1">
    <w:p>
      <w:pPr>
        <w:pStyle w:val="14"/>
        <w:jc w:val="both"/>
        <w:rPr>
          <w:rFonts w:ascii="Calibri" w:hAnsi="Calibri" w:cs="Calibri"/>
          <w:sz w:val="16"/>
          <w:szCs w:val="16"/>
        </w:rPr>
      </w:pPr>
      <w:r>
        <w:rPr>
          <w:rStyle w:val="25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1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eastAsia="Times New Roman" w:cs="Calibri"/>
        <w:b w:val="0"/>
        <w:bCs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2D"/>
    <w:multiLevelType w:val="multilevel"/>
    <w:tmpl w:val="1032012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3F793ABA"/>
    <w:multiLevelType w:val="multilevel"/>
    <w:tmpl w:val="3F793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7E4"/>
    <w:rsid w:val="00030E58"/>
    <w:rsid w:val="0003217E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57DB2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67B17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87236"/>
    <w:rsid w:val="00090179"/>
    <w:rsid w:val="00090D24"/>
    <w:rsid w:val="00090E89"/>
    <w:rsid w:val="00092AE7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864"/>
    <w:rsid w:val="00156BB3"/>
    <w:rsid w:val="0015724C"/>
    <w:rsid w:val="0015779C"/>
    <w:rsid w:val="00157A11"/>
    <w:rsid w:val="00160600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3287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D5B6A"/>
    <w:rsid w:val="001D798C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176D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928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1752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95E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B624F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457D"/>
    <w:rsid w:val="00334CFB"/>
    <w:rsid w:val="00335FC5"/>
    <w:rsid w:val="00336547"/>
    <w:rsid w:val="003373ED"/>
    <w:rsid w:val="003378C1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7073A"/>
    <w:rsid w:val="00370B7B"/>
    <w:rsid w:val="00370D81"/>
    <w:rsid w:val="0037144A"/>
    <w:rsid w:val="00371614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B7BEB"/>
    <w:rsid w:val="003C0185"/>
    <w:rsid w:val="003C09FF"/>
    <w:rsid w:val="003C13D3"/>
    <w:rsid w:val="003C28AC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6B37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5C67"/>
    <w:rsid w:val="003E621D"/>
    <w:rsid w:val="003E7348"/>
    <w:rsid w:val="003E7778"/>
    <w:rsid w:val="003E77DB"/>
    <w:rsid w:val="003E7988"/>
    <w:rsid w:val="003F1253"/>
    <w:rsid w:val="003F1D2C"/>
    <w:rsid w:val="003F25D4"/>
    <w:rsid w:val="003F2DD7"/>
    <w:rsid w:val="003F4762"/>
    <w:rsid w:val="003F5031"/>
    <w:rsid w:val="003F52A1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1E34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62A"/>
    <w:rsid w:val="00466980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3E2E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0A2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70F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0EE4"/>
    <w:rsid w:val="00671E51"/>
    <w:rsid w:val="00672239"/>
    <w:rsid w:val="00672298"/>
    <w:rsid w:val="00672617"/>
    <w:rsid w:val="00674CE8"/>
    <w:rsid w:val="006753B7"/>
    <w:rsid w:val="00675B77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58DB"/>
    <w:rsid w:val="00706400"/>
    <w:rsid w:val="00707F10"/>
    <w:rsid w:val="00710129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31333"/>
    <w:rsid w:val="007328B6"/>
    <w:rsid w:val="007340BD"/>
    <w:rsid w:val="007365EF"/>
    <w:rsid w:val="00736712"/>
    <w:rsid w:val="007372CD"/>
    <w:rsid w:val="007407D3"/>
    <w:rsid w:val="00740EC9"/>
    <w:rsid w:val="00741F21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04BA"/>
    <w:rsid w:val="00751074"/>
    <w:rsid w:val="007514E9"/>
    <w:rsid w:val="007518ED"/>
    <w:rsid w:val="00751CC7"/>
    <w:rsid w:val="0075424E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5421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3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1798"/>
    <w:rsid w:val="007F2BD5"/>
    <w:rsid w:val="007F3DE2"/>
    <w:rsid w:val="007F4E5F"/>
    <w:rsid w:val="007F532F"/>
    <w:rsid w:val="007F5386"/>
    <w:rsid w:val="007F5958"/>
    <w:rsid w:val="007F6847"/>
    <w:rsid w:val="007F6CE9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452F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D7815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537"/>
    <w:rsid w:val="008F07D3"/>
    <w:rsid w:val="008F0EC2"/>
    <w:rsid w:val="008F12F7"/>
    <w:rsid w:val="008F1E46"/>
    <w:rsid w:val="008F2036"/>
    <w:rsid w:val="008F2C78"/>
    <w:rsid w:val="008F3B98"/>
    <w:rsid w:val="008F44B7"/>
    <w:rsid w:val="008F4547"/>
    <w:rsid w:val="008F6B4A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5D8D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42F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46C"/>
    <w:rsid w:val="00A146B3"/>
    <w:rsid w:val="00A14DA4"/>
    <w:rsid w:val="00A15220"/>
    <w:rsid w:val="00A161F0"/>
    <w:rsid w:val="00A1640B"/>
    <w:rsid w:val="00A16948"/>
    <w:rsid w:val="00A20382"/>
    <w:rsid w:val="00A213BC"/>
    <w:rsid w:val="00A22C89"/>
    <w:rsid w:val="00A232BC"/>
    <w:rsid w:val="00A234A7"/>
    <w:rsid w:val="00A25287"/>
    <w:rsid w:val="00A266FC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241A"/>
    <w:rsid w:val="00A924C3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6841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9F8"/>
    <w:rsid w:val="00B02A88"/>
    <w:rsid w:val="00B0368B"/>
    <w:rsid w:val="00B0449F"/>
    <w:rsid w:val="00B05A54"/>
    <w:rsid w:val="00B111B9"/>
    <w:rsid w:val="00B11345"/>
    <w:rsid w:val="00B1223F"/>
    <w:rsid w:val="00B12FD2"/>
    <w:rsid w:val="00B13605"/>
    <w:rsid w:val="00B14847"/>
    <w:rsid w:val="00B15832"/>
    <w:rsid w:val="00B16D63"/>
    <w:rsid w:val="00B17DD6"/>
    <w:rsid w:val="00B17DE7"/>
    <w:rsid w:val="00B20D27"/>
    <w:rsid w:val="00B21707"/>
    <w:rsid w:val="00B21ED9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550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327D"/>
    <w:rsid w:val="00B65ED0"/>
    <w:rsid w:val="00B65F9A"/>
    <w:rsid w:val="00B66FAE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60A3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1A30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67AC6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688"/>
    <w:rsid w:val="00CF798D"/>
    <w:rsid w:val="00CF7D77"/>
    <w:rsid w:val="00D004EE"/>
    <w:rsid w:val="00D0092C"/>
    <w:rsid w:val="00D02CBF"/>
    <w:rsid w:val="00D0305B"/>
    <w:rsid w:val="00D032FD"/>
    <w:rsid w:val="00D0463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E86"/>
    <w:rsid w:val="00D81332"/>
    <w:rsid w:val="00D817E4"/>
    <w:rsid w:val="00D82DE4"/>
    <w:rsid w:val="00D8325C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A608F"/>
    <w:rsid w:val="00DA7759"/>
    <w:rsid w:val="00DB16D6"/>
    <w:rsid w:val="00DB199C"/>
    <w:rsid w:val="00DB27E9"/>
    <w:rsid w:val="00DB2B78"/>
    <w:rsid w:val="00DB2CC8"/>
    <w:rsid w:val="00DB37C4"/>
    <w:rsid w:val="00DB4671"/>
    <w:rsid w:val="00DB4CDB"/>
    <w:rsid w:val="00DB4E38"/>
    <w:rsid w:val="00DB5693"/>
    <w:rsid w:val="00DB5BE2"/>
    <w:rsid w:val="00DB631C"/>
    <w:rsid w:val="00DB681D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5D11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1D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9F8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4C2"/>
    <w:rsid w:val="00ED2A7E"/>
    <w:rsid w:val="00ED2F5B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370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6F8D"/>
    <w:rsid w:val="00F478DF"/>
    <w:rsid w:val="00F47E43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5B58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620F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  <w:rsid w:val="08F841E3"/>
    <w:rsid w:val="1C730D1A"/>
    <w:rsid w:val="2A487B3C"/>
    <w:rsid w:val="32374ACA"/>
    <w:rsid w:val="46B3384D"/>
    <w:rsid w:val="4734623F"/>
    <w:rsid w:val="4AED498D"/>
    <w:rsid w:val="594C4FBD"/>
    <w:rsid w:val="614A5894"/>
    <w:rsid w:val="706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68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50"/>
    <w:qFormat/>
    <w:uiPriority w:val="0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3"/>
    <w:basedOn w:val="1"/>
    <w:next w:val="1"/>
    <w:link w:val="59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63"/>
    <w:semiHidden/>
    <w:unhideWhenUsed/>
    <w:qFormat/>
    <w:uiPriority w:val="99"/>
    <w:rPr>
      <w:rFonts w:ascii="Tahoma" w:hAnsi="Tahoma"/>
      <w:sz w:val="16"/>
      <w:szCs w:val="16"/>
    </w:rPr>
  </w:style>
  <w:style w:type="paragraph" w:styleId="6">
    <w:name w:val="Body Text"/>
    <w:basedOn w:val="1"/>
    <w:link w:val="54"/>
    <w:unhideWhenUsed/>
    <w:qFormat/>
    <w:uiPriority w:val="99"/>
    <w:pPr>
      <w:spacing w:after="120"/>
    </w:pPr>
  </w:style>
  <w:style w:type="paragraph" w:styleId="7">
    <w:name w:val="Body Text 2"/>
    <w:basedOn w:val="1"/>
    <w:link w:val="51"/>
    <w:qFormat/>
    <w:uiPriority w:val="0"/>
    <w:pPr>
      <w:jc w:val="both"/>
    </w:pPr>
    <w:rPr>
      <w:b/>
      <w:bCs/>
      <w:i/>
      <w:iCs/>
    </w:rPr>
  </w:style>
  <w:style w:type="paragraph" w:styleId="8">
    <w:name w:val="Body Text Indent"/>
    <w:basedOn w:val="1"/>
    <w:link w:val="53"/>
    <w:unhideWhenUsed/>
    <w:qFormat/>
    <w:uiPriority w:val="99"/>
    <w:pPr>
      <w:spacing w:after="120"/>
      <w:ind w:left="283"/>
    </w:pPr>
  </w:style>
  <w:style w:type="paragraph" w:styleId="9">
    <w:name w:val="Body Text Indent 3"/>
    <w:basedOn w:val="1"/>
    <w:link w:val="52"/>
    <w:unhideWhenUsed/>
    <w:qFormat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10">
    <w:name w:val="annotation text"/>
    <w:basedOn w:val="1"/>
    <w:link w:val="64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65"/>
    <w:semiHidden/>
    <w:unhideWhenUsed/>
    <w:qFormat/>
    <w:uiPriority w:val="99"/>
    <w:rPr>
      <w:b/>
      <w:bCs/>
    </w:rPr>
  </w:style>
  <w:style w:type="paragraph" w:styleId="12">
    <w:name w:val="Document Map"/>
    <w:basedOn w:val="1"/>
    <w:link w:val="6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13">
    <w:name w:val="endnote text"/>
    <w:basedOn w:val="1"/>
    <w:link w:val="66"/>
    <w:unhideWhenUsed/>
    <w:qFormat/>
    <w:uiPriority w:val="99"/>
    <w:rPr>
      <w:sz w:val="20"/>
      <w:szCs w:val="20"/>
    </w:rPr>
  </w:style>
  <w:style w:type="paragraph" w:styleId="14">
    <w:name w:val="footer"/>
    <w:basedOn w:val="1"/>
    <w:link w:val="49"/>
    <w:qFormat/>
    <w:uiPriority w:val="99"/>
    <w:pPr>
      <w:tabs>
        <w:tab w:val="center" w:pos="4536"/>
        <w:tab w:val="right" w:pos="9072"/>
      </w:tabs>
    </w:pPr>
  </w:style>
  <w:style w:type="paragraph" w:styleId="15">
    <w:name w:val="footnote text"/>
    <w:basedOn w:val="1"/>
    <w:link w:val="69"/>
    <w:unhideWhenUsed/>
    <w:qFormat/>
    <w:uiPriority w:val="99"/>
    <w:rPr>
      <w:sz w:val="20"/>
      <w:szCs w:val="20"/>
    </w:rPr>
  </w:style>
  <w:style w:type="paragraph" w:styleId="16">
    <w:name w:val="header"/>
    <w:basedOn w:val="1"/>
    <w:link w:val="55"/>
    <w:qFormat/>
    <w:uiPriority w:val="99"/>
    <w:pPr>
      <w:tabs>
        <w:tab w:val="center" w:pos="4536"/>
        <w:tab w:val="right" w:pos="9072"/>
      </w:tabs>
    </w:pPr>
  </w:style>
  <w:style w:type="paragraph" w:styleId="17">
    <w:name w:val="HTML Preformatted"/>
    <w:basedOn w:val="1"/>
    <w:link w:val="7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18">
    <w:name w:val="Normal (Web)"/>
    <w:basedOn w:val="1"/>
    <w:qFormat/>
    <w:uiPriority w:val="99"/>
    <w:pPr>
      <w:spacing w:before="100" w:beforeAutospacing="1" w:after="119"/>
    </w:pPr>
  </w:style>
  <w:style w:type="paragraph" w:styleId="19">
    <w:name w:val="Plain Text"/>
    <w:basedOn w:val="1"/>
    <w:link w:val="67"/>
    <w:qFormat/>
    <w:uiPriority w:val="0"/>
    <w:rPr>
      <w:rFonts w:ascii="Courier New" w:hAnsi="Courier New"/>
      <w:sz w:val="20"/>
      <w:szCs w:val="20"/>
    </w:rPr>
  </w:style>
  <w:style w:type="paragraph" w:styleId="20">
    <w:name w:val="Title"/>
    <w:basedOn w:val="1"/>
    <w:link w:val="56"/>
    <w:qFormat/>
    <w:uiPriority w:val="0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22">
    <w:name w:val="annotation reference"/>
    <w:semiHidden/>
    <w:unhideWhenUsed/>
    <w:qFormat/>
    <w:uiPriority w:val="99"/>
    <w:rPr>
      <w:sz w:val="16"/>
      <w:szCs w:val="16"/>
    </w:rPr>
  </w:style>
  <w:style w:type="character" w:styleId="23">
    <w:name w:val="endnote reference"/>
    <w:semiHidden/>
    <w:unhideWhenUsed/>
    <w:qFormat/>
    <w:uiPriority w:val="99"/>
    <w:rPr>
      <w:vertAlign w:val="superscript"/>
    </w:rPr>
  </w:style>
  <w:style w:type="character" w:styleId="24">
    <w:name w:val="FollowedHyperlink"/>
    <w:semiHidden/>
    <w:unhideWhenUsed/>
    <w:qFormat/>
    <w:uiPriority w:val="99"/>
    <w:rPr>
      <w:color w:val="800080"/>
      <w:u w:val="single"/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page number"/>
    <w:basedOn w:val="21"/>
    <w:qFormat/>
    <w:uiPriority w:val="0"/>
  </w:style>
  <w:style w:type="character" w:styleId="28">
    <w:name w:val="Strong"/>
    <w:qFormat/>
    <w:uiPriority w:val="0"/>
    <w:rPr>
      <w:b/>
      <w:bCs/>
    </w:rPr>
  </w:style>
  <w:style w:type="table" w:styleId="30">
    <w:name w:val="Table Grid"/>
    <w:basedOn w:val="2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[No paragraph style]"/>
    <w:qFormat/>
    <w:uiPriority w:val="0"/>
    <w:pPr>
      <w:autoSpaceDE w:val="0"/>
      <w:autoSpaceDN w:val="0"/>
      <w:adjustRightInd w:val="0"/>
      <w:spacing w:after="200"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val="pl-PL" w:eastAsia="pl-PL" w:bidi="ar-SA"/>
    </w:rPr>
  </w:style>
  <w:style w:type="paragraph" w:customStyle="1" w:styleId="32">
    <w:name w:val="WW-Tekst podstawowy 2"/>
    <w:basedOn w:val="1"/>
    <w:qFormat/>
    <w:uiPriority w:val="0"/>
    <w:pPr>
      <w:suppressAutoHyphens/>
      <w:spacing w:line="160" w:lineRule="atLeast"/>
      <w:jc w:val="center"/>
    </w:pPr>
    <w:rPr>
      <w:b/>
      <w:szCs w:val="20"/>
    </w:rPr>
  </w:style>
  <w:style w:type="paragraph" w:styleId="33">
    <w:name w:val="List Paragraph"/>
    <w:basedOn w:val="1"/>
    <w:qFormat/>
    <w:uiPriority w:val="34"/>
    <w:pPr>
      <w:suppressAutoHyphens/>
      <w:ind w:left="720"/>
      <w:contextualSpacing/>
    </w:pPr>
    <w:rPr>
      <w:lang w:eastAsia="ar-SA"/>
    </w:rPr>
  </w:style>
  <w:style w:type="paragraph" w:customStyle="1" w:styleId="34">
    <w:name w:val="pkt"/>
    <w:basedOn w:val="1"/>
    <w:qFormat/>
    <w:uiPriority w:val="0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35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paragraph" w:styleId="36">
    <w:name w:val="No Spacing"/>
    <w:qFormat/>
    <w:uiPriority w:val="0"/>
    <w:pPr>
      <w:suppressAutoHyphens/>
      <w:spacing w:after="200" w:line="276" w:lineRule="auto"/>
    </w:pPr>
    <w:rPr>
      <w:rFonts w:ascii="Times New Roman" w:hAnsi="Times New Roman" w:eastAsia="Arial" w:cs="Times New Roman"/>
      <w:sz w:val="24"/>
      <w:szCs w:val="24"/>
      <w:lang w:val="pl-PL" w:eastAsia="ar-SA" w:bidi="ar-SA"/>
    </w:rPr>
  </w:style>
  <w:style w:type="paragraph" w:customStyle="1" w:styleId="37">
    <w:name w:val="FR1"/>
    <w:qFormat/>
    <w:uiPriority w:val="99"/>
    <w:pPr>
      <w:widowControl w:val="0"/>
      <w:suppressAutoHyphens/>
      <w:spacing w:before="140" w:after="200" w:line="276" w:lineRule="auto"/>
      <w:jc w:val="both"/>
    </w:pPr>
    <w:rPr>
      <w:rFonts w:ascii="Arial" w:hAnsi="Arial" w:eastAsia="Times New Roman" w:cs="Times New Roman"/>
      <w:sz w:val="22"/>
      <w:lang w:val="pl-PL" w:eastAsia="ar-SA" w:bidi="ar-SA"/>
    </w:rPr>
  </w:style>
  <w:style w:type="paragraph" w:customStyle="1" w:styleId="38">
    <w:name w:val="scfbrieftext"/>
    <w:basedOn w:val="1"/>
    <w:qFormat/>
    <w:uiPriority w:val="0"/>
    <w:rPr>
      <w:rFonts w:ascii="Arial" w:hAnsi="Arial" w:cs="Arial"/>
      <w:sz w:val="22"/>
      <w:szCs w:val="22"/>
      <w:lang w:eastAsia="zh-CN"/>
    </w:rPr>
  </w:style>
  <w:style w:type="paragraph" w:customStyle="1" w:styleId="39">
    <w:name w:val="Znak2"/>
    <w:basedOn w:val="1"/>
    <w:qFormat/>
    <w:uiPriority w:val="0"/>
    <w:rPr>
      <w:rFonts w:ascii="Arial" w:hAnsi="Arial" w:cs="Arial"/>
    </w:rPr>
  </w:style>
  <w:style w:type="paragraph" w:customStyle="1" w:styleId="40">
    <w:name w:val="1."/>
    <w:basedOn w:val="1"/>
    <w:qFormat/>
    <w:uiPriority w:val="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1">
    <w:name w:val="a) wciety"/>
    <w:basedOn w:val="1"/>
    <w:qFormat/>
    <w:uiPriority w:val="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2">
    <w:name w:val="Bez odstępów1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Times New Roman" w:cs="Times New Roman"/>
      <w:kern w:val="2"/>
      <w:sz w:val="24"/>
      <w:szCs w:val="24"/>
      <w:lang w:val="pl-PL" w:eastAsia="ar-SA" w:bidi="ar-SA"/>
    </w:rPr>
  </w:style>
  <w:style w:type="paragraph" w:customStyle="1" w:styleId="43">
    <w:name w:val="Akapit z listą2"/>
    <w:basedOn w:val="1"/>
    <w:qFormat/>
    <w:uiPriority w:val="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44">
    <w:name w:val="Pa2"/>
    <w:basedOn w:val="1"/>
    <w:next w:val="1"/>
    <w:qFormat/>
    <w:uiPriority w:val="99"/>
    <w:pPr>
      <w:autoSpaceDE w:val="0"/>
      <w:autoSpaceDN w:val="0"/>
      <w:adjustRightInd w:val="0"/>
      <w:spacing w:line="161" w:lineRule="atLeast"/>
    </w:pPr>
    <w:rPr>
      <w:rFonts w:ascii="Myriad Pro" w:hAnsi="Myriad Pro" w:eastAsia="Calibri"/>
      <w:lang w:eastAsia="en-US"/>
    </w:rPr>
  </w:style>
  <w:style w:type="paragraph" w:customStyle="1" w:styleId="45">
    <w:name w:val="_Style 44"/>
    <w:hidden/>
    <w:semiHidden/>
    <w:qFormat/>
    <w:uiPriority w:val="99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46">
    <w:name w:val="Legenda1"/>
    <w:basedOn w:val="1"/>
    <w:next w:val="1"/>
    <w:qFormat/>
    <w:uiPriority w:val="99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customStyle="1" w:styleId="47">
    <w:name w:val="Standardowy1"/>
    <w:qFormat/>
    <w:uiPriority w:val="0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paragraph" w:customStyle="1" w:styleId="48">
    <w:name w:val="Standardowy11"/>
    <w:qFormat/>
    <w:uiPriority w:val="0"/>
    <w:pPr>
      <w:widowControl w:val="0"/>
      <w:suppressAutoHyphens/>
      <w:overflowPunct w:val="0"/>
      <w:autoSpaceDE w:val="0"/>
      <w:spacing w:after="200" w:line="276" w:lineRule="auto"/>
    </w:pPr>
    <w:rPr>
      <w:rFonts w:ascii="Times New Roman" w:hAnsi="Times New Roman" w:eastAsia="Times New Roman" w:cs="Times New Roman"/>
      <w:sz w:val="22"/>
      <w:lang w:val="pl-PL" w:eastAsia="ar-SA" w:bidi="ar-SA"/>
    </w:rPr>
  </w:style>
  <w:style w:type="character" w:customStyle="1" w:styleId="49">
    <w:name w:val="Stopka Znak"/>
    <w:link w:val="14"/>
    <w:qFormat/>
    <w:uiPriority w:val="99"/>
    <w:rPr>
      <w:sz w:val="24"/>
      <w:szCs w:val="24"/>
    </w:rPr>
  </w:style>
  <w:style w:type="character" w:customStyle="1" w:styleId="50">
    <w:name w:val="Nagłówek 2 Znak"/>
    <w:link w:val="3"/>
    <w:qFormat/>
    <w:uiPriority w:val="0"/>
    <w:rPr>
      <w:b/>
      <w:sz w:val="32"/>
    </w:rPr>
  </w:style>
  <w:style w:type="character" w:customStyle="1" w:styleId="51">
    <w:name w:val="Tekst podstawowy 2 Znak"/>
    <w:link w:val="7"/>
    <w:qFormat/>
    <w:uiPriority w:val="0"/>
    <w:rPr>
      <w:b/>
      <w:bCs/>
      <w:i/>
      <w:iCs/>
      <w:sz w:val="24"/>
      <w:szCs w:val="24"/>
    </w:rPr>
  </w:style>
  <w:style w:type="character" w:customStyle="1" w:styleId="52">
    <w:name w:val="Tekst podstawowy wcięty 3 Znak"/>
    <w:link w:val="9"/>
    <w:qFormat/>
    <w:uiPriority w:val="99"/>
    <w:rPr>
      <w:sz w:val="16"/>
      <w:szCs w:val="16"/>
      <w:lang w:eastAsia="ar-SA"/>
    </w:rPr>
  </w:style>
  <w:style w:type="character" w:customStyle="1" w:styleId="53">
    <w:name w:val="Tekst podstawowy wcięty Znak"/>
    <w:link w:val="8"/>
    <w:qFormat/>
    <w:uiPriority w:val="99"/>
    <w:rPr>
      <w:sz w:val="24"/>
      <w:szCs w:val="24"/>
    </w:rPr>
  </w:style>
  <w:style w:type="character" w:customStyle="1" w:styleId="54">
    <w:name w:val="Tekst podstawowy Znak"/>
    <w:link w:val="6"/>
    <w:qFormat/>
    <w:uiPriority w:val="99"/>
    <w:rPr>
      <w:sz w:val="24"/>
      <w:szCs w:val="24"/>
    </w:rPr>
  </w:style>
  <w:style w:type="character" w:customStyle="1" w:styleId="55">
    <w:name w:val="Nagłówek Znak"/>
    <w:link w:val="16"/>
    <w:qFormat/>
    <w:uiPriority w:val="99"/>
    <w:rPr>
      <w:sz w:val="24"/>
      <w:szCs w:val="24"/>
    </w:rPr>
  </w:style>
  <w:style w:type="character" w:customStyle="1" w:styleId="56">
    <w:name w:val="Tytuł Znak"/>
    <w:link w:val="20"/>
    <w:qFormat/>
    <w:uiPriority w:val="0"/>
    <w:rPr>
      <w:rFonts w:ascii="Arial" w:hAnsi="Arial"/>
      <w:b/>
      <w:bCs/>
      <w:sz w:val="28"/>
      <w:szCs w:val="22"/>
      <w:lang w:eastAsia="en-US"/>
    </w:rPr>
  </w:style>
  <w:style w:type="character" w:customStyle="1" w:styleId="57">
    <w:name w:val="apple-style-span"/>
    <w:basedOn w:val="21"/>
    <w:qFormat/>
    <w:uiPriority w:val="0"/>
  </w:style>
  <w:style w:type="character" w:customStyle="1" w:styleId="58">
    <w:name w:val="luc_hili"/>
    <w:qFormat/>
    <w:uiPriority w:val="0"/>
  </w:style>
  <w:style w:type="character" w:customStyle="1" w:styleId="59">
    <w:name w:val="Nagłówek 3 Znak"/>
    <w:link w:val="4"/>
    <w:semiHidden/>
    <w:qFormat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customStyle="1" w:styleId="60">
    <w:name w:val="apple-converted-space"/>
    <w:basedOn w:val="21"/>
    <w:qFormat/>
    <w:uiPriority w:val="0"/>
  </w:style>
  <w:style w:type="character" w:customStyle="1" w:styleId="61">
    <w:name w:val="Plan dokumentu Znak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62">
    <w:name w:val="luc_hili luc_hili_selected"/>
    <w:qFormat/>
    <w:uiPriority w:val="0"/>
  </w:style>
  <w:style w:type="character" w:customStyle="1" w:styleId="63">
    <w:name w:val="Tekst dymka Znak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64">
    <w:name w:val="Tekst komentarza Znak"/>
    <w:basedOn w:val="21"/>
    <w:link w:val="10"/>
    <w:semiHidden/>
    <w:qFormat/>
    <w:uiPriority w:val="99"/>
  </w:style>
  <w:style w:type="character" w:customStyle="1" w:styleId="65">
    <w:name w:val="Temat komentarza Znak"/>
    <w:link w:val="11"/>
    <w:semiHidden/>
    <w:qFormat/>
    <w:uiPriority w:val="99"/>
    <w:rPr>
      <w:b/>
      <w:bCs/>
    </w:rPr>
  </w:style>
  <w:style w:type="character" w:customStyle="1" w:styleId="66">
    <w:name w:val="Tekst przypisu końcowego Znak"/>
    <w:basedOn w:val="21"/>
    <w:link w:val="13"/>
    <w:qFormat/>
    <w:uiPriority w:val="99"/>
  </w:style>
  <w:style w:type="character" w:customStyle="1" w:styleId="67">
    <w:name w:val="Zwykły tekst Znak"/>
    <w:link w:val="19"/>
    <w:qFormat/>
    <w:uiPriority w:val="0"/>
    <w:rPr>
      <w:rFonts w:ascii="Courier New" w:hAnsi="Courier New"/>
    </w:rPr>
  </w:style>
  <w:style w:type="character" w:customStyle="1" w:styleId="68">
    <w:name w:val="Nagłówek 1 Znak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69">
    <w:name w:val="Tekst przypisu dolnego Znak"/>
    <w:basedOn w:val="21"/>
    <w:link w:val="15"/>
    <w:qFormat/>
    <w:uiPriority w:val="99"/>
  </w:style>
  <w:style w:type="character" w:customStyle="1" w:styleId="70">
    <w:name w:val="HTML - wstępnie sformatowany Znak"/>
    <w:link w:val="17"/>
    <w:qFormat/>
    <w:uiPriority w:val="99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Studio Graficzne FILE</Company>
  <Pages>6</Pages>
  <Words>2657</Words>
  <Characters>18410</Characters>
  <Lines>153</Lines>
  <Paragraphs>42</Paragraphs>
  <TotalTime>12</TotalTime>
  <ScaleCrop>false</ScaleCrop>
  <LinksUpToDate>false</LinksUpToDate>
  <CharactersWithSpaces>21025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2020-03-26T11:15:00Z</dcterms:created>
  <dc:creator>Piotr Domownik</dc:creator>
  <cp:lastModifiedBy>Madzia</cp:lastModifiedBy>
  <cp:lastPrinted>2020-01-20T11:20:00Z</cp:lastPrinted>
  <dcterms:modified xsi:type="dcterms:W3CDTF">2020-03-30T08:03:43Z</dcterms:modified>
  <dc:title>Mariusz Rebczynski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