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92" w:rsidRPr="005B5466" w:rsidRDefault="005B5466" w:rsidP="005B5466">
      <w:pPr>
        <w:jc w:val="center"/>
        <w:rPr>
          <w:b/>
          <w:sz w:val="24"/>
          <w:szCs w:val="24"/>
        </w:rPr>
      </w:pPr>
      <w:r w:rsidRPr="005B5466">
        <w:rPr>
          <w:b/>
          <w:sz w:val="24"/>
          <w:szCs w:val="24"/>
        </w:rPr>
        <w:t>Konspekt zajęć – 02.03.2020 r.</w:t>
      </w:r>
    </w:p>
    <w:p w:rsidR="005B5466" w:rsidRDefault="005B5466"/>
    <w:p w:rsidR="005B5466" w:rsidRDefault="005B5466" w:rsidP="005B5466">
      <w:pPr>
        <w:pStyle w:val="Akapitzlist"/>
        <w:numPr>
          <w:ilvl w:val="0"/>
          <w:numId w:val="1"/>
        </w:numPr>
      </w:pPr>
      <w:r>
        <w:t>Obrona konieczna i stan wyższej konieczności w prawie cywilnym – art. 423 i 424 k.c.</w:t>
      </w:r>
    </w:p>
    <w:p w:rsidR="005B5466" w:rsidRDefault="005B5466" w:rsidP="005B5466">
      <w:pPr>
        <w:pStyle w:val="Akapitzlist"/>
        <w:numPr>
          <w:ilvl w:val="0"/>
          <w:numId w:val="1"/>
        </w:numPr>
      </w:pPr>
      <w:r>
        <w:t>Odpowiedzialność deliktowa osoby niepoczytalnych: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Porównanie zakresu art. 425 k.c. i 82 k.c.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Odpowiedzialność za czyn niedozwolony w przypadku samodzielnego wprawienia się w stan wyłączający świadomość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Odpowiedzialność kuratora lub opiekuna w przypadku popełnienia czynu niedozwolonego przez osobę ubezwłasnowolnioną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Istota winy w nadzorze w odniesieniu do osób niepoczytalnych</w:t>
      </w:r>
    </w:p>
    <w:p w:rsidR="005B5466" w:rsidRDefault="005B5466" w:rsidP="005B5466">
      <w:pPr>
        <w:pStyle w:val="Akapitzlist"/>
        <w:numPr>
          <w:ilvl w:val="0"/>
          <w:numId w:val="1"/>
        </w:numPr>
      </w:pPr>
      <w:r>
        <w:t>Odpowiedzialność za czyny osób małoletnich: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Podstawowa granica wieku w odniesieniu do odpowiedzialności małoletniego;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Wina w nadzorze w przypadku małoletniego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Przesłanki wyłączające winę osoby nadzorującej małoletniego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Odpowiedzialność małoletniego między 13 a 18 r.ż.</w:t>
      </w:r>
    </w:p>
    <w:p w:rsidR="005B5466" w:rsidRDefault="005B5466" w:rsidP="005B5466">
      <w:pPr>
        <w:pStyle w:val="Akapitzlist"/>
        <w:numPr>
          <w:ilvl w:val="0"/>
          <w:numId w:val="1"/>
        </w:numPr>
      </w:pPr>
      <w:r>
        <w:t>Odpowiedzialność osoby chowającej zwierzę: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Zakres podmiotowy art. 431 k.c.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Odpowiedzialność za zwierzę na zasadzie winy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 xml:space="preserve">Odpowiedzialność za zwierzę na zasadzie </w:t>
      </w:r>
      <w:r>
        <w:t>ryzyka</w:t>
      </w:r>
    </w:p>
    <w:p w:rsidR="005B5466" w:rsidRDefault="005B5466" w:rsidP="005B5466">
      <w:pPr>
        <w:pStyle w:val="Akapitzlist"/>
        <w:numPr>
          <w:ilvl w:val="0"/>
          <w:numId w:val="1"/>
        </w:numPr>
      </w:pPr>
      <w:r>
        <w:t>Odpowiedzialność za podwładnego i podwykonawcę: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Porównanie art. 429 i 430 k.c.</w:t>
      </w:r>
    </w:p>
    <w:p w:rsidR="005B5466" w:rsidRDefault="005B5466" w:rsidP="005B5466">
      <w:pPr>
        <w:pStyle w:val="Akapitzlist"/>
        <w:numPr>
          <w:ilvl w:val="1"/>
          <w:numId w:val="1"/>
        </w:numPr>
      </w:pPr>
      <w:r>
        <w:t>Zasada winy a zasada ryzyka – kiedy podwładny a kiedy podwykonawca</w:t>
      </w:r>
      <w:bookmarkStart w:id="0" w:name="_GoBack"/>
      <w:bookmarkEnd w:id="0"/>
    </w:p>
    <w:sectPr w:rsidR="005B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8B2"/>
    <w:multiLevelType w:val="hybridMultilevel"/>
    <w:tmpl w:val="D95E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66"/>
    <w:rsid w:val="005B5466"/>
    <w:rsid w:val="00931E92"/>
    <w:rsid w:val="00D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2020-03-09T10:39:00Z</dcterms:created>
  <dcterms:modified xsi:type="dcterms:W3CDTF">2020-03-09T10:47:00Z</dcterms:modified>
</cp:coreProperties>
</file>