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3" w:rsidRPr="00630AB3" w:rsidRDefault="00630AB3" w:rsidP="00630AB3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</w:pPr>
      <w:r w:rsidRPr="00802EA8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>O</w:t>
      </w:r>
      <w:r w:rsidR="00802EA8" w:rsidRPr="00802EA8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>znaczenie sprawy: PUB/05-2020/DZ</w:t>
      </w:r>
      <w:r w:rsidRPr="00802EA8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>P-a</w:t>
      </w:r>
      <w:r w:rsidR="00747254" w:rsidRPr="00802EA8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 xml:space="preserve">/EMBO </w:t>
      </w:r>
      <w:r w:rsidRPr="002F222F">
        <w:rPr>
          <w:rFonts w:ascii="Calibri" w:eastAsia="Times New Roman" w:hAnsi="Calibri" w:cs="Times New Roman"/>
          <w:bCs/>
          <w:i/>
          <w:color w:val="FF0000"/>
          <w:sz w:val="18"/>
          <w:szCs w:val="18"/>
          <w:lang w:eastAsia="x-none"/>
        </w:rPr>
        <w:tab/>
      </w:r>
      <w:r w:rsidRPr="00630AB3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ab/>
      </w:r>
      <w:r w:rsidRPr="00630AB3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ab/>
      </w:r>
      <w:r w:rsidRPr="00630AB3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ab/>
        <w:t xml:space="preserve">         </w:t>
      </w:r>
      <w:r w:rsidR="00747254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 xml:space="preserve">    </w:t>
      </w:r>
      <w:r w:rsidRPr="00630AB3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 xml:space="preserve">Załącznik Nr 1 do Zaproszenia </w:t>
      </w:r>
    </w:p>
    <w:p w:rsidR="00747254" w:rsidRDefault="00747254" w:rsidP="00630AB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630AB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OPIS PRZEDMIOTU ZAMÓWIENIA </w:t>
      </w:r>
    </w:p>
    <w:p w:rsidR="00630AB3" w:rsidRPr="00630AB3" w:rsidRDefault="00630AB3" w:rsidP="00630AB3">
      <w:pPr>
        <w:tabs>
          <w:tab w:val="left" w:pos="426"/>
          <w:tab w:val="left" w:pos="851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30AB3">
        <w:rPr>
          <w:rFonts w:ascii="Calibri" w:eastAsia="Times New Roman" w:hAnsi="Calibri" w:cs="Arial"/>
          <w:b/>
          <w:sz w:val="20"/>
          <w:szCs w:val="20"/>
          <w:lang w:eastAsia="pl-PL"/>
        </w:rPr>
        <w:t>Przedmiotem zamówienia jest dostawa komputera przenośnego</w:t>
      </w: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7E5AA5" w:rsidRPr="007E5AA5" w:rsidRDefault="007E5AA5" w:rsidP="007E5AA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Oferowany sprzęt/urządzenie ma być fabrycznie nowy, nieużywany oraz nieeksponowany na wystawach lub imprezach targowych, sprawny technicznie, bezpieczny, kompletny i gotowy do pracy, wyprodukowany nie wcześniej </w:t>
      </w:r>
      <w:r w:rsidRPr="00802EA8">
        <w:rPr>
          <w:rFonts w:ascii="Calibri" w:eastAsia="Times New Roman" w:hAnsi="Calibri" w:cs="Arial"/>
          <w:sz w:val="18"/>
          <w:szCs w:val="18"/>
          <w:lang w:eastAsia="pl-PL"/>
        </w:rPr>
        <w:t xml:space="preserve">niż w </w:t>
      </w:r>
      <w:r w:rsidR="00802EA8" w:rsidRPr="00802EA8">
        <w:rPr>
          <w:rFonts w:ascii="Calibri" w:eastAsia="Times New Roman" w:hAnsi="Calibri" w:cs="Arial"/>
          <w:b/>
          <w:sz w:val="18"/>
          <w:szCs w:val="18"/>
          <w:lang w:eastAsia="pl-PL"/>
        </w:rPr>
        <w:t>2019</w:t>
      </w:r>
      <w:r w:rsidRPr="00802EA8">
        <w:rPr>
          <w:rFonts w:ascii="Calibri" w:eastAsia="Times New Roman" w:hAnsi="Calibri" w:cs="Arial"/>
          <w:b/>
          <w:sz w:val="18"/>
          <w:szCs w:val="18"/>
          <w:lang w:eastAsia="pl-PL"/>
        </w:rPr>
        <w:t>r.,</w:t>
      </w:r>
      <w:r w:rsidRPr="00802EA8">
        <w:rPr>
          <w:rFonts w:ascii="Calibri" w:eastAsia="Times New Roman" w:hAnsi="Calibri" w:cs="Arial"/>
          <w:sz w:val="18"/>
          <w:szCs w:val="18"/>
          <w:lang w:eastAsia="pl-PL"/>
        </w:rPr>
        <w:t xml:space="preserve">a </w:t>
      </w:r>
      <w:r w:rsidRPr="007E5AA5">
        <w:rPr>
          <w:rFonts w:ascii="Calibri" w:eastAsia="Times New Roman" w:hAnsi="Calibri" w:cs="Arial"/>
          <w:sz w:val="18"/>
          <w:szCs w:val="18"/>
          <w:lang w:eastAsia="pl-PL"/>
        </w:rPr>
        <w:t>także musi spełniać wymagania techniczno-funkcjonalne wyszczególnione w opisie przedmiotu zamówienia.</w:t>
      </w:r>
    </w:p>
    <w:p w:rsidR="007E5AA5" w:rsidRPr="007E5AA5" w:rsidRDefault="007E5AA5" w:rsidP="007E5AA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7E5AA5" w:rsidRPr="007E5AA5" w:rsidRDefault="007E5AA5" w:rsidP="007E5AA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Zamawiający informuje, że wymóg osiągnięcia w testach </w:t>
      </w:r>
      <w:proofErr w:type="spellStart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>PassMark</w:t>
      </w:r>
      <w:proofErr w:type="spellEnd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 wymaganego wyniku dla każdego z procesorów/kart graficznych winien być osiągnięty na dzień ogłoszenia zaproszenia (zrzut z ekranu strony z wynikami testów </w:t>
      </w:r>
      <w:proofErr w:type="spellStart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>PassMark</w:t>
      </w:r>
      <w:proofErr w:type="spellEnd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 z dnia ogłoszenia zaproszenia dostępny jest pod załącznikami do Zaproszenia).</w:t>
      </w:r>
    </w:p>
    <w:p w:rsidR="007E5AA5" w:rsidRPr="007E5AA5" w:rsidRDefault="007E5AA5" w:rsidP="007E5AA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7E5AA5">
        <w:rPr>
          <w:rFonts w:ascii="Calibri" w:eastAsia="Times New Roman" w:hAnsi="Calibri" w:cs="Arial"/>
          <w:b/>
          <w:sz w:val="18"/>
          <w:szCs w:val="18"/>
          <w:lang w:eastAsia="pl-PL"/>
        </w:rPr>
        <w:t>Wyjątek:</w:t>
      </w:r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 W przypadku pojawienia się modeli procesorów/kart graficznych niefunkcjonujących na rynku w chwili ogłoszenia Zaproszenia, a które wprowadzono do obrotu rynkowego i podlegały ocenie w testach </w:t>
      </w:r>
      <w:proofErr w:type="spellStart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>PassMark</w:t>
      </w:r>
      <w:proofErr w:type="spellEnd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 po ogłoszeniu zaproszenia, Zamawiający oceniać będzie zgodnie z punktacją w testach </w:t>
      </w:r>
      <w:proofErr w:type="spellStart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>PassMark</w:t>
      </w:r>
      <w:proofErr w:type="spellEnd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 z dnia otwarcia ofert.</w:t>
      </w: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3B086B" w:rsidRPr="003B086B" w:rsidRDefault="003B086B" w:rsidP="003B086B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3B086B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Część 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1</w:t>
      </w:r>
      <w:r w:rsidRPr="003B086B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 - Dostawa stacjonarnego zestawu komputerowego – 1 szt.</w:t>
      </w:r>
    </w:p>
    <w:p w:rsidR="00630AB3" w:rsidRPr="003B086B" w:rsidRDefault="003B086B" w:rsidP="00630AB3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3B086B">
        <w:rPr>
          <w:rFonts w:ascii="Calibri" w:eastAsia="Times New Roman" w:hAnsi="Calibri" w:cs="Arial"/>
          <w:b/>
          <w:sz w:val="20"/>
          <w:szCs w:val="20"/>
          <w:lang w:eastAsia="pl-PL"/>
        </w:rPr>
        <w:t>Jednostka centralna komputera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35"/>
        <w:gridCol w:w="5963"/>
      </w:tblGrid>
      <w:tr w:rsidR="003B086B" w:rsidRPr="003B086B" w:rsidTr="00E70F4A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podzespołu/ parametry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16"/>
                <w:szCs w:val="16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Opis minimalnych wymagań</w:t>
            </w:r>
          </w:p>
        </w:tc>
      </w:tr>
      <w:tr w:rsidR="003B086B" w:rsidRPr="003B086B" w:rsidTr="00E70F4A">
        <w:trPr>
          <w:cantSplit/>
          <w:trHeight w:val="848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086B" w:rsidRPr="003B086B" w:rsidRDefault="003B086B" w:rsidP="003B08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Jednostka centralna komputera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- Osiągający średnią wydajność na poziomie minimum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26 841</w:t>
            </w: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punktów w teście wydajnościowym </w:t>
            </w:r>
            <w:proofErr w:type="spellStart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CPU </w:t>
            </w:r>
            <w:proofErr w:type="spellStart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Benchmarks</w:t>
            </w:r>
            <w:proofErr w:type="spellEnd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wg kolumny </w:t>
            </w:r>
            <w:proofErr w:type="spellStart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CPU Mark, którego wyniki są publikowane na stronie</w:t>
            </w:r>
            <w:r w:rsidRPr="003B086B">
              <w:rPr>
                <w:rFonts w:ascii="Calibri" w:eastAsia="Times New Roman" w:hAnsi="Calibri" w:cs="Arial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3B086B" w:rsidRPr="003B086B" w:rsidRDefault="003B086B" w:rsidP="003B0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https://www.cpubenchmark.net/cpu_list.php</w:t>
            </w:r>
          </w:p>
          <w:p w:rsidR="003B086B" w:rsidRPr="003B086B" w:rsidRDefault="003B086B" w:rsidP="003B0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Dedykowane chłodzenie w zestawie</w:t>
            </w:r>
          </w:p>
        </w:tc>
      </w:tr>
      <w:tr w:rsidR="003B086B" w:rsidRPr="003B086B" w:rsidTr="00E70F4A">
        <w:trPr>
          <w:cantSplit/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086B" w:rsidRPr="003B086B" w:rsidRDefault="003B086B" w:rsidP="003B08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86B" w:rsidRPr="003B086B" w:rsidRDefault="00685CAF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Rodzaje wejść/wyjść - panel przedni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685CAF" w:rsidP="003B086B">
            <w:pPr>
              <w:shd w:val="clear" w:color="auto" w:fill="FFFFFF"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</w:rPr>
              <w:t>- Minimum 2 x USB 3.1 Gen 1 (USB 3.0)</w:t>
            </w:r>
          </w:p>
          <w:p w:rsidR="003B086B" w:rsidRDefault="00685CAF" w:rsidP="003B08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Minimum 1 x wejście mikrofonowe</w:t>
            </w:r>
          </w:p>
          <w:p w:rsidR="00685CAF" w:rsidRPr="003B086B" w:rsidRDefault="00685CAF" w:rsidP="003B08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- Minimum 1 x wyjście słuchawkowe/głośnikowe </w:t>
            </w:r>
          </w:p>
        </w:tc>
      </w:tr>
      <w:tr w:rsidR="00685CAF" w:rsidRPr="003B086B" w:rsidTr="00E70F4A">
        <w:trPr>
          <w:cantSplit/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AF" w:rsidRPr="003B086B" w:rsidRDefault="00685CAF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AF" w:rsidRPr="003B086B" w:rsidRDefault="00685CAF" w:rsidP="003B08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5CA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Rodzaje wejść/wyjść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panel tylny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CAF" w:rsidRDefault="00685CA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685CAF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M</w:t>
            </w:r>
            <w:r w:rsidRPr="00685CAF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inimum 4 x USB 3.1 Gen 1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(USB 3.0)</w:t>
            </w:r>
          </w:p>
          <w:p w:rsidR="00685CAF" w:rsidRDefault="00685CA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- Minimum 1</w:t>
            </w:r>
            <w:r w:rsidRPr="00685CAF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x USB 3.1 Gen 2</w:t>
            </w:r>
          </w:p>
          <w:p w:rsidR="00685CAF" w:rsidRPr="00685CAF" w:rsidRDefault="00685CA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- Minimum 1 x USB Type-C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VirtualLink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karta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graficzna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)</w:t>
            </w:r>
          </w:p>
          <w:p w:rsidR="00685CAF" w:rsidRDefault="00685CA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Minimum 5 x wejście/wyjście audio </w:t>
            </w:r>
          </w:p>
          <w:p w:rsidR="009E14C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1 x S/PDIF</w:t>
            </w:r>
          </w:p>
          <w:p w:rsidR="009E14C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1 x RJ-45 (LAN)</w:t>
            </w:r>
          </w:p>
          <w:p w:rsidR="00685CA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1 x HDMI (karta graficzna</w:t>
            </w:r>
          </w:p>
          <w:p w:rsidR="009E14C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3 x Display Port (karta graficzna)</w:t>
            </w:r>
          </w:p>
          <w:p w:rsidR="009E14C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1 x PS/2 Combo</w:t>
            </w:r>
          </w:p>
          <w:p w:rsidR="009E14CF" w:rsidRPr="00685CA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1 x AC-in (wejście zasilania)</w:t>
            </w:r>
          </w:p>
          <w:p w:rsidR="00685CAF" w:rsidRDefault="00685CA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5CA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Wymagana ilość złączy nie może być osiągnięta w wyniku stosowania konwerterów, adapterów, itp.</w:t>
            </w:r>
          </w:p>
        </w:tc>
      </w:tr>
      <w:tr w:rsidR="003B086B" w:rsidRPr="003B086B" w:rsidTr="00E70F4A">
        <w:trPr>
          <w:cantSplit/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3B086B" w:rsidRDefault="00685CAF" w:rsidP="003B08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Minimum 128</w:t>
            </w:r>
            <w:r w:rsidR="003B086B"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GB</w:t>
            </w:r>
          </w:p>
        </w:tc>
      </w:tr>
      <w:tr w:rsidR="003B086B" w:rsidRPr="003B086B" w:rsidTr="00E70F4A">
        <w:trPr>
          <w:cantSplit/>
          <w:trHeight w:val="15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Dysk twardy SSD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2D725C" w:rsidP="003B08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Minimum 1000</w:t>
            </w:r>
            <w:r w:rsidR="003B086B"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GB</w:t>
            </w:r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</w:tc>
      </w:tr>
      <w:tr w:rsidR="003B086B" w:rsidRPr="003B086B" w:rsidTr="00E70F4A">
        <w:trPr>
          <w:cantSplit/>
          <w:trHeight w:val="28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Dysk twardy HDD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3B086B" w:rsidRDefault="002D725C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</w:pPr>
            <w:r w:rsidRPr="00D8164A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  <w:t>Minimum 2</w:t>
            </w:r>
            <w:r w:rsidR="003B086B" w:rsidRPr="003B086B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  <w:t>000 GB</w:t>
            </w:r>
            <w:r w:rsidRPr="00D8164A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  <w:t xml:space="preserve"> SATA</w:t>
            </w:r>
          </w:p>
        </w:tc>
      </w:tr>
      <w:tr w:rsidR="002D725C" w:rsidRPr="003B086B" w:rsidTr="00E70F4A">
        <w:trPr>
          <w:cantSplit/>
          <w:trHeight w:val="17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25C" w:rsidRPr="003B086B" w:rsidRDefault="002D725C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25C" w:rsidRPr="00D8164A" w:rsidRDefault="002D725C" w:rsidP="003B08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5C" w:rsidRPr="00D8164A" w:rsidRDefault="002D725C" w:rsidP="002D72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Miejsce na dodatkowy wewnętrzny dysk SATA - możliwość montażu dodatkowych dysków SATA.</w:t>
            </w:r>
          </w:p>
          <w:p w:rsidR="002D725C" w:rsidRPr="00D8164A" w:rsidRDefault="002D725C" w:rsidP="002D72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Miejsce na dodatkowy wewnętrzny dysk M.2 - możliwość montażu dodatkowego dysku M.2</w:t>
            </w:r>
            <w:r w:rsidR="00D8164A"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8164A"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="00D8164A"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/SATA</w:t>
            </w:r>
          </w:p>
        </w:tc>
      </w:tr>
      <w:tr w:rsidR="003B086B" w:rsidRPr="003B086B" w:rsidTr="00E70F4A">
        <w:trPr>
          <w:cantSplit/>
          <w:trHeight w:val="17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Karta dźwiękowa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Zintegrowana</w:t>
            </w:r>
          </w:p>
        </w:tc>
      </w:tr>
      <w:tr w:rsidR="003B086B" w:rsidRPr="003B086B" w:rsidTr="00E70F4A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656047" w:rsidRDefault="00656047" w:rsidP="003B086B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O</w:t>
            </w:r>
            <w:r w:rsidR="003B086B" w:rsidRPr="003B086B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siągająca średnią wydajność na poziomie minimum </w:t>
            </w:r>
            <w:r w:rsidRPr="00656047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</w:rPr>
              <w:t>16</w:t>
            </w:r>
            <w:r w:rsidR="003B086B" w:rsidRPr="003B086B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</w:rPr>
              <w:t xml:space="preserve"> 700</w:t>
            </w:r>
            <w:r w:rsidR="003B086B" w:rsidRPr="003B086B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 punktów w teście </w:t>
            </w:r>
            <w:proofErr w:type="spellStart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Videocard</w:t>
            </w:r>
            <w:proofErr w:type="spellEnd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Benchmarks</w:t>
            </w:r>
            <w:proofErr w:type="spellEnd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 wg kolumny </w:t>
            </w:r>
            <w:proofErr w:type="spellStart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 G3D Mark, którego wyniki są publikowane na stronie</w:t>
            </w:r>
          </w:p>
          <w:p w:rsidR="003B086B" w:rsidRPr="00656047" w:rsidRDefault="00A304AC" w:rsidP="003B086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hyperlink r:id="rId8" w:history="1">
              <w:r w:rsidR="003B086B" w:rsidRPr="00656047">
                <w:rPr>
                  <w:rFonts w:ascii="Calibri" w:eastAsia="Times New Roman" w:hAnsi="Calibri" w:cs="Arial"/>
                  <w:color w:val="000000" w:themeColor="text1"/>
                  <w:sz w:val="18"/>
                  <w:szCs w:val="18"/>
                  <w:lang w:eastAsia="pl-PL"/>
                </w:rPr>
                <w:t>http://www.videocardbenchmark.net/gpu_list.php</w:t>
              </w:r>
            </w:hyperlink>
          </w:p>
          <w:p w:rsidR="00656047" w:rsidRPr="003B086B" w:rsidRDefault="00656047" w:rsidP="003B086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- Minimum 11 GB pamięci własnej</w:t>
            </w:r>
          </w:p>
        </w:tc>
      </w:tr>
      <w:tr w:rsidR="003B086B" w:rsidRPr="003B086B" w:rsidTr="00E70F4A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656047" w:rsidP="003B0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</w:t>
            </w:r>
            <w:r w:rsidR="003B086B"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inimum </w:t>
            </w:r>
            <w:r w:rsidR="0028155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LAN </w:t>
            </w:r>
            <w:r w:rsidR="003B086B"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="003B086B"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Mbps</w:t>
            </w:r>
            <w:proofErr w:type="spellEnd"/>
          </w:p>
        </w:tc>
      </w:tr>
      <w:tr w:rsidR="003B086B" w:rsidRPr="003B086B" w:rsidTr="00E70F4A">
        <w:trPr>
          <w:cantSplit/>
          <w:trHeight w:val="196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BE21F3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Typu Middle</w:t>
            </w:r>
            <w:r w:rsidR="003B086B"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 Tower</w:t>
            </w:r>
          </w:p>
          <w:p w:rsidR="003B086B" w:rsidRPr="003B086B" w:rsidRDefault="00BE21F3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Wymiary nie większe niż wys. 5</w:t>
            </w:r>
            <w:r w:rsidR="003B086B"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6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0 x szer.  290 x gł. 54</w:t>
            </w:r>
            <w:r w:rsidR="003B086B"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0 mm</w:t>
            </w:r>
          </w:p>
          <w:p w:rsidR="00BE21F3" w:rsidRDefault="003B086B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- </w:t>
            </w:r>
            <w:r w:rsidR="00BE21F3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ATX</w:t>
            </w:r>
          </w:p>
          <w:p w:rsidR="003B086B" w:rsidRDefault="00B5764B" w:rsidP="00B576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kolor czarny</w:t>
            </w:r>
          </w:p>
          <w:p w:rsidR="00B5764B" w:rsidRPr="003B086B" w:rsidRDefault="00B5764B" w:rsidP="00B576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dodatkowe informacje:</w:t>
            </w:r>
            <w:r w:rsidRPr="00B5764B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b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oczny panel z oknem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p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anele boczne ze szkła hartowanego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f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iltry </w:t>
            </w:r>
            <w:proofErr w:type="spellStart"/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antykurzowe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m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aty wyciszające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m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ontaż zasilacza na dole obudowy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o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twór wspomagający montaż chłodzenia na procesor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r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egulacja wentylatorów na zewnątrz obudowy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s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ystem aranżowania kabli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, 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Wyjmowana klatka HDD</w:t>
            </w:r>
          </w:p>
        </w:tc>
      </w:tr>
      <w:tr w:rsidR="003B086B" w:rsidRPr="003B086B" w:rsidTr="00E70F4A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Courier New" w:hAnsi="Calibri" w:cs="Calibri"/>
                <w:b/>
                <w:color w:val="000000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Ma</w:t>
            </w:r>
            <w:r w:rsidR="009E14CF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ksymalna moc nie mniejsza niż 85</w:t>
            </w: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0 W</w:t>
            </w:r>
          </w:p>
        </w:tc>
      </w:tr>
      <w:tr w:rsidR="003B086B" w:rsidRPr="003B086B" w:rsidTr="00E70F4A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64B" w:rsidRPr="00B5764B" w:rsidRDefault="00B5764B" w:rsidP="00B5764B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ourier New" w:hAnsi="Calibri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B5764B">
              <w:rPr>
                <w:rFonts w:ascii="Calibri" w:eastAsia="Courier New" w:hAnsi="Calibri" w:cs="Arial"/>
                <w:color w:val="000000"/>
                <w:kern w:val="3"/>
                <w:sz w:val="18"/>
                <w:szCs w:val="18"/>
                <w:lang w:eastAsia="zh-CN" w:bidi="hi-IN"/>
              </w:rPr>
              <w:t>- Standardowa polska programisty (układ QWERTY) PS/2 lub USB</w:t>
            </w:r>
          </w:p>
          <w:p w:rsidR="003B086B" w:rsidRPr="003B086B" w:rsidRDefault="00B5764B" w:rsidP="00B576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B5764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Kolorystycznie zgodna z pozostałymi elementami zestawu</w:t>
            </w:r>
          </w:p>
        </w:tc>
      </w:tr>
      <w:tr w:rsidR="003B086B" w:rsidRPr="003B086B" w:rsidTr="00B5764B">
        <w:trPr>
          <w:cantSplit/>
          <w:trHeight w:val="7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64B" w:rsidRPr="00B5764B" w:rsidRDefault="00B5764B" w:rsidP="00B5764B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</w:pPr>
            <w:r w:rsidRPr="00B5764B"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  <w:t>- Przewodowa</w:t>
            </w:r>
          </w:p>
          <w:p w:rsidR="00B5764B" w:rsidRPr="00B5764B" w:rsidRDefault="00B5764B" w:rsidP="00B5764B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</w:pPr>
            <w:r w:rsidRPr="00B5764B"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  <w:t>- Optyczna</w:t>
            </w:r>
          </w:p>
          <w:p w:rsidR="00B5764B" w:rsidRPr="00B5764B" w:rsidRDefault="00B5764B" w:rsidP="00B5764B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</w:pPr>
            <w:r w:rsidRPr="00B5764B"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  <w:t xml:space="preserve">- Minimum 3 </w:t>
            </w:r>
            <w:r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  <w:t xml:space="preserve">przyciski i rolka przewijania </w:t>
            </w:r>
            <w:r w:rsidRPr="00B5764B"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  <w:t xml:space="preserve"> USB</w:t>
            </w:r>
          </w:p>
          <w:p w:rsidR="003B086B" w:rsidRPr="003B086B" w:rsidRDefault="00B5764B" w:rsidP="00B576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B5764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- Kolorystycznie zgodna z pozostałymi elementami zestawu</w:t>
            </w:r>
          </w:p>
        </w:tc>
      </w:tr>
      <w:tr w:rsidR="003B086B" w:rsidRPr="003B086B" w:rsidTr="00E70F4A">
        <w:trPr>
          <w:cantSplit/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</w:pPr>
            <w:r w:rsidRPr="003B086B">
              <w:rPr>
                <w:rFonts w:ascii="Calibri" w:eastAsia="SimSun" w:hAnsi="Calibri" w:cs="Mangal"/>
                <w:kern w:val="3"/>
                <w:sz w:val="18"/>
                <w:szCs w:val="18"/>
                <w:lang w:eastAsia="zh-CN" w:bidi="hi-IN"/>
              </w:rPr>
              <w:t>Windows 10 Pro 64-bit PL lub równoważny. System równoważny musi umożliwiać współpracę z posiadanym i użytkowanym przez Zamawiającego systemem SAP oraz z domeną Active Directory.</w:t>
            </w:r>
            <w:r w:rsidR="009E14CF">
              <w:rPr>
                <w:rFonts w:ascii="Calibri" w:eastAsia="SimSun" w:hAnsi="Calibri" w:cs="Mangal"/>
                <w:kern w:val="3"/>
                <w:sz w:val="18"/>
                <w:szCs w:val="18"/>
                <w:lang w:eastAsia="zh-CN" w:bidi="hi-IN"/>
              </w:rPr>
              <w:t xml:space="preserve"> Dołączony nośnik z systemem operacyjnym.</w:t>
            </w:r>
          </w:p>
        </w:tc>
      </w:tr>
      <w:tr w:rsidR="003B086B" w:rsidRPr="003B086B" w:rsidTr="00E70F4A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Kabel zasilający</w:t>
            </w:r>
          </w:p>
          <w:p w:rsidR="003B086B" w:rsidRPr="003B086B" w:rsidRDefault="003B086B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- Kabel </w:t>
            </w:r>
            <w:r w:rsidR="009E14CF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Display Port/</w:t>
            </w: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HDMI</w:t>
            </w:r>
            <w:r w:rsidR="009E14CF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 ( w zależności od portów</w:t>
            </w:r>
            <w:r w:rsidR="00A95776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 oferowanego</w:t>
            </w:r>
            <w:r w:rsidR="009E14CF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 monitora)</w:t>
            </w:r>
            <w:bookmarkStart w:id="0" w:name="_GoBack"/>
            <w:bookmarkEnd w:id="0"/>
          </w:p>
        </w:tc>
      </w:tr>
      <w:tr w:rsidR="003B086B" w:rsidRPr="003B086B" w:rsidTr="00E70F4A">
        <w:trPr>
          <w:cantSplit/>
          <w:trHeight w:val="1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Minimum </w:t>
            </w:r>
            <w:r w:rsidRPr="003B086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24 miesiące</w:t>
            </w:r>
          </w:p>
        </w:tc>
      </w:tr>
      <w:tr w:rsidR="003B086B" w:rsidRPr="003B086B" w:rsidTr="00E70F4A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Serwis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Bezpłatny serwis gwarancyjny na czas trwania gwarancji</w:t>
            </w:r>
          </w:p>
        </w:tc>
      </w:tr>
    </w:tbl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3B086B" w:rsidRPr="003B086B" w:rsidRDefault="003B086B" w:rsidP="003B086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B086B">
        <w:rPr>
          <w:rFonts w:ascii="Calibri" w:eastAsia="Times New Roman" w:hAnsi="Calibri" w:cs="Arial"/>
          <w:b/>
          <w:sz w:val="20"/>
          <w:szCs w:val="20"/>
          <w:lang w:eastAsia="pl-PL"/>
        </w:rPr>
        <w:t>Monitor 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3B086B" w:rsidRPr="003B086B" w:rsidTr="00E70F4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:rsidR="003B086B" w:rsidRPr="003B086B" w:rsidRDefault="003B086B" w:rsidP="003B086B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b/>
                <w:sz w:val="18"/>
                <w:szCs w:val="18"/>
              </w:rPr>
              <w:t>Opis minimalnych wymagań</w:t>
            </w:r>
          </w:p>
        </w:tc>
      </w:tr>
      <w:tr w:rsidR="003B086B" w:rsidRPr="003B086B" w:rsidTr="00E70F4A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86B" w:rsidRPr="003B086B" w:rsidRDefault="003B086B" w:rsidP="003B086B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3B086B" w:rsidRPr="003B086B" w:rsidRDefault="003B086B" w:rsidP="003B086B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B086B">
              <w:rPr>
                <w:rFonts w:ascii="Calibri" w:eastAsia="Times New Roman" w:hAnsi="Calibri" w:cs="Arial"/>
                <w:b/>
                <w:sz w:val="20"/>
                <w:szCs w:val="20"/>
              </w:rPr>
              <w:t>Monitor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Przekątna ekranu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Minimum 23.</w:t>
            </w:r>
            <w:r w:rsidR="00D8164A">
              <w:rPr>
                <w:rFonts w:ascii="Calibri" w:eastAsia="Times New Roman" w:hAnsi="Calibri" w:cs="Arial"/>
                <w:sz w:val="18"/>
                <w:szCs w:val="18"/>
              </w:rPr>
              <w:t xml:space="preserve">0” </w:t>
            </w:r>
          </w:p>
        </w:tc>
      </w:tr>
      <w:tr w:rsidR="003B086B" w:rsidRPr="003B086B" w:rsidTr="00E70F4A">
        <w:trPr>
          <w:trHeight w:val="2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Rozdzielczość ekranu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Minimum 1920 x 1080 pikseli</w:t>
            </w:r>
          </w:p>
        </w:tc>
      </w:tr>
      <w:tr w:rsidR="003B086B" w:rsidRPr="003B086B" w:rsidTr="00E70F4A">
        <w:trPr>
          <w:trHeight w:val="23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Rodzaj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Typu IPS lub równoważna</w:t>
            </w:r>
          </w:p>
        </w:tc>
      </w:tr>
      <w:tr w:rsidR="003B086B" w:rsidRPr="003B086B" w:rsidTr="00E70F4A">
        <w:trPr>
          <w:trHeight w:val="25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Czas reakcji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Nie więcej niż 5 ms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Jasność (typowa)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Minimum 250 cd/m2</w:t>
            </w:r>
          </w:p>
        </w:tc>
      </w:tr>
      <w:tr w:rsidR="003B086B" w:rsidRPr="003B086B" w:rsidTr="00E70F4A">
        <w:trPr>
          <w:trHeight w:val="2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Kąt widzenia w poziomie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Minimum 178 stopni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Kąt widzenia w pionie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Minimum 178 stopni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Minimum:</w:t>
            </w:r>
          </w:p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- 1 x HDMI</w:t>
            </w:r>
          </w:p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- 1 x VGA</w:t>
            </w:r>
          </w:p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lastRenderedPageBreak/>
              <w:t>- 1 x DisplayPort</w:t>
            </w:r>
          </w:p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- 1 x audio</w:t>
            </w:r>
          </w:p>
        </w:tc>
      </w:tr>
      <w:tr w:rsidR="003B086B" w:rsidRPr="003B086B" w:rsidTr="00E70F4A">
        <w:trPr>
          <w:trHeight w:val="24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Głośniki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Wbudowane</w:t>
            </w:r>
          </w:p>
        </w:tc>
      </w:tr>
      <w:tr w:rsidR="003B086B" w:rsidRPr="003B086B" w:rsidTr="00E70F4A">
        <w:trPr>
          <w:trHeight w:val="1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bCs/>
                <w:sz w:val="18"/>
                <w:szCs w:val="18"/>
              </w:rPr>
              <w:t>Dołączone wyposażenie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Kabel zasilający, kabel audio, kabel VGA</w:t>
            </w:r>
          </w:p>
        </w:tc>
      </w:tr>
      <w:tr w:rsidR="003B086B" w:rsidRPr="003B086B" w:rsidTr="00E70F4A">
        <w:trPr>
          <w:trHeight w:val="1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 xml:space="preserve">Minimum </w:t>
            </w:r>
            <w:r w:rsidRPr="003B086B">
              <w:rPr>
                <w:rFonts w:ascii="Calibri" w:eastAsia="Times New Roman" w:hAnsi="Calibri" w:cs="Arial"/>
                <w:b/>
                <w:sz w:val="18"/>
                <w:szCs w:val="18"/>
              </w:rPr>
              <w:t>24 miesiące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Bezpłatny serwis gwarancyjny na czas trwania gwarancji</w:t>
            </w:r>
          </w:p>
        </w:tc>
      </w:tr>
    </w:tbl>
    <w:p w:rsidR="003B086B" w:rsidRPr="003B086B" w:rsidRDefault="003B086B" w:rsidP="003B086B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3B086B" w:rsidRPr="003B086B" w:rsidRDefault="003B086B" w:rsidP="003B086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086B" w:rsidRPr="003B086B" w:rsidRDefault="003B086B" w:rsidP="003B086B">
      <w:pPr>
        <w:spacing w:after="0" w:line="240" w:lineRule="auto"/>
        <w:ind w:left="708" w:hanging="708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Część 2</w:t>
      </w:r>
      <w:r w:rsidRPr="003B086B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: Dostawa </w:t>
      </w:r>
      <w:r w:rsidR="00A543CD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macierzy dyskowej</w:t>
      </w:r>
      <w:r w:rsidR="00096BA5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 </w:t>
      </w:r>
      <w:r w:rsidRPr="003B086B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 NAS  – 1 szt.</w:t>
      </w:r>
    </w:p>
    <w:p w:rsidR="003B086B" w:rsidRPr="003B086B" w:rsidRDefault="00A543CD" w:rsidP="003B086B">
      <w:pPr>
        <w:spacing w:after="0" w:line="240" w:lineRule="auto"/>
        <w:ind w:left="708" w:hanging="708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Macierz dyskowa</w:t>
      </w:r>
      <w:r w:rsidR="003B086B" w:rsidRPr="003B086B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NAS o parametrach nie gorszych niż: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60"/>
        <w:gridCol w:w="6198"/>
      </w:tblGrid>
      <w:tr w:rsidR="003B086B" w:rsidRPr="003B086B" w:rsidTr="00E70F4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B086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B086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Opis minimalnych wymagań</w:t>
            </w:r>
          </w:p>
        </w:tc>
      </w:tr>
      <w:tr w:rsidR="003B086B" w:rsidRPr="003B086B" w:rsidTr="00E70F4A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3B086B" w:rsidRPr="003B086B" w:rsidRDefault="00A543CD" w:rsidP="003B0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Macierz dyskowa</w:t>
            </w:r>
            <w:r w:rsidR="003B086B" w:rsidRPr="003B086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NAS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Macierz dyskowa NAS z dołączanymi dyskami</w:t>
            </w:r>
            <w:r w:rsidR="00836C3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o pojemności 12TB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836C3D" w:rsidP="003B086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 12</w:t>
            </w:r>
            <w:r w:rsidR="001D01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TB ( 2 dyski SATA III)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Kieszenie na dyski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764936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2,5”/3,5”, minimum 4 </w:t>
            </w:r>
            <w:r w:rsidR="003B086B"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szt.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(Hot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swap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)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RAID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Minimum 0, 1, </w:t>
            </w:r>
            <w:r w:rsidR="007649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5, 6, 10, Basic, JBOD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Rodzaje wyjść/wejść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</w:t>
            </w:r>
          </w:p>
          <w:p w:rsidR="003B086B" w:rsidRPr="003B086B" w:rsidRDefault="00096BA5" w:rsidP="00096BA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1 x USB 3.0, </w:t>
            </w:r>
            <w:r w:rsidR="003B086B"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1 x RJ-45 10/100/1000 (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LAN), 1 x DC-in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Osiągający średnią wydajność na poziomie minimum </w:t>
            </w:r>
            <w:r w:rsidR="00836C3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2100</w:t>
            </w: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punktów w teście wydajnościowym </w:t>
            </w:r>
            <w:proofErr w:type="spellStart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CPU </w:t>
            </w:r>
            <w:proofErr w:type="spellStart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Benchmarks</w:t>
            </w:r>
            <w:proofErr w:type="spellEnd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wg. kolumny </w:t>
            </w:r>
            <w:proofErr w:type="spellStart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CPU Mark, którego wyniki są publikowane na stronie </w:t>
            </w:r>
            <w:hyperlink r:id="rId9" w:history="1">
              <w:r w:rsidRPr="003B086B">
                <w:rPr>
                  <w:rFonts w:ascii="Calibri" w:eastAsia="Times New Roman" w:hAnsi="Calibri" w:cs="Arial"/>
                  <w:color w:val="0000FF"/>
                  <w:sz w:val="18"/>
                  <w:szCs w:val="18"/>
                  <w:u w:val="single"/>
                  <w:lang w:eastAsia="pl-PL"/>
                </w:rPr>
                <w:t>http://cpubenchmark.net/cpu_list.php</w:t>
              </w:r>
            </w:hyperlink>
          </w:p>
          <w:p w:rsidR="003B086B" w:rsidRPr="003B086B" w:rsidRDefault="003B086B" w:rsidP="003B086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836C3D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 4</w:t>
            </w:r>
            <w:r w:rsidR="003B086B"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GB (DDR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 w:rsidR="003B086B"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)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Protokoły sieciowe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096BA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Minimum: </w:t>
            </w:r>
            <w:r w:rsidR="00096BA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</w:t>
            </w:r>
            <w:r w:rsidR="00764936" w:rsidRPr="007649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ostęp przez sieć Web</w:t>
            </w:r>
            <w:r w:rsidR="007649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</w:t>
            </w:r>
            <w:r w:rsidR="00096BA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</w:t>
            </w:r>
            <w:r w:rsidR="00764936" w:rsidRPr="007649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ostęp przez aplikacje mobilne</w:t>
            </w:r>
            <w:r w:rsidR="007649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(Android, i OS), obsługa s</w:t>
            </w:r>
            <w:r w:rsidR="00764936"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erwer</w:t>
            </w:r>
            <w:r w:rsidR="007649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</w:t>
            </w:r>
            <w:r w:rsidR="00764936"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DLNA</w:t>
            </w:r>
            <w:r w:rsidR="0035618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funkcja </w:t>
            </w:r>
            <w:r w:rsidR="00356180"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Wake-On-LAN</w:t>
            </w:r>
            <w:r w:rsidR="0035618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/WAN, obsługa s</w:t>
            </w:r>
            <w:r w:rsidR="00356180"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erwer</w:t>
            </w:r>
            <w:r w:rsidR="0035618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</w:t>
            </w:r>
            <w:r w:rsidR="00356180"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FTP</w:t>
            </w:r>
            <w:r w:rsidR="00096BA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i SCSI, </w:t>
            </w:r>
            <w:r w:rsidR="00096BA5"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Serwer CIFS/SMB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System plików dla dysków zewnętrznych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Minimum: </w:t>
            </w:r>
            <w:r w:rsidR="00E5196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FAT,</w:t>
            </w: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NTFS, HFS+, EXT3, EXT4</w:t>
            </w:r>
            <w:r w:rsidR="00E5196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E5196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Btrfs</w:t>
            </w:r>
            <w:proofErr w:type="spellEnd"/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System plików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Minimum: EXT4</w:t>
            </w:r>
            <w:r w:rsidR="00E5196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E5196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Btrfs</w:t>
            </w:r>
            <w:proofErr w:type="spellEnd"/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Dołączone wyposażenie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E5196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 zasilacz, ka</w:t>
            </w:r>
            <w:r w:rsidR="00E5196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bel sieciowy, kabel zasilania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 24 miesiące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Bezpłatny serwis gwarancyjny na czas trwania gwarancji</w:t>
            </w:r>
          </w:p>
        </w:tc>
      </w:tr>
    </w:tbl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sectPr w:rsidR="005E5309" w:rsidSect="00934E5D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AC" w:rsidRDefault="00A304AC" w:rsidP="005E5309">
      <w:pPr>
        <w:spacing w:after="0" w:line="240" w:lineRule="auto"/>
      </w:pPr>
      <w:r>
        <w:separator/>
      </w:r>
    </w:p>
  </w:endnote>
  <w:endnote w:type="continuationSeparator" w:id="0">
    <w:p w:rsidR="00A304AC" w:rsidRDefault="00A304AC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5C7355F5" wp14:editId="4FB571B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AC" w:rsidRDefault="00A304AC" w:rsidP="005E5309">
      <w:pPr>
        <w:spacing w:after="0" w:line="240" w:lineRule="auto"/>
      </w:pPr>
      <w:r>
        <w:separator/>
      </w:r>
    </w:p>
  </w:footnote>
  <w:footnote w:type="continuationSeparator" w:id="0">
    <w:p w:rsidR="00A304AC" w:rsidRDefault="00A304AC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C19D01F" wp14:editId="65520FFF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>
      <w:rPr>
        <w:rFonts w:ascii="Arial" w:hAnsi="Arial"/>
        <w:b/>
        <w:color w:val="5D6A70"/>
        <w:sz w:val="20"/>
        <w:szCs w:val="20"/>
      </w:rPr>
      <w:tab/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E95998B" wp14:editId="0C30315B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388C0B"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CA891" wp14:editId="6A1B90F9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AF6"/>
    <w:multiLevelType w:val="hybridMultilevel"/>
    <w:tmpl w:val="D3142290"/>
    <w:lvl w:ilvl="0" w:tplc="FFC00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6499"/>
    <w:multiLevelType w:val="hybridMultilevel"/>
    <w:tmpl w:val="64C8B9B6"/>
    <w:lvl w:ilvl="0" w:tplc="0DDACA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96BA5"/>
    <w:rsid w:val="001D01F1"/>
    <w:rsid w:val="002644D9"/>
    <w:rsid w:val="00281555"/>
    <w:rsid w:val="002D725C"/>
    <w:rsid w:val="002F222F"/>
    <w:rsid w:val="00337AD5"/>
    <w:rsid w:val="00356180"/>
    <w:rsid w:val="003B086B"/>
    <w:rsid w:val="00417C44"/>
    <w:rsid w:val="004D79D7"/>
    <w:rsid w:val="00537F41"/>
    <w:rsid w:val="005E5309"/>
    <w:rsid w:val="00630AB3"/>
    <w:rsid w:val="00656047"/>
    <w:rsid w:val="00665867"/>
    <w:rsid w:val="00685CAF"/>
    <w:rsid w:val="00747254"/>
    <w:rsid w:val="00764936"/>
    <w:rsid w:val="007A693B"/>
    <w:rsid w:val="007E5AA5"/>
    <w:rsid w:val="00802EA8"/>
    <w:rsid w:val="00836C3D"/>
    <w:rsid w:val="008B5E8A"/>
    <w:rsid w:val="008F6816"/>
    <w:rsid w:val="009029B0"/>
    <w:rsid w:val="00934E5D"/>
    <w:rsid w:val="009E14CF"/>
    <w:rsid w:val="00A304AC"/>
    <w:rsid w:val="00A543CD"/>
    <w:rsid w:val="00A95776"/>
    <w:rsid w:val="00B5764B"/>
    <w:rsid w:val="00BE21F3"/>
    <w:rsid w:val="00C35A02"/>
    <w:rsid w:val="00CD468D"/>
    <w:rsid w:val="00D8164A"/>
    <w:rsid w:val="00D96291"/>
    <w:rsid w:val="00DB4B16"/>
    <w:rsid w:val="00E51964"/>
    <w:rsid w:val="00F4087D"/>
    <w:rsid w:val="00F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63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63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2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24</cp:revision>
  <dcterms:created xsi:type="dcterms:W3CDTF">2019-08-13T14:21:00Z</dcterms:created>
  <dcterms:modified xsi:type="dcterms:W3CDTF">2020-02-06T14:14:00Z</dcterms:modified>
</cp:coreProperties>
</file>