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4" w:rsidRDefault="00DF30E0" w:rsidP="0029575C">
      <w:pPr>
        <w:spacing w:after="0"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7204">
        <w:rPr>
          <w:rFonts w:ascii="Times New Roman" w:hAnsi="Times New Roman" w:cs="Times New Roman"/>
          <w:b/>
          <w:sz w:val="24"/>
          <w:szCs w:val="24"/>
        </w:rPr>
        <w:t>Wybory do rady naukowej Instytutu</w:t>
      </w:r>
      <w:r w:rsidR="009F7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0E0" w:rsidRPr="009F7204" w:rsidRDefault="009F7204" w:rsidP="0029575C">
      <w:pPr>
        <w:spacing w:after="0"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04">
        <w:rPr>
          <w:rFonts w:ascii="Times New Roman" w:hAnsi="Times New Roman" w:cs="Times New Roman"/>
          <w:b/>
          <w:sz w:val="24"/>
          <w:szCs w:val="24"/>
        </w:rPr>
        <w:t xml:space="preserve">§§ 40, 168, 180 Statutu </w:t>
      </w:r>
      <w:r w:rsidRPr="009F7204">
        <w:rPr>
          <w:rFonts w:ascii="Times New Roman" w:hAnsi="Times New Roman"/>
          <w:b/>
          <w:sz w:val="24"/>
          <w:szCs w:val="24"/>
        </w:rPr>
        <w:t>z dnia 29 maja 2019 r.</w:t>
      </w:r>
    </w:p>
    <w:p w:rsidR="00DF30E0" w:rsidRDefault="00DF30E0" w:rsidP="0029575C">
      <w:pPr>
        <w:spacing w:after="0" w:line="276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DF30E0" w:rsidRDefault="00DF30E0" w:rsidP="00DF30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naukowej instytutu wchodzą (§ 40 Statutu z dnia 29 maja 2019 r.):</w:t>
      </w:r>
    </w:p>
    <w:p w:rsidR="00DF30E0" w:rsidRPr="004B69A4" w:rsidRDefault="00DF30E0" w:rsidP="00DF30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4B69A4">
        <w:t xml:space="preserve">dyrektor instytutu jako przewodniczący; </w:t>
      </w:r>
    </w:p>
    <w:p w:rsidR="00DF30E0" w:rsidRPr="00DF30E0" w:rsidRDefault="00DF30E0" w:rsidP="00DF30E0">
      <w:pPr>
        <w:pStyle w:val="Akapitzlist"/>
        <w:numPr>
          <w:ilvl w:val="0"/>
          <w:numId w:val="6"/>
        </w:num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0E0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akademiccy posiadający tytuł naukowy profesora lub stopień naukowy doktora habilitowanego, zatrudnieni w Uniwersytecie w pełnym wymiarze czasu pracy na stanowiskach należących do grupy pracowników badawczych </w:t>
      </w:r>
      <w:r w:rsidRPr="00DF30E0">
        <w:rPr>
          <w:rFonts w:ascii="Times New Roman" w:eastAsia="Times New Roman" w:hAnsi="Times New Roman"/>
          <w:sz w:val="24"/>
          <w:szCs w:val="24"/>
          <w:lang w:eastAsia="pl-PL"/>
        </w:rPr>
        <w:br/>
        <w:t>lub badawczo-dydaktycznych, którzy w swym oświadczeniu wskazali, że dyscyplina naukowa lub artystyczna rady naukowej instyt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utu stanowi dyscyplinę wiodącą </w:t>
      </w:r>
      <w:r w:rsidRPr="00DF30E0">
        <w:rPr>
          <w:rFonts w:ascii="Times New Roman" w:eastAsia="Times New Roman" w:hAnsi="Times New Roman"/>
          <w:sz w:val="24"/>
          <w:szCs w:val="24"/>
          <w:lang w:eastAsia="pl-PL"/>
        </w:rPr>
        <w:t>w rozumieniu § 167 ust. 4 statutu;</w:t>
      </w:r>
    </w:p>
    <w:p w:rsidR="00DF30E0" w:rsidRPr="00DF30E0" w:rsidRDefault="00DF30E0" w:rsidP="00DF30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30E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pochodzący z wyboru przedstawiciele pozostałych nauczycieli akademickich zatrudnionych w Uniwersytecie w pełnym wymiarze czasu pracy na stanowiskach należących do grupy pracowników badawczych lub badawczo-dydaktycznych, którzy w swym oświadczeniu wskazali, że dyscyplina naukowa lub artystyczna rady naukowej instytutu stanowi dyscyplinę wiodącą w rozumieniu § 167 ust. 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statutu, </w:t>
      </w:r>
      <w:r w:rsidRPr="00DF30E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liczbie nie większej niż 20% nauczycieli akademickich, o których mowa w pkt 2, i nie mniejszej niż jeden;</w:t>
      </w:r>
    </w:p>
    <w:p w:rsidR="00DF30E0" w:rsidRPr="00DF30E0" w:rsidRDefault="00DF30E0" w:rsidP="00DF30E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0E0">
        <w:rPr>
          <w:rFonts w:ascii="Times New Roman" w:hAnsi="Times New Roman"/>
          <w:sz w:val="24"/>
          <w:szCs w:val="24"/>
        </w:rPr>
        <w:t>przedstawiciel doktorantów wskazywany przez właściwy wydziałowy samorząd doktorantów.</w:t>
      </w:r>
    </w:p>
    <w:p w:rsidR="00DF30E0" w:rsidRDefault="00DF30E0" w:rsidP="00DF30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akademiccy </w:t>
      </w:r>
      <w:r w:rsidRPr="00DF30E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posiadający </w:t>
      </w:r>
      <w:r w:rsidRPr="00DF30E0">
        <w:rPr>
          <w:rFonts w:ascii="Times New Roman" w:eastAsia="Times New Roman" w:hAnsi="Times New Roman"/>
          <w:b/>
          <w:sz w:val="24"/>
          <w:szCs w:val="24"/>
          <w:lang w:eastAsia="pl-PL"/>
        </w:rPr>
        <w:t>tytuł naukowy profesora lub stopień naukowy doktora habilitowanego</w:t>
      </w:r>
      <w:r w:rsidRPr="00DF30E0">
        <w:rPr>
          <w:rFonts w:ascii="Times New Roman" w:eastAsia="Times New Roman" w:hAnsi="Times New Roman"/>
          <w:sz w:val="24"/>
          <w:szCs w:val="24"/>
          <w:lang w:eastAsia="pl-PL"/>
        </w:rPr>
        <w:t xml:space="preserve">, zatrudnieni w Uniwersytecie w pełnym wymiarze czasu pracy na stanowiskach należących do grupy pracowników </w:t>
      </w:r>
      <w:r w:rsidRPr="00DF30E0">
        <w:rPr>
          <w:rFonts w:ascii="Times New Roman" w:eastAsia="Times New Roman" w:hAnsi="Times New Roman"/>
          <w:b/>
          <w:sz w:val="24"/>
          <w:szCs w:val="24"/>
          <w:lang w:eastAsia="pl-PL"/>
        </w:rPr>
        <w:t>badawczych lub badawczo-dydaktycznych</w:t>
      </w:r>
      <w:r w:rsidRPr="00DF30E0">
        <w:rPr>
          <w:rFonts w:ascii="Times New Roman" w:eastAsia="Times New Roman" w:hAnsi="Times New Roman"/>
          <w:sz w:val="24"/>
          <w:szCs w:val="24"/>
          <w:lang w:eastAsia="pl-PL"/>
        </w:rPr>
        <w:t>, którzy w swym oświadczeniu wskazali, że dyscyplina naukowa lub artystyczna rady naukowej instyt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utu stanowi </w:t>
      </w:r>
      <w:r w:rsidRPr="00DF30E0">
        <w:rPr>
          <w:rFonts w:ascii="Times New Roman" w:eastAsia="Times New Roman" w:hAnsi="Times New Roman"/>
          <w:b/>
          <w:sz w:val="24"/>
          <w:szCs w:val="24"/>
          <w:lang w:eastAsia="pl-PL"/>
        </w:rPr>
        <w:t>dyscyplinę wiodącą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30E0">
        <w:rPr>
          <w:rFonts w:ascii="Times New Roman" w:eastAsia="Times New Roman" w:hAnsi="Times New Roman"/>
          <w:sz w:val="24"/>
          <w:szCs w:val="24"/>
          <w:lang w:eastAsia="pl-PL"/>
        </w:rPr>
        <w:t>w rozumieniu § 167 ust. 4 statutu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DF30E0">
        <w:rPr>
          <w:rFonts w:ascii="Times New Roman" w:hAnsi="Times New Roman"/>
          <w:sz w:val="24"/>
          <w:szCs w:val="24"/>
          <w:u w:val="single"/>
        </w:rPr>
        <w:t>dyscyplina wskazaną przez nauczyciela akademickiego w oświadczeniu, o którym mowa w art. 343 ust. 7 ustawy, a jeżeli wskazano dwie dyscypliny – dyscyplinę procentowo przeważającą lub wskazaną jako pierwszą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– </w:t>
      </w:r>
      <w:r w:rsidRPr="00DF30E0">
        <w:rPr>
          <w:rFonts w:ascii="Times New Roman" w:eastAsia="Times New Roman" w:hAnsi="Times New Roman"/>
          <w:b/>
          <w:sz w:val="24"/>
          <w:szCs w:val="24"/>
          <w:lang w:eastAsia="pl-PL"/>
        </w:rPr>
        <w:t>wchodzą do rady naukowej instytut z racji posiadanego tytułu profesora lub stopnia doktora habilitowanego</w:t>
      </w:r>
    </w:p>
    <w:p w:rsidR="00DF30E0" w:rsidRPr="009F7204" w:rsidRDefault="00DF30E0" w:rsidP="00DF30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F7204">
        <w:rPr>
          <w:rFonts w:ascii="Times New Roman" w:hAnsi="Times New Roman"/>
          <w:b/>
          <w:sz w:val="24"/>
          <w:szCs w:val="24"/>
          <w:u w:val="single"/>
        </w:rPr>
        <w:t>Wybory do rady naukowej instytutu przeprowadza się</w:t>
      </w:r>
      <w:r w:rsidRPr="009F7204">
        <w:rPr>
          <w:rFonts w:ascii="Times New Roman" w:hAnsi="Times New Roman"/>
          <w:b/>
          <w:sz w:val="24"/>
          <w:szCs w:val="24"/>
        </w:rPr>
        <w:t xml:space="preserve"> w grupie pozostałych nauczycieli akademickich </w:t>
      </w:r>
    </w:p>
    <w:p w:rsidR="00AB32E8" w:rsidRDefault="00AB32E8" w:rsidP="00DF30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>Wybory przeprowadzają Wydziałowe Komisji Wyborcze</w:t>
      </w:r>
    </w:p>
    <w:p w:rsidR="00AB32E8" w:rsidRDefault="00AB32E8" w:rsidP="00DF30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należy przeprowadzić od dnia uchwalenia Statutu (29 maja) do 30 września 2019 r. (należy je przeprowadzić w czerwcu, pierwszych dniach lipca)</w:t>
      </w:r>
    </w:p>
    <w:p w:rsidR="00AB32E8" w:rsidRDefault="00AB32E8" w:rsidP="00DF30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przeprowadza się według następujących zasad: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>wszystkie głosowania wyborcze są tajne;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>czynne prawo wyborcze przysługuje wszystkim członkom wspólnoty Uniwersytetu;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>bierne</w:t>
      </w:r>
      <w:r w:rsidRPr="00AB32E8">
        <w:rPr>
          <w:rFonts w:ascii="Times New Roman" w:hAnsi="Times New Roman"/>
          <w:i/>
          <w:sz w:val="24"/>
          <w:szCs w:val="24"/>
        </w:rPr>
        <w:t xml:space="preserve"> </w:t>
      </w:r>
      <w:r w:rsidRPr="00AB32E8">
        <w:rPr>
          <w:rFonts w:ascii="Times New Roman" w:hAnsi="Times New Roman"/>
          <w:sz w:val="24"/>
          <w:szCs w:val="24"/>
        </w:rPr>
        <w:t>prawo wyborcze określone jest przez przepisy ustawy i statutu;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 xml:space="preserve">wybory elektorów i przedstawicieli do organów kolegialnych Uniwersytetu </w:t>
      </w:r>
      <w:r w:rsidRPr="00AB32E8">
        <w:rPr>
          <w:rFonts w:ascii="Times New Roman" w:hAnsi="Times New Roman"/>
          <w:sz w:val="24"/>
          <w:szCs w:val="24"/>
        </w:rPr>
        <w:br/>
        <w:t>są bezpośrednie;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 xml:space="preserve">wyboru Rektora dokonuje Kolegium Elektorów bezwzględną większością głosów </w:t>
      </w:r>
      <w:r w:rsidRPr="00AB32E8">
        <w:rPr>
          <w:rFonts w:ascii="Times New Roman" w:hAnsi="Times New Roman"/>
          <w:sz w:val="24"/>
          <w:szCs w:val="24"/>
        </w:rPr>
        <w:br/>
        <w:t>w obecności co najmniej połowy jego statutowego składu;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lastRenderedPageBreak/>
        <w:t xml:space="preserve">wybory elektorów i przedstawicieli do organów kolegialnych Uniwersytetu są ważne bez względu na liczbę obecnych na zebraniu wyborczym, pod warunkiem jego prawidłowego zwołania; 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>wybór elektorów i przedstawicieli do organów kolegialnych Uniwersytetu następuje wówczas, gdy kandydat uzyskał więcej niż połowę ważnie oddanych głosów;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 xml:space="preserve">głos jest nieważny, jeśli został oddany na innej karcie niż urzędowa, a ponadto </w:t>
      </w:r>
      <w:r w:rsidRPr="00AB32E8">
        <w:rPr>
          <w:rFonts w:ascii="Times New Roman" w:hAnsi="Times New Roman"/>
          <w:sz w:val="24"/>
          <w:szCs w:val="24"/>
        </w:rPr>
        <w:br/>
        <w:t>w wypadkach: przedarcia karty, wpisania na niej nazwiska osoby nieznajdującej się na liście wyborczej lub wprowadzenia innych dopisków lub w razie niedokonania wymaganych procedurą wyborczą skreśleń lub zaznaczeń;</w:t>
      </w:r>
    </w:p>
    <w:p w:rsidR="00AB32E8" w:rsidRPr="00AB32E8" w:rsidRDefault="00AB32E8" w:rsidP="00AB32E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32E8">
        <w:rPr>
          <w:rFonts w:ascii="Times New Roman" w:hAnsi="Times New Roman"/>
          <w:sz w:val="24"/>
          <w:szCs w:val="24"/>
        </w:rPr>
        <w:t xml:space="preserve">zebrania wyborcze zwołuje się w drodze pisemnego ogłoszenia umieszczonego </w:t>
      </w:r>
      <w:r w:rsidRPr="00AB32E8">
        <w:rPr>
          <w:rFonts w:ascii="Times New Roman" w:hAnsi="Times New Roman"/>
          <w:sz w:val="24"/>
          <w:szCs w:val="24"/>
        </w:rPr>
        <w:br/>
        <w:t xml:space="preserve">na stronach internetowych Uniwersytetu oraz w miejscach dostępnych </w:t>
      </w:r>
      <w:r w:rsidRPr="00AB32E8">
        <w:rPr>
          <w:rFonts w:ascii="Times New Roman" w:hAnsi="Times New Roman"/>
          <w:sz w:val="24"/>
          <w:szCs w:val="24"/>
        </w:rPr>
        <w:br/>
        <w:t>dla poszczególnych grup wyborców lub w inny sposób ustalony przez właściwą komisję wyborczą albo organ wskazany w statucie jako właściwy do przeprowadzenia wyborów.</w:t>
      </w:r>
    </w:p>
    <w:p w:rsidR="00AB32E8" w:rsidRDefault="00AB32E8" w:rsidP="00AB32E8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4B69A4">
        <w:t xml:space="preserve">Liczbę przedstawicieli </w:t>
      </w:r>
      <w:r>
        <w:t xml:space="preserve">pozostałych </w:t>
      </w:r>
      <w:r w:rsidRPr="004B69A4">
        <w:t>nauczycieli akademickich, wchodzących w skład pierwszej rady naukowej instytutu ustala właściwa komisja wyborcza, biorąc pod uwagę l</w:t>
      </w:r>
      <w:r>
        <w:t>iczbę nauczycieli akademickich z tytułem profesora i stopniem doktora habilitowanego</w:t>
      </w:r>
      <w:r w:rsidRPr="004B69A4">
        <w:t xml:space="preserve">, według </w:t>
      </w:r>
      <w:r w:rsidRPr="00B33F1E">
        <w:rPr>
          <w:b/>
          <w:u w:val="single"/>
        </w:rPr>
        <w:t>stanu na dzień 1 czerwca 2019 r.</w:t>
      </w:r>
    </w:p>
    <w:p w:rsidR="00AB32E8" w:rsidRDefault="000E3EC4" w:rsidP="00AB32E8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0E3EC4">
        <w:rPr>
          <w:b/>
          <w:u w:val="single"/>
        </w:rPr>
        <w:t>Bierne prawo wyborcze</w:t>
      </w:r>
      <w:r>
        <w:t xml:space="preserve"> - </w:t>
      </w:r>
      <w:r w:rsidRPr="000E3EC4">
        <w:t>pozostaw</w:t>
      </w:r>
      <w:r>
        <w:t>ali</w:t>
      </w:r>
      <w:r w:rsidRPr="000E3EC4">
        <w:t xml:space="preserve"> nauczyciel</w:t>
      </w:r>
      <w:r>
        <w:t>e</w:t>
      </w:r>
      <w:r w:rsidRPr="000E3EC4">
        <w:t xml:space="preserve"> akademic</w:t>
      </w:r>
      <w:r>
        <w:t>cy</w:t>
      </w:r>
      <w:r w:rsidRPr="000E3EC4">
        <w:t xml:space="preserve"> zatrudni</w:t>
      </w:r>
      <w:r>
        <w:t>eni</w:t>
      </w:r>
      <w:r w:rsidRPr="000E3EC4">
        <w:t xml:space="preserve"> w Uniwersytecie </w:t>
      </w:r>
      <w:r w:rsidRPr="000E3EC4">
        <w:rPr>
          <w:u w:val="single"/>
        </w:rPr>
        <w:t>w pełnym wymiarze czasu pracy</w:t>
      </w:r>
      <w:r w:rsidRPr="000E3EC4">
        <w:t xml:space="preserve"> na stanowiskach należących do grupy pracowników badawczych lub badawczo-dydaktycznych, którzy w swym oświadczeniu wskazali, że dyscyplina naukowa lub artystyczna rady naukowej instytutu stanowi dyscyplinę wiodącą</w:t>
      </w:r>
      <w:r>
        <w:t xml:space="preserve"> (</w:t>
      </w:r>
      <w:r w:rsidRPr="00DF30E0">
        <w:rPr>
          <w:u w:val="single"/>
        </w:rPr>
        <w:t>dyscyplina wskazaną przez nauczyciela akademickiego w oświadczeniu, o którym mowa w art. 343 ust. 7 ustawy, a jeżeli wskazano dwie dyscypliny – dyscyplinę procentowo przeważającą lub wskazaną jako pierwszą</w:t>
      </w:r>
      <w:r>
        <w:t>)</w:t>
      </w:r>
    </w:p>
    <w:p w:rsidR="000E3EC4" w:rsidRDefault="000E3EC4" w:rsidP="00AB32E8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0E3EC4">
        <w:rPr>
          <w:b/>
          <w:u w:val="single"/>
        </w:rPr>
        <w:t>Czynne prawo wyborcze</w:t>
      </w:r>
      <w:r>
        <w:t xml:space="preserve"> - </w:t>
      </w:r>
      <w:r w:rsidR="0094010D" w:rsidRPr="004B69A4">
        <w:t>posiada nauczyciel akademicki, który wskazał dyscyplinę zgodną z dyscypliną danej rady naukowej instytutu jako wiodącą</w:t>
      </w:r>
    </w:p>
    <w:p w:rsidR="0094010D" w:rsidRDefault="0094010D" w:rsidP="0094010D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4B69A4">
        <w:t xml:space="preserve">Kandydata do rady naukowej instytutu może zgłosić nauczyciel akademicki, który wskazał dyscyplinę zgodną z dyscypliną danej rady naukowej instytutu jako wiodącą. </w:t>
      </w:r>
      <w:r w:rsidRPr="0094010D">
        <w:rPr>
          <w:u w:val="single"/>
        </w:rPr>
        <w:t>Zgłoszenia dokonuje się na zebraniu wyborczym</w:t>
      </w:r>
      <w:r w:rsidRPr="004B69A4">
        <w:t>. Kandydat musi w</w:t>
      </w:r>
      <w:r>
        <w:t>y</w:t>
      </w:r>
      <w:r w:rsidRPr="004B69A4">
        <w:t xml:space="preserve">razić zgodę na kandydowanie. </w:t>
      </w:r>
      <w:r w:rsidRPr="0094010D">
        <w:rPr>
          <w:u w:val="single"/>
        </w:rPr>
        <w:t>Komisja właściwa do przeprowadzenia wyborów w danej grupie może ustalić wcześniejsze pisemne zgłaszanie kandydatów</w:t>
      </w:r>
      <w:r w:rsidRPr="004B69A4">
        <w:t>.</w:t>
      </w:r>
    </w:p>
    <w:p w:rsidR="0094010D" w:rsidRDefault="0094010D" w:rsidP="003C063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 w:rsidRPr="0094010D">
        <w:t xml:space="preserve">Jeżeli w pierwszym głosowaniu wybór wszystkich przedstawicieli do rady naukowej instytutu z danej grupy wyborczej nie został dokonany, w drugiej turze głosowania uczestniczą niewybrani kandydaci, którzy w pierwszym głosowaniu uzyskali największą liczbę głosów w liczbie odpowiadającej dwukrotności mandatów pozostałych </w:t>
      </w:r>
      <w:r w:rsidRPr="0094010D">
        <w:br/>
        <w:t>do obsadzenia. W przypadku uzyskania identycznej liczby głosów przez kilku kandydatów komisja wyborcza odpowiednio powiększa liczbę kandydatów przechodzących do kolejnej tury.</w:t>
      </w:r>
    </w:p>
    <w:p w:rsidR="003C0636" w:rsidRPr="00AB32E8" w:rsidRDefault="003C0636" w:rsidP="003C063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jc w:val="both"/>
      </w:pPr>
      <w:r>
        <w:t>Z przeprowadzonych wyborów należy sporządzić protokoły i przekazać je do Rektora wraz z wykazem pracowników z tytułem profesora i stopniem doktora habilitowanego, o których była liczona liczba przedstawicieli pozostałych nauczycieli akademickich.</w:t>
      </w:r>
    </w:p>
    <w:p w:rsidR="0029575C" w:rsidRPr="009F7204" w:rsidRDefault="0029575C" w:rsidP="009F72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9575C" w:rsidRPr="009F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E99EF1A2"/>
    <w:name w:val="WW8Num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100F72"/>
    <w:multiLevelType w:val="hybridMultilevel"/>
    <w:tmpl w:val="66402E38"/>
    <w:lvl w:ilvl="0" w:tplc="02A01AD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376E0"/>
    <w:multiLevelType w:val="hybridMultilevel"/>
    <w:tmpl w:val="7E4485D8"/>
    <w:lvl w:ilvl="0" w:tplc="70C014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44F6"/>
    <w:multiLevelType w:val="hybridMultilevel"/>
    <w:tmpl w:val="38D000A8"/>
    <w:lvl w:ilvl="0" w:tplc="D2A6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52C5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33DC"/>
    <w:multiLevelType w:val="multilevel"/>
    <w:tmpl w:val="0728ECC0"/>
    <w:lvl w:ilvl="0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AF5218E"/>
    <w:multiLevelType w:val="multilevel"/>
    <w:tmpl w:val="A9CEC838"/>
    <w:lvl w:ilvl="0">
      <w:start w:val="1"/>
      <w:numFmt w:val="decimal"/>
      <w:lvlText w:val="%1)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31210951"/>
    <w:multiLevelType w:val="hybridMultilevel"/>
    <w:tmpl w:val="60784BB0"/>
    <w:lvl w:ilvl="0" w:tplc="BA62F8C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2342B13"/>
    <w:multiLevelType w:val="hybridMultilevel"/>
    <w:tmpl w:val="748E07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381480"/>
    <w:multiLevelType w:val="hybridMultilevel"/>
    <w:tmpl w:val="47084A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A7FE7"/>
    <w:multiLevelType w:val="multilevel"/>
    <w:tmpl w:val="B4A836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5C"/>
    <w:rsid w:val="000E3EC4"/>
    <w:rsid w:val="001B6053"/>
    <w:rsid w:val="0029575C"/>
    <w:rsid w:val="003C0636"/>
    <w:rsid w:val="004D7F7A"/>
    <w:rsid w:val="0094010D"/>
    <w:rsid w:val="009F7204"/>
    <w:rsid w:val="00A64BBB"/>
    <w:rsid w:val="00AB32E8"/>
    <w:rsid w:val="00B33F1E"/>
    <w:rsid w:val="00DB35D1"/>
    <w:rsid w:val="00D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75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7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B</cp:lastModifiedBy>
  <cp:revision>2</cp:revision>
  <dcterms:created xsi:type="dcterms:W3CDTF">2019-07-09T08:45:00Z</dcterms:created>
  <dcterms:modified xsi:type="dcterms:W3CDTF">2019-07-09T08:45:00Z</dcterms:modified>
</cp:coreProperties>
</file>