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90F1" w14:textId="77777777" w:rsidR="007E7D87" w:rsidRPr="005A6302" w:rsidRDefault="007E7D87" w:rsidP="002B7C4A">
      <w:pPr>
        <w:jc w:val="center"/>
        <w:rPr>
          <w:b/>
        </w:rPr>
      </w:pPr>
      <w:r w:rsidRPr="005A6302">
        <w:rPr>
          <w:b/>
        </w:rPr>
        <w:t xml:space="preserve">Procedura korzystania z zasobów genetycznych w rozumieniu Protokołu z Nagoi oraz aktów prawnych wprowadzających go w życie [Rozporządzenie Parlamentu Europejskiego i Rady (UE) </w:t>
      </w:r>
      <w:r w:rsidR="008722D4">
        <w:rPr>
          <w:b/>
        </w:rPr>
        <w:br/>
      </w:r>
      <w:r w:rsidRPr="005A6302">
        <w:rPr>
          <w:b/>
        </w:rPr>
        <w:t xml:space="preserve">Nr 511/2014 z dnia 16 kwietnia 2014 r., Ustawa z dnia 19 lipca 2016 r. o dostępie do zasobów genetycznych i podziale korzyści z ich wykorzystania (Dz.U. z 2016 r. poz. 1340)] </w:t>
      </w:r>
      <w:r w:rsidR="008722D4">
        <w:rPr>
          <w:b/>
        </w:rPr>
        <w:br/>
      </w:r>
      <w:r w:rsidRPr="005A6302">
        <w:rPr>
          <w:b/>
        </w:rPr>
        <w:t>na Wydziale Biologii i Biotechnologii Uniwersytetu Marii Curie-Skłodowskiej w Lublinie</w:t>
      </w:r>
    </w:p>
    <w:p w14:paraId="785238C7" w14:textId="77777777" w:rsidR="007E7D87" w:rsidRDefault="007E7D87" w:rsidP="005A6302">
      <w:pPr>
        <w:pStyle w:val="Akapitzlist"/>
        <w:numPr>
          <w:ilvl w:val="0"/>
          <w:numId w:val="1"/>
        </w:numPr>
        <w:jc w:val="both"/>
      </w:pPr>
      <w:r>
        <w:t xml:space="preserve">Definicja prac badawczo-rozwojowych </w:t>
      </w:r>
      <w:r w:rsidRPr="007E7D87">
        <w:t>wchodzą</w:t>
      </w:r>
      <w:r>
        <w:t>cych</w:t>
      </w:r>
      <w:r w:rsidRPr="007E7D87">
        <w:t xml:space="preserve"> w zakres stosowania rozporządzenia UE nr 511/2014 oraz odnośnych</w:t>
      </w:r>
      <w:r>
        <w:t xml:space="preserve"> regulacji unijnych i krajowych (przygotowana przez Ministerstwo Środowiska):</w:t>
      </w:r>
    </w:p>
    <w:p w14:paraId="05591239" w14:textId="77777777" w:rsidR="007E7D87" w:rsidRDefault="007E7D87" w:rsidP="005A6302">
      <w:pPr>
        <w:pStyle w:val="Akapitzlist"/>
        <w:jc w:val="both"/>
      </w:pPr>
    </w:p>
    <w:p w14:paraId="451CC5C9" w14:textId="77777777" w:rsidR="007E7D87" w:rsidRDefault="007E7D87" w:rsidP="005A6302">
      <w:pPr>
        <w:pStyle w:val="Akapitzlist"/>
        <w:jc w:val="both"/>
      </w:pPr>
      <w:r>
        <w:t>Zgodnie z interpretacją Komisji Europejskiej, zawartą m.in. w wytycznych Komisji (2016/C 313/01)</w:t>
      </w:r>
      <w:r w:rsidR="003466DB">
        <w:t>,</w:t>
      </w:r>
      <w:r>
        <w:t xml:space="preserve"> dotyczących zakresu stosowania i głównych zobowiązań wynikających z rozporządzenia 511/2014 , działalność badawczą i prace rozwojowe należy rozumieć zgodnie z definicją z Podręcznika Frascati z 2002 r. Definicja ta obejmuje badania podstawowe i stosowane: "działalność badawcza (ang. research) i prace rozwojowe (ang. development) obejmuje pracę twórczą podejmowaną w sposób systematyczny w celu zwiększenia zasobów wiedzy, w tym wiedzy o człowieku, kulturze i społeczeństwie, oraz wykorzystanie tych zasobów wiedzy do tworzenia nowych zastosowań". </w:t>
      </w:r>
    </w:p>
    <w:p w14:paraId="7BDC88E2" w14:textId="77777777" w:rsidR="007E7D87" w:rsidRDefault="007E7D87" w:rsidP="005A6302">
      <w:pPr>
        <w:pStyle w:val="Akapitzlist"/>
        <w:jc w:val="both"/>
      </w:pPr>
      <w:r>
        <w:t xml:space="preserve">Z definicji wykorzystania zasobów genetycznych, zawartej w art. 3 rozporządzenia 511/2014, wynika, że z zakresu rozporządzenia wyjęte są te badania, które </w:t>
      </w:r>
      <w:r w:rsidRPr="007E7D87">
        <w:rPr>
          <w:b/>
        </w:rPr>
        <w:t>nie są prowadzone</w:t>
      </w:r>
      <w:r>
        <w:t xml:space="preserve"> nad genetycznym lub biochemicznym składem zasobów genetycznych (a więc np. badania taksonomiczne). Wszelkie inne badania, które przyczyniają się do zdobycia nowej wiedzy na temat cech zasobów genetycznych, która może przynieść potencjalne korzyści w procesie tworzenia produktu z wykorzystaniem tych zasobów, są uznawane za wykorzystanie tych zasobów, nawet jeśli nie są prowadzone z myślą o ich późniejszym możliwym wyko</w:t>
      </w:r>
      <w:r w:rsidR="003466DB">
        <w:t>rzystaniu komercyjnym.</w:t>
      </w:r>
    </w:p>
    <w:p w14:paraId="567C3046" w14:textId="77777777" w:rsidR="007E7D87" w:rsidRDefault="007E7D87" w:rsidP="005A6302">
      <w:pPr>
        <w:pStyle w:val="Akapitzlist"/>
        <w:jc w:val="both"/>
      </w:pPr>
    </w:p>
    <w:p w14:paraId="7554D61A" w14:textId="77777777" w:rsidR="007E7D87" w:rsidRDefault="007E7D87" w:rsidP="005A6302">
      <w:pPr>
        <w:pStyle w:val="Akapitzlist"/>
        <w:jc w:val="both"/>
      </w:pPr>
      <w:r>
        <w:t>Wynika z tego, że nie wszystkie badania podstawowe są z założenia wykluczone ze stosowania przepisów w zakresie ABS</w:t>
      </w:r>
      <w:r w:rsidR="00F360AC">
        <w:t xml:space="preserve"> (</w:t>
      </w:r>
      <w:r w:rsidR="00F360AC" w:rsidRPr="00A25BB7">
        <w:rPr>
          <w:i/>
        </w:rPr>
        <w:t>Access and Benefit Sharing</w:t>
      </w:r>
      <w:r w:rsidR="00F360AC">
        <w:t>)</w:t>
      </w:r>
      <w:r>
        <w:t xml:space="preserve">. Z całą pewnością regulacje </w:t>
      </w:r>
      <w:r w:rsidRPr="005A6302">
        <w:rPr>
          <w:b/>
        </w:rPr>
        <w:t xml:space="preserve">nie dotyczą badań taksonomicznych </w:t>
      </w:r>
      <w:r>
        <w:t>(rozumianych jako badania wykonywane w celu porządkowania oraz klasyfikacji).</w:t>
      </w:r>
    </w:p>
    <w:p w14:paraId="52A69A22" w14:textId="77777777" w:rsidR="002B7C4A" w:rsidRDefault="002B7C4A" w:rsidP="005A6302">
      <w:pPr>
        <w:pStyle w:val="Akapitzlist"/>
        <w:jc w:val="both"/>
      </w:pPr>
    </w:p>
    <w:p w14:paraId="5C73D966" w14:textId="77777777" w:rsidR="002B7C4A" w:rsidRDefault="002B7C4A" w:rsidP="008722D4">
      <w:pPr>
        <w:pStyle w:val="Akapitzlist"/>
        <w:numPr>
          <w:ilvl w:val="0"/>
          <w:numId w:val="1"/>
        </w:numPr>
        <w:contextualSpacing w:val="0"/>
        <w:jc w:val="both"/>
      </w:pPr>
      <w:r>
        <w:t xml:space="preserve">Informacje o zasobach genetycznych pozyskanych po </w:t>
      </w:r>
      <w:r w:rsidRPr="002B7C4A">
        <w:rPr>
          <w:b/>
        </w:rPr>
        <w:t>12.10.2014 r</w:t>
      </w:r>
      <w:r w:rsidRPr="002B7C4A">
        <w:t>. spoza granic Polski</w:t>
      </w:r>
      <w:r w:rsidR="008722D4">
        <w:t xml:space="preserve">, uzyskane świadectwa zgodności oraz dokumenty świadczące o dołożeniu należytej staranności </w:t>
      </w:r>
      <w:r>
        <w:t>są gromadzone i przechowywane przez pracownika administracji wskazanego przez dyrektora Instytutu Biologii.</w:t>
      </w:r>
    </w:p>
    <w:p w14:paraId="63681018" w14:textId="77777777" w:rsidR="002B7C4A" w:rsidRDefault="005A6302" w:rsidP="008722D4">
      <w:pPr>
        <w:pStyle w:val="Akapitzlist"/>
        <w:numPr>
          <w:ilvl w:val="0"/>
          <w:numId w:val="1"/>
        </w:numPr>
        <w:contextualSpacing w:val="0"/>
        <w:jc w:val="both"/>
      </w:pPr>
      <w:r>
        <w:t xml:space="preserve">Informacje o zasobach genetycznych pozyskanych po </w:t>
      </w:r>
      <w:r w:rsidRPr="002B7C4A">
        <w:rPr>
          <w:b/>
        </w:rPr>
        <w:t>12.10.2014 r</w:t>
      </w:r>
      <w:r w:rsidRPr="002B7C4A">
        <w:t>. spoza granic Polski</w:t>
      </w:r>
      <w:r w:rsidR="003466DB">
        <w:t xml:space="preserve">, </w:t>
      </w:r>
      <w:r>
        <w:t>zgromadz</w:t>
      </w:r>
      <w:r w:rsidR="008722D4">
        <w:t>o</w:t>
      </w:r>
      <w:r>
        <w:t>ne do dnia 25.06.2019 r.</w:t>
      </w:r>
      <w:r w:rsidR="003466DB">
        <w:t>,</w:t>
      </w:r>
      <w:r>
        <w:t xml:space="preserve"> z</w:t>
      </w:r>
      <w:r w:rsidR="002B7C4A">
        <w:t xml:space="preserve">ostaną udostępnione kierownikom katedr </w:t>
      </w:r>
      <w:r w:rsidR="002B7C4A" w:rsidRPr="002B7C4A">
        <w:t>Instytutu Biologii</w:t>
      </w:r>
      <w:r w:rsidR="002B7C4A">
        <w:t>.</w:t>
      </w:r>
    </w:p>
    <w:p w14:paraId="2A3E5418" w14:textId="77777777" w:rsidR="002B7C4A" w:rsidRDefault="002B7C4A" w:rsidP="008722D4">
      <w:pPr>
        <w:pStyle w:val="Akapitzlist"/>
        <w:numPr>
          <w:ilvl w:val="0"/>
          <w:numId w:val="1"/>
        </w:numPr>
        <w:contextualSpacing w:val="0"/>
        <w:jc w:val="both"/>
      </w:pPr>
      <w:r>
        <w:t xml:space="preserve">Do obowiązków </w:t>
      </w:r>
      <w:r w:rsidRPr="00FE7FE9">
        <w:rPr>
          <w:b/>
        </w:rPr>
        <w:t>bezpośredniego użytkownika</w:t>
      </w:r>
      <w:r>
        <w:t xml:space="preserve"> zasobów należy</w:t>
      </w:r>
      <w:r w:rsidR="0023714A">
        <w:t xml:space="preserve"> dołożenie należytej staranności, aby zasoby genetyczne były pozyskane zgodnie z prawem. Oznacza to w szczególności:</w:t>
      </w:r>
    </w:p>
    <w:p w14:paraId="342CDB5C" w14:textId="77777777" w:rsidR="002B7C4A" w:rsidRDefault="002B7C4A" w:rsidP="008722D4">
      <w:pPr>
        <w:pStyle w:val="Akapitzlist"/>
        <w:numPr>
          <w:ilvl w:val="0"/>
          <w:numId w:val="2"/>
        </w:numPr>
        <w:contextualSpacing w:val="0"/>
        <w:jc w:val="both"/>
      </w:pPr>
      <w:r>
        <w:t>zgłaszanie nowo pozyskanych zasobów</w:t>
      </w:r>
      <w:r w:rsidR="005A6302">
        <w:t xml:space="preserve"> pozyskanych</w:t>
      </w:r>
      <w:r>
        <w:t xml:space="preserve"> spoza granic Polski pracownikowi administracji odpowiedzialnemu za gromadzenie danych;</w:t>
      </w:r>
    </w:p>
    <w:p w14:paraId="37E82C91" w14:textId="77777777" w:rsidR="002B7C4A" w:rsidRDefault="002B7C4A" w:rsidP="008722D4">
      <w:pPr>
        <w:pStyle w:val="Akapitzlist"/>
        <w:numPr>
          <w:ilvl w:val="0"/>
          <w:numId w:val="2"/>
        </w:numPr>
        <w:contextualSpacing w:val="0"/>
        <w:jc w:val="both"/>
      </w:pPr>
      <w:r>
        <w:lastRenderedPageBreak/>
        <w:t xml:space="preserve">sprawdzenie, czy </w:t>
      </w:r>
      <w:r w:rsidR="0023714A">
        <w:t>państwo,</w:t>
      </w:r>
      <w:r>
        <w:t xml:space="preserve"> z którego pochodzi zasób</w:t>
      </w:r>
      <w:r w:rsidR="005A6302">
        <w:t>,</w:t>
      </w:r>
      <w:r>
        <w:t xml:space="preserve"> jest stroną Protokołu z Nagoi regulującą dostęp do swoich zasobów genetycznych</w:t>
      </w:r>
      <w:r w:rsidR="0023714A">
        <w:t>. Informacja znajduje się</w:t>
      </w:r>
      <w:r>
        <w:t xml:space="preserve"> </w:t>
      </w:r>
      <w:r w:rsidR="0023714A">
        <w:t xml:space="preserve">na stronie: </w:t>
      </w:r>
      <w:hyperlink r:id="rId5" w:history="1">
        <w:r w:rsidR="0023714A" w:rsidRPr="008D1DDF">
          <w:rPr>
            <w:rStyle w:val="Hipercze"/>
          </w:rPr>
          <w:t>https://absch.cbd.int/countries/</w:t>
        </w:r>
      </w:hyperlink>
      <w:r w:rsidR="0023714A">
        <w:t>;</w:t>
      </w:r>
    </w:p>
    <w:p w14:paraId="61028FD7" w14:textId="77777777" w:rsidR="003466DB" w:rsidRDefault="0023714A" w:rsidP="008722D4">
      <w:pPr>
        <w:pStyle w:val="Akapitzlist"/>
        <w:numPr>
          <w:ilvl w:val="0"/>
          <w:numId w:val="2"/>
        </w:numPr>
        <w:contextualSpacing w:val="0"/>
        <w:jc w:val="both"/>
      </w:pPr>
      <w:r>
        <w:t>nawiązanie kontaktu z punktem kontaktowym danego kraju (</w:t>
      </w:r>
      <w:r w:rsidRPr="00FE7FE9">
        <w:rPr>
          <w:i/>
        </w:rPr>
        <w:t>ABS National Focal Point</w:t>
      </w:r>
      <w:r w:rsidR="00FE7FE9">
        <w:t>,</w:t>
      </w:r>
      <w:r w:rsidR="00FE7FE9" w:rsidRPr="00FE7FE9">
        <w:t xml:space="preserve"> </w:t>
      </w:r>
      <w:r w:rsidR="00FE7FE9">
        <w:t xml:space="preserve">źródło informacji: </w:t>
      </w:r>
      <w:r w:rsidR="00FE7FE9" w:rsidRPr="00FE7FE9">
        <w:t>https://absch.cbd.int/countries/</w:t>
      </w:r>
      <w:r>
        <w:t xml:space="preserve">), jeśli </w:t>
      </w:r>
      <w:r w:rsidR="003466DB">
        <w:t xml:space="preserve">państwo </w:t>
      </w:r>
      <w:r>
        <w:t>reguluje dostęp do zasobów genetycznych</w:t>
      </w:r>
      <w:r w:rsidR="003466DB">
        <w:t>;</w:t>
      </w:r>
    </w:p>
    <w:p w14:paraId="3A550ACA" w14:textId="77777777" w:rsidR="0023714A" w:rsidRDefault="0023714A" w:rsidP="008722D4">
      <w:pPr>
        <w:pStyle w:val="Akapitzlist"/>
        <w:numPr>
          <w:ilvl w:val="0"/>
          <w:numId w:val="2"/>
        </w:numPr>
        <w:contextualSpacing w:val="0"/>
        <w:jc w:val="both"/>
      </w:pPr>
      <w:r>
        <w:t xml:space="preserve">dopełnienie procedur zgodnie z wytycznymi </w:t>
      </w:r>
      <w:r w:rsidR="00FE7FE9">
        <w:t xml:space="preserve">otrzymanymi z punktu kontaktowego </w:t>
      </w:r>
      <w:r>
        <w:t>danego kraju, w celu uzyskania międzynarodowego świadectwa zgodności;</w:t>
      </w:r>
    </w:p>
    <w:p w14:paraId="6B8BBF7F" w14:textId="77777777" w:rsidR="0023714A" w:rsidRDefault="0023714A" w:rsidP="008722D4">
      <w:pPr>
        <w:pStyle w:val="Akapitzlist"/>
        <w:numPr>
          <w:ilvl w:val="0"/>
          <w:numId w:val="2"/>
        </w:numPr>
        <w:contextualSpacing w:val="0"/>
        <w:jc w:val="both"/>
      </w:pPr>
      <w:r>
        <w:t>osobą uprawnioną do podpisywania dokumentów służących uzyskaniu m</w:t>
      </w:r>
      <w:r w:rsidRPr="0023714A">
        <w:t>iędzynarodowego świadectwa zgodności</w:t>
      </w:r>
      <w:r>
        <w:t xml:space="preserve"> ze strony Uniwersytetu Marii Curie-Skłodowskiej jest JM Rektor, jednostką pośredniczącą jest Centrum Współpracy Międzynarodowej UMCS.</w:t>
      </w:r>
    </w:p>
    <w:p w14:paraId="6B3E5C5A" w14:textId="77777777" w:rsidR="0023714A" w:rsidRDefault="00FE7FE9" w:rsidP="008722D4">
      <w:pPr>
        <w:pStyle w:val="Akapitzlist"/>
        <w:numPr>
          <w:ilvl w:val="0"/>
          <w:numId w:val="2"/>
        </w:numPr>
        <w:contextualSpacing w:val="0"/>
        <w:jc w:val="both"/>
      </w:pPr>
      <w:r>
        <w:t>przechowywanie uzyskanego międzynarodowego świadectwa zgodności oraz dostarczenie jego kopii pracownikowi administracji</w:t>
      </w:r>
      <w:r w:rsidR="003466DB">
        <w:t xml:space="preserve"> odpowiedzialnemu za gromadzenie danych</w:t>
      </w:r>
      <w:r>
        <w:t>;</w:t>
      </w:r>
    </w:p>
    <w:p w14:paraId="5269D437" w14:textId="5CDCDE70" w:rsidR="00FE7FE9" w:rsidRDefault="00FE7FE9" w:rsidP="008722D4">
      <w:pPr>
        <w:pStyle w:val="Akapitzlist"/>
        <w:numPr>
          <w:ilvl w:val="0"/>
          <w:numId w:val="2"/>
        </w:numPr>
        <w:contextualSpacing w:val="0"/>
        <w:jc w:val="both"/>
      </w:pPr>
      <w:r>
        <w:t xml:space="preserve">przechowywanie kopii korespondencji (również korespondencji mailowej) z krajowymi puntami kontaktowymi, jako dowodu, </w:t>
      </w:r>
      <w:r w:rsidR="008722D4">
        <w:t>iż</w:t>
      </w:r>
      <w:r>
        <w:t xml:space="preserve"> została dołożona należyta staranność, aby zasoby genetyczne były wykorzystywane zgodnie z prawem.</w:t>
      </w:r>
    </w:p>
    <w:p w14:paraId="0E08C753" w14:textId="361CA671" w:rsidR="00A25BB7" w:rsidRDefault="00A25BB7" w:rsidP="00A25BB7">
      <w:pPr>
        <w:pStyle w:val="Akapitzlist"/>
        <w:numPr>
          <w:ilvl w:val="0"/>
          <w:numId w:val="1"/>
        </w:numPr>
        <w:ind w:left="714" w:hanging="357"/>
        <w:contextualSpacing w:val="0"/>
        <w:jc w:val="both"/>
      </w:pPr>
      <w:bookmarkStart w:id="0" w:name="_GoBack"/>
      <w:bookmarkEnd w:id="0"/>
      <w:r>
        <w:t xml:space="preserve">Informacje i dokumenty związane z dostępem i podziałem korzyści muszą być przechowywane przez pracownika administracji </w:t>
      </w:r>
      <w:r w:rsidRPr="00A25BB7">
        <w:rPr>
          <w:b/>
          <w:bCs/>
        </w:rPr>
        <w:t>przez 20 lat od zakończenia okresu wykorzystania zasobu genetycznego</w:t>
      </w:r>
      <w:r>
        <w:t xml:space="preserve">. </w:t>
      </w:r>
    </w:p>
    <w:p w14:paraId="40FF34FF" w14:textId="7DC873A0" w:rsidR="00FE7FE9" w:rsidRDefault="00FE7FE9" w:rsidP="00A25BB7">
      <w:pPr>
        <w:pStyle w:val="Akapitzlist"/>
        <w:numPr>
          <w:ilvl w:val="0"/>
          <w:numId w:val="1"/>
        </w:numPr>
        <w:ind w:left="714" w:hanging="357"/>
        <w:contextualSpacing w:val="0"/>
        <w:jc w:val="both"/>
      </w:pPr>
      <w:r>
        <w:t xml:space="preserve">Obowiązek zamieszczenia oświadczenia o dołożeniu należytej staranności </w:t>
      </w:r>
      <w:r w:rsidRPr="00A25BB7">
        <w:rPr>
          <w:i/>
        </w:rPr>
        <w:t>(the due  diligence declaration</w:t>
      </w:r>
      <w:r>
        <w:t>) na platformie UE „DECLARE”</w:t>
      </w:r>
      <w:r w:rsidR="008722D4">
        <w:t xml:space="preserve"> będzie należał</w:t>
      </w:r>
      <w:r>
        <w:t xml:space="preserve"> do pracownika administracji UMCS.</w:t>
      </w:r>
    </w:p>
    <w:p w14:paraId="19A0ED83" w14:textId="77777777" w:rsidR="00FE7FE9" w:rsidRDefault="00FE7FE9" w:rsidP="00A25BB7">
      <w:pPr>
        <w:pStyle w:val="Akapitzlist"/>
        <w:numPr>
          <w:ilvl w:val="0"/>
          <w:numId w:val="1"/>
        </w:numPr>
        <w:ind w:left="714" w:hanging="357"/>
        <w:contextualSpacing w:val="0"/>
        <w:jc w:val="both"/>
      </w:pPr>
      <w:r>
        <w:t xml:space="preserve">W związku ze zmieniającym się statusem poszczególnych państw-sygnatariuszy Protokołu z Nagoi (mogą one w każdej chwili zacząć regulować dostęp do swoich zasobów genetycznych), każdy </w:t>
      </w:r>
      <w:r w:rsidR="008722D4" w:rsidRPr="008722D4">
        <w:rPr>
          <w:b/>
        </w:rPr>
        <w:t xml:space="preserve">bezpośredni </w:t>
      </w:r>
      <w:r w:rsidRPr="008722D4">
        <w:rPr>
          <w:b/>
        </w:rPr>
        <w:t>użytkownik</w:t>
      </w:r>
      <w:r>
        <w:t xml:space="preserve"> zasobów genetycznych pozyskanych spoza granic Polski po 12.10.2014 r. ma obowiązek sprawdzania raz na </w:t>
      </w:r>
      <w:r w:rsidR="003466DB">
        <w:t>sześć</w:t>
      </w:r>
      <w:r>
        <w:t xml:space="preserve"> miesięcy na stronie</w:t>
      </w:r>
      <w:r w:rsidR="005A6302">
        <w:t>:</w:t>
      </w:r>
      <w:r>
        <w:t xml:space="preserve"> </w:t>
      </w:r>
      <w:hyperlink r:id="rId6" w:history="1">
        <w:r w:rsidR="005A6302" w:rsidRPr="008D1DDF">
          <w:rPr>
            <w:rStyle w:val="Hipercze"/>
          </w:rPr>
          <w:t>https://absch.cbd.int/countries/</w:t>
        </w:r>
      </w:hyperlink>
      <w:r w:rsidR="003466DB">
        <w:t>, czy należy rozpocząć procedurę prowadzącą</w:t>
      </w:r>
      <w:r w:rsidR="005A6302">
        <w:t xml:space="preserve"> do uzyskania stosownego  świadectwa zgodności. </w:t>
      </w:r>
    </w:p>
    <w:p w14:paraId="4DC46A05" w14:textId="77777777" w:rsidR="005A6302" w:rsidRDefault="005A6302" w:rsidP="005A6302">
      <w:pPr>
        <w:pStyle w:val="Akapitzlist"/>
        <w:jc w:val="both"/>
      </w:pPr>
    </w:p>
    <w:p w14:paraId="03241AD6" w14:textId="77777777" w:rsidR="005A6302" w:rsidRPr="005A6302" w:rsidRDefault="005A6302" w:rsidP="005A6302">
      <w:pPr>
        <w:pStyle w:val="Akapitzlist"/>
        <w:jc w:val="both"/>
        <w:rPr>
          <w:b/>
        </w:rPr>
      </w:pPr>
      <w:r w:rsidRPr="005A6302">
        <w:rPr>
          <w:b/>
        </w:rPr>
        <w:t>Dane kontaktowe osoby reprezentującej polski krajowy punkt kontaktowy:</w:t>
      </w:r>
    </w:p>
    <w:p w14:paraId="1B262F21" w14:textId="77777777" w:rsidR="005A6302" w:rsidRDefault="005A6302" w:rsidP="005A6302">
      <w:pPr>
        <w:pStyle w:val="Akapitzlist"/>
        <w:jc w:val="both"/>
      </w:pPr>
      <w:r>
        <w:t>Bożena Haczek</w:t>
      </w:r>
    </w:p>
    <w:p w14:paraId="22EABEFD" w14:textId="77777777" w:rsidR="005A6302" w:rsidRDefault="005A6302" w:rsidP="005A6302">
      <w:pPr>
        <w:pStyle w:val="Akapitzlist"/>
        <w:jc w:val="both"/>
      </w:pPr>
      <w:r>
        <w:t>Departament Ochrony Przyrody</w:t>
      </w:r>
    </w:p>
    <w:p w14:paraId="22ADAAA8" w14:textId="77777777" w:rsidR="005A6302" w:rsidRDefault="005A6302" w:rsidP="005A6302">
      <w:pPr>
        <w:pStyle w:val="Akapitzlist"/>
        <w:jc w:val="both"/>
      </w:pPr>
      <w:r>
        <w:t>Ministerstwo Środowiska</w:t>
      </w:r>
    </w:p>
    <w:p w14:paraId="7B78B217" w14:textId="77777777" w:rsidR="005A6302" w:rsidRPr="005A6302" w:rsidRDefault="005A6302" w:rsidP="005A6302">
      <w:pPr>
        <w:pStyle w:val="Akapitzlist"/>
        <w:jc w:val="both"/>
        <w:rPr>
          <w:lang w:val="en-US"/>
        </w:rPr>
      </w:pPr>
      <w:r w:rsidRPr="005A6302">
        <w:rPr>
          <w:lang w:val="en-US"/>
        </w:rPr>
        <w:t xml:space="preserve">e-mail: </w:t>
      </w:r>
      <w:hyperlink r:id="rId7" w:history="1">
        <w:r w:rsidRPr="005A6302">
          <w:rPr>
            <w:rStyle w:val="Hipercze"/>
            <w:lang w:val="en-US"/>
          </w:rPr>
          <w:t>bozena.haczek@mos.gov.pl</w:t>
        </w:r>
      </w:hyperlink>
    </w:p>
    <w:p w14:paraId="60550BFF" w14:textId="77777777" w:rsidR="005A6302" w:rsidRPr="005A6302" w:rsidRDefault="005A6302" w:rsidP="005A6302">
      <w:pPr>
        <w:pStyle w:val="Akapitzlist"/>
        <w:jc w:val="both"/>
        <w:rPr>
          <w:lang w:val="en-US"/>
        </w:rPr>
      </w:pPr>
      <w:r>
        <w:rPr>
          <w:lang w:val="en-US"/>
        </w:rPr>
        <w:t xml:space="preserve">tel. </w:t>
      </w:r>
      <w:r w:rsidRPr="005A6302">
        <w:rPr>
          <w:lang w:val="en-US"/>
        </w:rPr>
        <w:t>+48 22 36 92 423</w:t>
      </w:r>
    </w:p>
    <w:p w14:paraId="39BA285A" w14:textId="77777777" w:rsidR="007E7D87" w:rsidRPr="005A6302" w:rsidRDefault="007E7D87" w:rsidP="005A6302">
      <w:pPr>
        <w:jc w:val="both"/>
        <w:rPr>
          <w:lang w:val="en-US"/>
        </w:rPr>
      </w:pPr>
    </w:p>
    <w:p w14:paraId="35AAE20F" w14:textId="77777777" w:rsidR="007E7D87" w:rsidRPr="005A6302" w:rsidRDefault="007E7D87" w:rsidP="005A6302">
      <w:pPr>
        <w:jc w:val="both"/>
        <w:rPr>
          <w:lang w:val="en-US"/>
        </w:rPr>
      </w:pPr>
    </w:p>
    <w:sectPr w:rsidR="007E7D87" w:rsidRPr="005A6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015"/>
    <w:multiLevelType w:val="hybridMultilevel"/>
    <w:tmpl w:val="AB44D28C"/>
    <w:lvl w:ilvl="0" w:tplc="8DCA19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A550019"/>
    <w:multiLevelType w:val="hybridMultilevel"/>
    <w:tmpl w:val="FE2A3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87"/>
    <w:rsid w:val="0023714A"/>
    <w:rsid w:val="002B7C4A"/>
    <w:rsid w:val="003466DB"/>
    <w:rsid w:val="005A6302"/>
    <w:rsid w:val="007E7D87"/>
    <w:rsid w:val="00804385"/>
    <w:rsid w:val="008722D4"/>
    <w:rsid w:val="009F7ED9"/>
    <w:rsid w:val="00A25BB7"/>
    <w:rsid w:val="00F360AC"/>
    <w:rsid w:val="00FE7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DC4E"/>
  <w15:chartTrackingRefBased/>
  <w15:docId w15:val="{3326F4C0-90EA-4FA4-AFBF-2621EC9E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D87"/>
    <w:pPr>
      <w:ind w:left="720"/>
      <w:contextualSpacing/>
    </w:pPr>
  </w:style>
  <w:style w:type="character" w:styleId="Hipercze">
    <w:name w:val="Hyperlink"/>
    <w:basedOn w:val="Domylnaczcionkaakapitu"/>
    <w:uiPriority w:val="99"/>
    <w:unhideWhenUsed/>
    <w:rsid w:val="00237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zena.haczek@m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sch.cbd.int/countries/" TargetMode="External"/><Relationship Id="rId5" Type="http://schemas.openxmlformats.org/officeDocument/2006/relationships/hyperlink" Target="https://absch.cbd.int/countr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753</Words>
  <Characters>4523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Czarnecki Adam</dc:creator>
  <cp:keywords/>
  <dc:description/>
  <cp:lastModifiedBy>USER</cp:lastModifiedBy>
  <cp:revision>5</cp:revision>
  <dcterms:created xsi:type="dcterms:W3CDTF">2019-06-25T16:39:00Z</dcterms:created>
  <dcterms:modified xsi:type="dcterms:W3CDTF">2019-06-27T07:16:00Z</dcterms:modified>
</cp:coreProperties>
</file>