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23" w:rsidRPr="001E4896" w:rsidRDefault="00F75B23">
      <w:pPr>
        <w:spacing w:before="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5897"/>
      </w:tblGrid>
      <w:tr w:rsidR="00F75B23" w:rsidRPr="001E4896" w:rsidTr="001E4896">
        <w:trPr>
          <w:trHeight w:val="230"/>
        </w:trPr>
        <w:tc>
          <w:tcPr>
            <w:tcW w:w="3317" w:type="dxa"/>
          </w:tcPr>
          <w:p w:rsidR="00F75B23" w:rsidRPr="001E4896" w:rsidRDefault="00B717B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r w:rsidRPr="001E4896">
              <w:rPr>
                <w:rFonts w:ascii="Arial" w:hAnsi="Arial" w:cs="Arial"/>
                <w:sz w:val="20"/>
                <w:szCs w:val="20"/>
              </w:rPr>
              <w:t xml:space="preserve">Module </w:t>
            </w:r>
            <w:proofErr w:type="spellStart"/>
            <w:r w:rsidRPr="001E4896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897" w:type="dxa"/>
          </w:tcPr>
          <w:p w:rsidR="00F75B23" w:rsidRPr="001E4896" w:rsidRDefault="00B717B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b/>
                <w:sz w:val="20"/>
                <w:szCs w:val="20"/>
                <w:lang w:val="en-US"/>
              </w:rPr>
              <w:t>Human Behavior and Decision-Making</w:t>
            </w:r>
          </w:p>
        </w:tc>
      </w:tr>
      <w:tr w:rsidR="00F75B23" w:rsidRPr="001E4896" w:rsidTr="001E4896">
        <w:trPr>
          <w:trHeight w:val="230"/>
        </w:trPr>
        <w:tc>
          <w:tcPr>
            <w:tcW w:w="3317" w:type="dxa"/>
          </w:tcPr>
          <w:p w:rsidR="00F75B23" w:rsidRPr="001E4896" w:rsidRDefault="00B717B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r w:rsidRPr="001E4896">
              <w:rPr>
                <w:rFonts w:ascii="Arial" w:hAnsi="Arial" w:cs="Arial"/>
                <w:sz w:val="20"/>
                <w:szCs w:val="20"/>
              </w:rPr>
              <w:t xml:space="preserve">Erasmus </w:t>
            </w:r>
            <w:proofErr w:type="spellStart"/>
            <w:r w:rsidRPr="001E4896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897" w:type="dxa"/>
          </w:tcPr>
          <w:p w:rsidR="00F75B23" w:rsidRPr="001E4896" w:rsidRDefault="00F75B2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B23" w:rsidRPr="001E4896" w:rsidTr="001E4896">
        <w:trPr>
          <w:trHeight w:val="230"/>
        </w:trPr>
        <w:tc>
          <w:tcPr>
            <w:tcW w:w="3317" w:type="dxa"/>
          </w:tcPr>
          <w:p w:rsidR="00F75B23" w:rsidRPr="001E4896" w:rsidRDefault="00B717B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r w:rsidRPr="001E4896">
              <w:rPr>
                <w:rFonts w:ascii="Arial" w:hAnsi="Arial" w:cs="Arial"/>
                <w:sz w:val="20"/>
                <w:szCs w:val="20"/>
              </w:rPr>
              <w:t xml:space="preserve">ISCED </w:t>
            </w:r>
            <w:proofErr w:type="spellStart"/>
            <w:r w:rsidRPr="001E4896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897" w:type="dxa"/>
          </w:tcPr>
          <w:p w:rsidR="00F75B23" w:rsidRPr="001E4896" w:rsidRDefault="00F75B2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B23" w:rsidRPr="001E4896" w:rsidTr="001E4896">
        <w:trPr>
          <w:trHeight w:val="229"/>
        </w:trPr>
        <w:tc>
          <w:tcPr>
            <w:tcW w:w="3317" w:type="dxa"/>
          </w:tcPr>
          <w:p w:rsidR="00F75B23" w:rsidRPr="001E4896" w:rsidRDefault="00B717B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r w:rsidRPr="001E4896">
              <w:rPr>
                <w:rFonts w:ascii="Arial" w:hAnsi="Arial" w:cs="Arial"/>
                <w:sz w:val="20"/>
                <w:szCs w:val="20"/>
              </w:rPr>
              <w:t xml:space="preserve">Language of </w:t>
            </w:r>
            <w:proofErr w:type="spellStart"/>
            <w:r w:rsidRPr="001E4896">
              <w:rPr>
                <w:rFonts w:ascii="Arial" w:hAnsi="Arial" w:cs="Arial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897" w:type="dxa"/>
          </w:tcPr>
          <w:p w:rsidR="00F75B23" w:rsidRPr="001E4896" w:rsidRDefault="00B717B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r w:rsidRPr="001E4896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F75B23" w:rsidRPr="001E4896" w:rsidTr="001E4896">
        <w:trPr>
          <w:trHeight w:val="230"/>
        </w:trPr>
        <w:tc>
          <w:tcPr>
            <w:tcW w:w="3317" w:type="dxa"/>
          </w:tcPr>
          <w:p w:rsidR="00F75B23" w:rsidRPr="001E4896" w:rsidRDefault="00B717B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4896">
              <w:rPr>
                <w:rFonts w:ascii="Arial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897" w:type="dxa"/>
          </w:tcPr>
          <w:p w:rsidR="00F75B23" w:rsidRPr="001E4896" w:rsidRDefault="00F75B2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B23" w:rsidRPr="001E4896" w:rsidTr="001E4896">
        <w:trPr>
          <w:trHeight w:val="230"/>
        </w:trPr>
        <w:tc>
          <w:tcPr>
            <w:tcW w:w="3317" w:type="dxa"/>
          </w:tcPr>
          <w:p w:rsidR="00F75B23" w:rsidRPr="001E4896" w:rsidRDefault="00B717B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4896">
              <w:rPr>
                <w:rFonts w:ascii="Arial" w:hAnsi="Arial" w:cs="Arial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5897" w:type="dxa"/>
          </w:tcPr>
          <w:p w:rsidR="00F75B23" w:rsidRPr="001E4896" w:rsidRDefault="00B717B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Background in theory of knowledge and behavioral sciences</w:t>
            </w:r>
          </w:p>
        </w:tc>
      </w:tr>
      <w:tr w:rsidR="00F75B23" w:rsidRPr="001E4896" w:rsidTr="001E4896">
        <w:trPr>
          <w:trHeight w:val="1149"/>
        </w:trPr>
        <w:tc>
          <w:tcPr>
            <w:tcW w:w="3317" w:type="dxa"/>
          </w:tcPr>
          <w:p w:rsidR="00F75B23" w:rsidRPr="001E4896" w:rsidRDefault="00B717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E4896">
              <w:rPr>
                <w:rFonts w:ascii="Arial" w:hAnsi="Arial" w:cs="Arial"/>
                <w:sz w:val="20"/>
                <w:szCs w:val="20"/>
              </w:rPr>
              <w:t xml:space="preserve">ECTS </w:t>
            </w:r>
            <w:proofErr w:type="spellStart"/>
            <w:r w:rsidRPr="001E4896">
              <w:rPr>
                <w:rFonts w:ascii="Arial" w:hAnsi="Arial" w:cs="Arial"/>
                <w:sz w:val="20"/>
                <w:szCs w:val="20"/>
              </w:rPr>
              <w:t>points</w:t>
            </w:r>
            <w:proofErr w:type="spellEnd"/>
            <w:r w:rsidRPr="001E48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4896">
              <w:rPr>
                <w:rFonts w:ascii="Arial" w:hAnsi="Arial" w:cs="Arial"/>
                <w:sz w:val="20"/>
                <w:szCs w:val="20"/>
              </w:rPr>
              <w:t>hour</w:t>
            </w:r>
            <w:proofErr w:type="spellEnd"/>
            <w:r w:rsidRPr="001E48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4896">
              <w:rPr>
                <w:rFonts w:ascii="Arial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897" w:type="dxa"/>
          </w:tcPr>
          <w:p w:rsidR="001E4896" w:rsidRDefault="00B717BF">
            <w:pPr>
              <w:pStyle w:val="TableParagraph"/>
              <w:ind w:right="94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Contact hours (work with an academic</w:t>
            </w:r>
            <w:r w:rsidR="001E48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 xml:space="preserve">teacher): 30 </w:t>
            </w:r>
          </w:p>
          <w:p w:rsidR="001E4896" w:rsidRDefault="00B717BF">
            <w:pPr>
              <w:pStyle w:val="TableParagraph"/>
              <w:ind w:right="94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 xml:space="preserve">Total number of hours with an academic teacher: 60 </w:t>
            </w:r>
          </w:p>
          <w:p w:rsidR="00F75B23" w:rsidRPr="001E4896" w:rsidRDefault="00B717BF" w:rsidP="001E4896">
            <w:pPr>
              <w:pStyle w:val="TableParagraph"/>
              <w:ind w:right="94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 xml:space="preserve">Non-contact hours (students' own work): </w:t>
            </w:r>
            <w:r w:rsidR="001E4896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F75B23" w:rsidRPr="001E4896" w:rsidRDefault="00B717BF">
            <w:pPr>
              <w:pStyle w:val="TableParagraph"/>
              <w:spacing w:line="209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 xml:space="preserve">Total number of ECTS points for the module: </w:t>
            </w:r>
            <w:r w:rsidR="001E489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F75B23" w:rsidRPr="001E4896" w:rsidTr="001E4896">
        <w:trPr>
          <w:trHeight w:val="230"/>
        </w:trPr>
        <w:tc>
          <w:tcPr>
            <w:tcW w:w="3317" w:type="dxa"/>
          </w:tcPr>
          <w:p w:rsidR="00F75B23" w:rsidRPr="001E4896" w:rsidRDefault="00B717B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4896">
              <w:rPr>
                <w:rFonts w:ascii="Arial" w:hAnsi="Arial" w:cs="Arial"/>
                <w:sz w:val="20"/>
                <w:szCs w:val="20"/>
              </w:rPr>
              <w:t>Educational</w:t>
            </w:r>
            <w:proofErr w:type="spellEnd"/>
            <w:r w:rsidRPr="001E48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4896">
              <w:rPr>
                <w:rFonts w:ascii="Arial" w:hAnsi="Arial" w:cs="Arial"/>
                <w:sz w:val="20"/>
                <w:szCs w:val="20"/>
              </w:rPr>
              <w:t>outcomes</w:t>
            </w:r>
            <w:proofErr w:type="spellEnd"/>
            <w:r w:rsidRPr="001E48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4896">
              <w:rPr>
                <w:rFonts w:ascii="Arial" w:hAnsi="Arial" w:cs="Arial"/>
                <w:sz w:val="20"/>
                <w:szCs w:val="20"/>
              </w:rPr>
              <w:t>v</w:t>
            </w:r>
            <w:r w:rsidRPr="001E4896">
              <w:rPr>
                <w:rFonts w:ascii="Arial" w:hAnsi="Arial" w:cs="Arial"/>
                <w:sz w:val="20"/>
                <w:szCs w:val="20"/>
              </w:rPr>
              <w:t>erification</w:t>
            </w:r>
            <w:proofErr w:type="spellEnd"/>
            <w:r w:rsidRPr="001E48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4896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897" w:type="dxa"/>
          </w:tcPr>
          <w:p w:rsidR="00F75B23" w:rsidRPr="001E4896" w:rsidRDefault="00B717B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Either an essay or an oral exam</w:t>
            </w:r>
          </w:p>
        </w:tc>
      </w:tr>
      <w:tr w:rsidR="00F75B23" w:rsidRPr="001E4896" w:rsidTr="001E4896">
        <w:trPr>
          <w:trHeight w:val="8837"/>
        </w:trPr>
        <w:tc>
          <w:tcPr>
            <w:tcW w:w="3317" w:type="dxa"/>
          </w:tcPr>
          <w:p w:rsidR="00F75B23" w:rsidRPr="001E4896" w:rsidRDefault="00B717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4896">
              <w:rPr>
                <w:rFonts w:ascii="Arial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897" w:type="dxa"/>
          </w:tcPr>
          <w:p w:rsidR="00F75B23" w:rsidRPr="001E4896" w:rsidRDefault="00B717BF">
            <w:pPr>
              <w:pStyle w:val="TableParagraph"/>
              <w:ind w:right="14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 xml:space="preserve">During the course we will discuss basic models and strategies of DM in different fields, including health care, behavioral economics, law, computer science, education, politics, organizational </w:t>
            </w:r>
            <w:proofErr w:type="spellStart"/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, etc. We will analyze how successful judgment depends</w:t>
            </w: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 xml:space="preserve"> on ability to understand other people beliefs, emotions, interests, values.</w:t>
            </w:r>
          </w:p>
          <w:p w:rsidR="00F75B23" w:rsidRPr="001E4896" w:rsidRDefault="00F75B23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75B23" w:rsidRPr="001E4896" w:rsidRDefault="00B717BF">
            <w:pPr>
              <w:pStyle w:val="TableParagraph"/>
              <w:ind w:left="815" w:right="2099" w:hanging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We especially concentrate on: decisions about other people,</w:t>
            </w:r>
          </w:p>
          <w:p w:rsidR="00F75B23" w:rsidRPr="001E4896" w:rsidRDefault="00B717BF">
            <w:pPr>
              <w:pStyle w:val="TableParagraph"/>
              <w:spacing w:before="1"/>
              <w:ind w:left="815" w:right="144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decisions influenced by other people, collaborative decision-making.</w:t>
            </w:r>
          </w:p>
          <w:p w:rsidR="00F75B23" w:rsidRPr="001E4896" w:rsidRDefault="00F75B23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75B23" w:rsidRPr="001E4896" w:rsidRDefault="00B717BF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Topics:</w:t>
            </w:r>
          </w:p>
          <w:p w:rsidR="00F75B23" w:rsidRPr="001E4896" w:rsidRDefault="00B717BF">
            <w:pPr>
              <w:pStyle w:val="TableParagraph"/>
              <w:spacing w:before="185"/>
              <w:ind w:left="815" w:right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Judgment and decision making from an evolutionary, cultural-historical, and ontogenetic perspective;</w:t>
            </w:r>
          </w:p>
          <w:p w:rsidR="00F75B23" w:rsidRPr="001E4896" w:rsidRDefault="00F75B23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75B23" w:rsidRPr="001E4896" w:rsidRDefault="00B717BF">
            <w:pPr>
              <w:pStyle w:val="TableParagraph"/>
              <w:spacing w:before="1" w:line="446" w:lineRule="auto"/>
              <w:ind w:left="815" w:righ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Psychological underpinnings of decision-making; Cognitive bases for decision-making</w:t>
            </w:r>
          </w:p>
          <w:p w:rsidR="00F75B23" w:rsidRPr="001E4896" w:rsidRDefault="00B717BF">
            <w:pPr>
              <w:pStyle w:val="TableParagraph"/>
              <w:spacing w:before="1"/>
              <w:ind w:left="81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Social vs non-social perspectives on decision-making;</w:t>
            </w:r>
          </w:p>
          <w:p w:rsidR="00F75B23" w:rsidRPr="001E4896" w:rsidRDefault="00B717BF">
            <w:pPr>
              <w:pStyle w:val="TableParagraph"/>
              <w:spacing w:before="197"/>
              <w:ind w:left="815" w:right="22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Expert knowledge</w:t>
            </w: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 xml:space="preserve"> and decision making (health care, economy, law, computer science, education,</w:t>
            </w:r>
            <w:r w:rsidRPr="001E4896">
              <w:rPr>
                <w:rFonts w:ascii="Arial" w:hAnsi="Arial" w:cs="Arial"/>
                <w:spacing w:val="-19"/>
                <w:sz w:val="20"/>
                <w:szCs w:val="20"/>
                <w:lang w:val="en-US"/>
              </w:rPr>
              <w:t xml:space="preserve"> </w:t>
            </w: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 xml:space="preserve">politics, organizational </w:t>
            </w:r>
            <w:proofErr w:type="spellStart"/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E4896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proofErr w:type="spellEnd"/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);</w:t>
            </w:r>
          </w:p>
          <w:p w:rsidR="00F75B23" w:rsidRPr="001E4896" w:rsidRDefault="00F75B23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75B23" w:rsidRPr="001E4896" w:rsidRDefault="00B717BF">
            <w:pPr>
              <w:pStyle w:val="TableParagraph"/>
              <w:ind w:left="81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Strategic decision making;</w:t>
            </w:r>
          </w:p>
          <w:p w:rsidR="00F75B23" w:rsidRPr="001E4896" w:rsidRDefault="00B717BF">
            <w:pPr>
              <w:pStyle w:val="TableParagraph"/>
              <w:spacing w:before="197"/>
              <w:ind w:left="81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Individual vs collaborative decision-making;</w:t>
            </w:r>
          </w:p>
          <w:p w:rsidR="00F75B23" w:rsidRPr="001E4896" w:rsidRDefault="00B717BF">
            <w:pPr>
              <w:pStyle w:val="TableParagraph"/>
              <w:spacing w:before="197"/>
              <w:ind w:left="81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Experimentation and research in decision-making theory (game th</w:t>
            </w: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eory, computer simulations, quality research);</w:t>
            </w:r>
          </w:p>
          <w:p w:rsidR="00F75B23" w:rsidRPr="001E4896" w:rsidRDefault="00F75B23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75B23" w:rsidRPr="001E4896" w:rsidRDefault="00B717BF">
            <w:pPr>
              <w:pStyle w:val="TableParagraph"/>
              <w:spacing w:line="446" w:lineRule="auto"/>
              <w:ind w:left="81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 xml:space="preserve">Values based practice and decision making; </w:t>
            </w:r>
            <w:proofErr w:type="spellStart"/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Neurosociology</w:t>
            </w:r>
            <w:proofErr w:type="spellEnd"/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 xml:space="preserve"> and decision-making.</w:t>
            </w:r>
          </w:p>
        </w:tc>
      </w:tr>
      <w:tr w:rsidR="00F75B23" w:rsidRPr="001E4896" w:rsidTr="001E4896">
        <w:trPr>
          <w:trHeight w:val="1660"/>
        </w:trPr>
        <w:tc>
          <w:tcPr>
            <w:tcW w:w="3317" w:type="dxa"/>
          </w:tcPr>
          <w:p w:rsidR="00F75B23" w:rsidRPr="001E4896" w:rsidRDefault="00B717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E4896">
              <w:rPr>
                <w:rFonts w:ascii="Arial" w:hAnsi="Arial" w:cs="Arial"/>
                <w:sz w:val="20"/>
                <w:szCs w:val="20"/>
              </w:rPr>
              <w:t>Reading list</w:t>
            </w:r>
          </w:p>
        </w:tc>
        <w:tc>
          <w:tcPr>
            <w:tcW w:w="5897" w:type="dxa"/>
          </w:tcPr>
          <w:p w:rsidR="00F75B23" w:rsidRPr="001E4896" w:rsidRDefault="00B717BF">
            <w:pPr>
              <w:pStyle w:val="TableParagraph"/>
              <w:spacing w:line="288" w:lineRule="auto"/>
              <w:ind w:right="6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Binmore</w:t>
            </w:r>
            <w:proofErr w:type="spellEnd"/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 xml:space="preserve">, Ken, 2009, </w:t>
            </w:r>
            <w:r w:rsidRPr="001E4896">
              <w:rPr>
                <w:rFonts w:ascii="Arial" w:hAnsi="Arial" w:cs="Arial"/>
                <w:i/>
                <w:sz w:val="20"/>
                <w:szCs w:val="20"/>
                <w:lang w:val="en-US"/>
              </w:rPr>
              <w:t>Rational Decisions</w:t>
            </w: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, Princeton, NJ: Princeton University Press.</w:t>
            </w:r>
          </w:p>
          <w:p w:rsidR="00F75B23" w:rsidRPr="001E4896" w:rsidRDefault="00B717BF">
            <w:pPr>
              <w:pStyle w:val="TableParagraph"/>
              <w:spacing w:before="142" w:line="288" w:lineRule="auto"/>
              <w:ind w:right="30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 xml:space="preserve">Peterson, Martin, 2009, </w:t>
            </w:r>
            <w:r w:rsidRPr="001E4896">
              <w:rPr>
                <w:rFonts w:ascii="Arial" w:hAnsi="Arial" w:cs="Arial"/>
                <w:i/>
                <w:sz w:val="20"/>
                <w:szCs w:val="20"/>
                <w:lang w:val="en-US"/>
              </w:rPr>
              <w:t>An Introduction to Decision Theory</w:t>
            </w: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, Cambridge: Cambridge University Press.</w:t>
            </w:r>
          </w:p>
          <w:p w:rsidR="00F75B23" w:rsidRPr="001E4896" w:rsidRDefault="00B717BF">
            <w:pPr>
              <w:pStyle w:val="TableParagraph"/>
              <w:spacing w:before="139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 xml:space="preserve">Resnik, Michael D., 1987, </w:t>
            </w:r>
            <w:r w:rsidRPr="001E4896">
              <w:rPr>
                <w:rFonts w:ascii="Arial" w:hAnsi="Arial" w:cs="Arial"/>
                <w:i/>
                <w:sz w:val="20"/>
                <w:szCs w:val="20"/>
                <w:lang w:val="en-US"/>
              </w:rPr>
              <w:t>Choices: An Introduction to</w:t>
            </w:r>
          </w:p>
        </w:tc>
      </w:tr>
    </w:tbl>
    <w:p w:rsidR="00F75B23" w:rsidRPr="001E4896" w:rsidRDefault="00F75B23">
      <w:pPr>
        <w:rPr>
          <w:rFonts w:ascii="Arial" w:hAnsi="Arial" w:cs="Arial"/>
          <w:sz w:val="20"/>
          <w:szCs w:val="20"/>
          <w:lang w:val="en-US"/>
        </w:rPr>
        <w:sectPr w:rsidR="00F75B23" w:rsidRPr="001E4896">
          <w:type w:val="continuous"/>
          <w:pgSz w:w="11910" w:h="16840"/>
          <w:pgMar w:top="1580" w:right="1260" w:bottom="280" w:left="1200" w:header="708" w:footer="708" w:gutter="0"/>
          <w:cols w:space="708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5277"/>
      </w:tblGrid>
      <w:tr w:rsidR="00F75B23" w:rsidRPr="001E4896">
        <w:trPr>
          <w:trHeight w:val="1384"/>
        </w:trPr>
        <w:tc>
          <w:tcPr>
            <w:tcW w:w="3937" w:type="dxa"/>
          </w:tcPr>
          <w:p w:rsidR="00F75B23" w:rsidRPr="001E4896" w:rsidRDefault="00F75B2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</w:tcPr>
          <w:p w:rsidR="00F75B23" w:rsidRPr="001E4896" w:rsidRDefault="00B717BF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i/>
                <w:sz w:val="20"/>
                <w:szCs w:val="20"/>
                <w:lang w:val="en-US"/>
              </w:rPr>
              <w:t>Decision Theory</w:t>
            </w: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, Minneapolis: University of Minnesota Press.</w:t>
            </w:r>
          </w:p>
          <w:p w:rsidR="00F75B23" w:rsidRPr="001E4896" w:rsidRDefault="00B717BF">
            <w:pPr>
              <w:pStyle w:val="TableParagraph"/>
              <w:spacing w:before="186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 xml:space="preserve">Tversky, Amos, 1975, “A Critique of Expected Utility Theory: Descriptive and Normative Considerations”, </w:t>
            </w:r>
            <w:proofErr w:type="spellStart"/>
            <w:r w:rsidRPr="001E4896">
              <w:rPr>
                <w:rFonts w:ascii="Arial" w:hAnsi="Arial" w:cs="Arial"/>
                <w:i/>
                <w:sz w:val="20"/>
                <w:szCs w:val="20"/>
                <w:lang w:val="en-US"/>
              </w:rPr>
              <w:t>Erkenntnis</w:t>
            </w:r>
            <w:proofErr w:type="spellEnd"/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, 9: 163–173.</w:t>
            </w:r>
          </w:p>
        </w:tc>
      </w:tr>
      <w:tr w:rsidR="00F75B23" w:rsidRPr="001E4896">
        <w:trPr>
          <w:trHeight w:val="1151"/>
        </w:trPr>
        <w:tc>
          <w:tcPr>
            <w:tcW w:w="3937" w:type="dxa"/>
          </w:tcPr>
          <w:p w:rsidR="00F75B23" w:rsidRPr="001E4896" w:rsidRDefault="00B717BF">
            <w:pPr>
              <w:pStyle w:val="TableParagraph"/>
              <w:spacing w:line="22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4896">
              <w:rPr>
                <w:rFonts w:ascii="Arial" w:hAnsi="Arial" w:cs="Arial"/>
                <w:sz w:val="20"/>
                <w:szCs w:val="20"/>
              </w:rPr>
              <w:t>Educational</w:t>
            </w:r>
            <w:proofErr w:type="spellEnd"/>
            <w:r w:rsidRPr="001E48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4896">
              <w:rPr>
                <w:rFonts w:ascii="Arial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7" w:type="dxa"/>
          </w:tcPr>
          <w:p w:rsidR="00F75B23" w:rsidRPr="001E4896" w:rsidRDefault="00B717BF">
            <w:pPr>
              <w:pStyle w:val="TableParagraph"/>
              <w:spacing w:line="228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After completing the subject, the students should be able:</w:t>
            </w:r>
          </w:p>
          <w:p w:rsidR="00F75B23" w:rsidRPr="001E4896" w:rsidRDefault="00B717BF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hanging="3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to know different models of</w:t>
            </w:r>
            <w:r w:rsidRPr="001E4896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decision-making</w:t>
            </w:r>
          </w:p>
          <w:p w:rsidR="00F75B23" w:rsidRPr="001E4896" w:rsidRDefault="00B717BF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"/>
              <w:ind w:hanging="3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to understand the nature of decis</w:t>
            </w:r>
            <w:bookmarkStart w:id="0" w:name="_GoBack"/>
            <w:bookmarkEnd w:id="0"/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ion</w:t>
            </w:r>
            <w:r w:rsidRPr="001E4896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making;</w:t>
            </w:r>
          </w:p>
          <w:p w:rsidR="00F75B23" w:rsidRPr="001E4896" w:rsidRDefault="00B717BF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30" w:lineRule="atLeast"/>
              <w:ind w:right="997" w:hanging="3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to discuss the role of decision making in</w:t>
            </w:r>
            <w:r w:rsidRPr="001E4896">
              <w:rPr>
                <w:rFonts w:ascii="Arial" w:hAnsi="Arial" w:cs="Arial"/>
                <w:spacing w:val="-15"/>
                <w:sz w:val="20"/>
                <w:szCs w:val="20"/>
                <w:lang w:val="en-US"/>
              </w:rPr>
              <w:t xml:space="preserve"> </w:t>
            </w:r>
            <w:r w:rsidRPr="001E4896">
              <w:rPr>
                <w:rFonts w:ascii="Arial" w:hAnsi="Arial" w:cs="Arial"/>
                <w:sz w:val="20"/>
                <w:szCs w:val="20"/>
                <w:lang w:val="en-US"/>
              </w:rPr>
              <w:t>different fields/areas.</w:t>
            </w:r>
          </w:p>
        </w:tc>
      </w:tr>
      <w:tr w:rsidR="00F75B23" w:rsidRPr="001E4896">
        <w:trPr>
          <w:trHeight w:val="230"/>
        </w:trPr>
        <w:tc>
          <w:tcPr>
            <w:tcW w:w="3937" w:type="dxa"/>
          </w:tcPr>
          <w:p w:rsidR="00F75B23" w:rsidRPr="001E4896" w:rsidRDefault="00B717B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4896"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5277" w:type="dxa"/>
          </w:tcPr>
          <w:p w:rsidR="00F75B23" w:rsidRPr="001E4896" w:rsidRDefault="00B717B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4896">
              <w:rPr>
                <w:rFonts w:ascii="Arial" w:hAnsi="Arial" w:cs="Arial"/>
                <w:sz w:val="20"/>
                <w:szCs w:val="20"/>
              </w:rPr>
              <w:t>None</w:t>
            </w:r>
            <w:proofErr w:type="spellEnd"/>
          </w:p>
        </w:tc>
      </w:tr>
    </w:tbl>
    <w:p w:rsidR="00B717BF" w:rsidRPr="001E4896" w:rsidRDefault="00B717BF">
      <w:pPr>
        <w:rPr>
          <w:rFonts w:ascii="Arial" w:hAnsi="Arial" w:cs="Arial"/>
          <w:sz w:val="20"/>
          <w:szCs w:val="20"/>
        </w:rPr>
      </w:pPr>
    </w:p>
    <w:sectPr w:rsidR="00B717BF" w:rsidRPr="001E4896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0053E"/>
    <w:multiLevelType w:val="hybridMultilevel"/>
    <w:tmpl w:val="A31012A2"/>
    <w:lvl w:ilvl="0" w:tplc="4712CCC6">
      <w:start w:val="1"/>
      <w:numFmt w:val="decimal"/>
      <w:lvlText w:val="%1."/>
      <w:lvlJc w:val="left"/>
      <w:pPr>
        <w:ind w:left="47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620E32E6">
      <w:numFmt w:val="bullet"/>
      <w:lvlText w:val="•"/>
      <w:lvlJc w:val="left"/>
      <w:pPr>
        <w:ind w:left="958" w:hanging="201"/>
      </w:pPr>
      <w:rPr>
        <w:rFonts w:hint="default"/>
        <w:lang w:val="pl-PL" w:eastAsia="pl-PL" w:bidi="pl-PL"/>
      </w:rPr>
    </w:lvl>
    <w:lvl w:ilvl="2" w:tplc="EDA440D8">
      <w:numFmt w:val="bullet"/>
      <w:lvlText w:val="•"/>
      <w:lvlJc w:val="left"/>
      <w:pPr>
        <w:ind w:left="1437" w:hanging="201"/>
      </w:pPr>
      <w:rPr>
        <w:rFonts w:hint="default"/>
        <w:lang w:val="pl-PL" w:eastAsia="pl-PL" w:bidi="pl-PL"/>
      </w:rPr>
    </w:lvl>
    <w:lvl w:ilvl="3" w:tplc="FE4689A6">
      <w:numFmt w:val="bullet"/>
      <w:lvlText w:val="•"/>
      <w:lvlJc w:val="left"/>
      <w:pPr>
        <w:ind w:left="1916" w:hanging="201"/>
      </w:pPr>
      <w:rPr>
        <w:rFonts w:hint="default"/>
        <w:lang w:val="pl-PL" w:eastAsia="pl-PL" w:bidi="pl-PL"/>
      </w:rPr>
    </w:lvl>
    <w:lvl w:ilvl="4" w:tplc="4F141E20">
      <w:numFmt w:val="bullet"/>
      <w:lvlText w:val="•"/>
      <w:lvlJc w:val="left"/>
      <w:pPr>
        <w:ind w:left="2394" w:hanging="201"/>
      </w:pPr>
      <w:rPr>
        <w:rFonts w:hint="default"/>
        <w:lang w:val="pl-PL" w:eastAsia="pl-PL" w:bidi="pl-PL"/>
      </w:rPr>
    </w:lvl>
    <w:lvl w:ilvl="5" w:tplc="000ABEB8">
      <w:numFmt w:val="bullet"/>
      <w:lvlText w:val="•"/>
      <w:lvlJc w:val="left"/>
      <w:pPr>
        <w:ind w:left="2873" w:hanging="201"/>
      </w:pPr>
      <w:rPr>
        <w:rFonts w:hint="default"/>
        <w:lang w:val="pl-PL" w:eastAsia="pl-PL" w:bidi="pl-PL"/>
      </w:rPr>
    </w:lvl>
    <w:lvl w:ilvl="6" w:tplc="112C2960">
      <w:numFmt w:val="bullet"/>
      <w:lvlText w:val="•"/>
      <w:lvlJc w:val="left"/>
      <w:pPr>
        <w:ind w:left="3352" w:hanging="201"/>
      </w:pPr>
      <w:rPr>
        <w:rFonts w:hint="default"/>
        <w:lang w:val="pl-PL" w:eastAsia="pl-PL" w:bidi="pl-PL"/>
      </w:rPr>
    </w:lvl>
    <w:lvl w:ilvl="7" w:tplc="C0343BCA">
      <w:numFmt w:val="bullet"/>
      <w:lvlText w:val="•"/>
      <w:lvlJc w:val="left"/>
      <w:pPr>
        <w:ind w:left="3830" w:hanging="201"/>
      </w:pPr>
      <w:rPr>
        <w:rFonts w:hint="default"/>
        <w:lang w:val="pl-PL" w:eastAsia="pl-PL" w:bidi="pl-PL"/>
      </w:rPr>
    </w:lvl>
    <w:lvl w:ilvl="8" w:tplc="478C4E6C">
      <w:numFmt w:val="bullet"/>
      <w:lvlText w:val="•"/>
      <w:lvlJc w:val="left"/>
      <w:pPr>
        <w:ind w:left="4309" w:hanging="20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B23"/>
    <w:rsid w:val="001E4896"/>
    <w:rsid w:val="00B717BF"/>
    <w:rsid w:val="00F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DF63"/>
  <w15:docId w15:val="{0CBF3DC5-AA70-47DC-BE57-7397DCF1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Marcin Rządeczka</cp:lastModifiedBy>
  <cp:revision>2</cp:revision>
  <dcterms:created xsi:type="dcterms:W3CDTF">2019-05-13T09:14:00Z</dcterms:created>
  <dcterms:modified xsi:type="dcterms:W3CDTF">2019-05-13T09:17:00Z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2019-05-13T00:00:00Z</vt:filetime>
  </property>
</Properties>
</file>