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Pr="00916B77" w:rsidRDefault="00916B77" w:rsidP="00916B77">
      <w:pPr>
        <w:widowControl w:val="0"/>
        <w:tabs>
          <w:tab w:val="left" w:pos="851"/>
        </w:tabs>
        <w:suppressAutoHyphens w:val="0"/>
        <w:ind w:left="360" w:hanging="360"/>
        <w:rPr>
          <w:rFonts w:ascii="Calibri" w:hAnsi="Calibri"/>
          <w:szCs w:val="18"/>
          <w:lang w:eastAsia="x-none"/>
        </w:rPr>
      </w:pPr>
      <w:r>
        <w:rPr>
          <w:rFonts w:ascii="Calibri" w:hAnsi="Calibri"/>
          <w:szCs w:val="18"/>
          <w:lang w:eastAsia="x-none"/>
        </w:rPr>
        <w:t>Oznaczenie sprawy: PU/33</w:t>
      </w:r>
      <w:r w:rsidRPr="00916B77">
        <w:rPr>
          <w:rFonts w:ascii="Calibri" w:hAnsi="Calibri"/>
          <w:szCs w:val="18"/>
          <w:lang w:eastAsia="x-none"/>
        </w:rPr>
        <w:t>-2018/DOP-a                                                                                              Z</w:t>
      </w:r>
      <w:r w:rsidRPr="00916B77">
        <w:rPr>
          <w:rFonts w:ascii="Calibri" w:hAnsi="Calibri"/>
          <w:szCs w:val="18"/>
          <w:lang w:val="x-none" w:eastAsia="x-none"/>
        </w:rPr>
        <w:t xml:space="preserve">ałącznik </w:t>
      </w:r>
      <w:r w:rsidRPr="00916B77">
        <w:rPr>
          <w:rFonts w:ascii="Calibri" w:hAnsi="Calibri"/>
          <w:szCs w:val="18"/>
          <w:lang w:eastAsia="x-none"/>
        </w:rPr>
        <w:t>N</w:t>
      </w:r>
      <w:r w:rsidRPr="00916B77">
        <w:rPr>
          <w:rFonts w:ascii="Calibri" w:hAnsi="Calibri"/>
          <w:szCs w:val="18"/>
          <w:lang w:val="x-none" w:eastAsia="x-none"/>
        </w:rPr>
        <w:t xml:space="preserve">r 1 do </w:t>
      </w:r>
      <w:r w:rsidRPr="00916B77">
        <w:rPr>
          <w:rFonts w:ascii="Calibri" w:hAnsi="Calibri"/>
          <w:szCs w:val="18"/>
          <w:lang w:eastAsia="x-none"/>
        </w:rPr>
        <w:t>Zaproszenia</w:t>
      </w:r>
    </w:p>
    <w:p w:rsidR="00916B77" w:rsidRPr="00916B77" w:rsidRDefault="00916B77" w:rsidP="00916B77">
      <w:pPr>
        <w:tabs>
          <w:tab w:val="left" w:pos="0"/>
        </w:tabs>
        <w:suppressAutoHyphens w:val="0"/>
        <w:rPr>
          <w:rFonts w:ascii="Calibri" w:hAnsi="Calibri"/>
          <w:b/>
          <w:szCs w:val="18"/>
          <w:lang w:eastAsia="pl-PL"/>
        </w:rPr>
      </w:pPr>
    </w:p>
    <w:p w:rsidR="00916B77" w:rsidRPr="00916B77" w:rsidRDefault="00916B77" w:rsidP="00916B77">
      <w:pPr>
        <w:tabs>
          <w:tab w:val="left" w:pos="0"/>
        </w:tabs>
        <w:suppressAutoHyphens w:val="0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916B77" w:rsidRPr="00916B77" w:rsidRDefault="00916B77" w:rsidP="00916B77">
      <w:pPr>
        <w:tabs>
          <w:tab w:val="left" w:pos="0"/>
        </w:tabs>
        <w:suppressAutoHyphens w:val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916B77">
        <w:rPr>
          <w:rFonts w:ascii="Calibri" w:hAnsi="Calibri"/>
          <w:b/>
          <w:sz w:val="22"/>
          <w:szCs w:val="22"/>
          <w:lang w:eastAsia="pl-PL"/>
        </w:rPr>
        <w:t>OPIS PRZEDMIOTU ZAMÓWIENIA</w:t>
      </w:r>
      <w:r>
        <w:rPr>
          <w:rFonts w:ascii="Calibri" w:hAnsi="Calibri"/>
          <w:b/>
          <w:sz w:val="22"/>
          <w:szCs w:val="22"/>
          <w:lang w:eastAsia="pl-PL"/>
        </w:rPr>
        <w:t>/OPIS OFEROWANEGO TOWARU</w:t>
      </w:r>
    </w:p>
    <w:p w:rsidR="00916B77" w:rsidRPr="00916B77" w:rsidRDefault="00916B77" w:rsidP="00916B77">
      <w:pPr>
        <w:tabs>
          <w:tab w:val="left" w:pos="0"/>
        </w:tabs>
        <w:suppressAutoHyphens w:val="0"/>
        <w:jc w:val="both"/>
        <w:rPr>
          <w:rFonts w:ascii="Calibri" w:hAnsi="Calibri"/>
          <w:b/>
          <w:bCs/>
          <w:szCs w:val="18"/>
          <w:lang w:eastAsia="en-US"/>
        </w:rPr>
      </w:pPr>
    </w:p>
    <w:p w:rsidR="0011663D" w:rsidRPr="0011663D" w:rsidRDefault="0011663D" w:rsidP="001166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Oferowany </w:t>
      </w:r>
      <w:r w:rsidRPr="0011663D">
        <w:rPr>
          <w:rFonts w:ascii="Calibri" w:hAnsi="Calibri" w:cs="Calibri"/>
          <w:b/>
          <w:sz w:val="20"/>
          <w:szCs w:val="20"/>
        </w:rPr>
        <w:t>towar ma być fabrycznie nowy, nieużywany oraz nieeksponowany na wystawach lub imprezach targowych, sprawny technicznie, bezpieczny, kompletny i gotowy do pracy, wyprodukowany nie wcześniej niż w II półroczu 2017r., a także musi spełniać wymagania techniczno-funkcjonalne wyszczególnione w opisie przedmiotu zamówienia.</w:t>
      </w:r>
    </w:p>
    <w:p w:rsidR="00916B77" w:rsidRDefault="00916B77" w:rsidP="008A57C9">
      <w:pPr>
        <w:jc w:val="both"/>
        <w:rPr>
          <w:rFonts w:ascii="Calibri" w:hAnsi="Calibri" w:cs="Calibri"/>
          <w:b/>
          <w:sz w:val="20"/>
          <w:szCs w:val="20"/>
        </w:rPr>
      </w:pPr>
    </w:p>
    <w:p w:rsidR="008A57C9" w:rsidRDefault="008A57C9" w:rsidP="008A57C9">
      <w:pPr>
        <w:jc w:val="both"/>
      </w:pPr>
      <w:proofErr w:type="spellStart"/>
      <w:r>
        <w:rPr>
          <w:rFonts w:ascii="Calibri" w:hAnsi="Calibri" w:cs="Calibri"/>
          <w:b/>
          <w:sz w:val="20"/>
          <w:szCs w:val="20"/>
        </w:rPr>
        <w:t>Switch</w:t>
      </w:r>
      <w:r w:rsidR="00B11CC8">
        <w:rPr>
          <w:rFonts w:ascii="Calibri" w:hAnsi="Calibri" w:cs="Calibri"/>
          <w:b/>
          <w:sz w:val="20"/>
          <w:szCs w:val="20"/>
        </w:rPr>
        <w:t>e</w:t>
      </w:r>
      <w:proofErr w:type="spellEnd"/>
      <w:r w:rsidR="00B11CC8">
        <w:rPr>
          <w:rFonts w:ascii="Calibri" w:hAnsi="Calibri" w:cs="Calibri"/>
          <w:b/>
          <w:sz w:val="20"/>
          <w:szCs w:val="20"/>
        </w:rPr>
        <w:t xml:space="preserve"> dostępowe</w:t>
      </w:r>
      <w:r>
        <w:rPr>
          <w:rFonts w:ascii="Calibri" w:hAnsi="Calibri" w:cs="Calibri"/>
          <w:b/>
          <w:sz w:val="20"/>
          <w:szCs w:val="20"/>
        </w:rPr>
        <w:t xml:space="preserve"> –</w:t>
      </w:r>
      <w:r w:rsidR="00451BE7">
        <w:rPr>
          <w:rFonts w:ascii="Calibri" w:hAnsi="Calibri" w:cs="Calibri"/>
          <w:b/>
          <w:sz w:val="20"/>
          <w:szCs w:val="20"/>
        </w:rPr>
        <w:t xml:space="preserve"> </w:t>
      </w:r>
      <w:r w:rsidR="009A444F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 xml:space="preserve"> szt. o parametrach nie gorszych niż:</w:t>
      </w:r>
    </w:p>
    <w:p w:rsidR="008A57C9" w:rsidRPr="005452F3" w:rsidRDefault="008A57C9" w:rsidP="008A57C9">
      <w:pPr>
        <w:pStyle w:val="Tytu"/>
        <w:rPr>
          <w:rFonts w:ascii="Calibri" w:hAnsi="Calibri" w:cs="Arial"/>
          <w:b w:val="0"/>
          <w:bCs/>
          <w:sz w:val="18"/>
          <w:szCs w:val="18"/>
          <w:u w:val="none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366"/>
        <w:gridCol w:w="4203"/>
      </w:tblGrid>
      <w:tr w:rsidR="008A57C9" w:rsidRPr="005452F3" w:rsidTr="00824A53">
        <w:trPr>
          <w:trHeight w:val="535"/>
          <w:jc w:val="center"/>
        </w:trPr>
        <w:tc>
          <w:tcPr>
            <w:tcW w:w="5000" w:type="pct"/>
            <w:gridSpan w:val="3"/>
          </w:tcPr>
          <w:p w:rsidR="008A57C9" w:rsidRPr="005452F3" w:rsidRDefault="008A57C9" w:rsidP="00824A53">
            <w:pPr>
              <w:pStyle w:val="Tytu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  <w:p w:rsidR="008A57C9" w:rsidRDefault="008A57C9" w:rsidP="00824A53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8A57C9" w:rsidRPr="0011663D" w:rsidRDefault="008A57C9" w:rsidP="00824A53">
            <w:pPr>
              <w:pStyle w:val="Tytu"/>
              <w:rPr>
                <w:rFonts w:ascii="Calibri" w:hAnsi="Calibri" w:cs="Arial"/>
                <w:b w:val="0"/>
                <w:bCs/>
                <w:i/>
                <w:sz w:val="18"/>
                <w:szCs w:val="18"/>
                <w:u w:val="none"/>
              </w:rPr>
            </w:pPr>
            <w:r w:rsidRPr="0011663D">
              <w:rPr>
                <w:rFonts w:ascii="Calibri" w:hAnsi="Calibri" w:cs="Calibri"/>
                <w:b w:val="0"/>
                <w:i/>
                <w:sz w:val="18"/>
                <w:szCs w:val="18"/>
                <w:u w:val="none"/>
              </w:rPr>
              <w:t>(wypełnia Wykonawca)</w:t>
            </w: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24A53">
            <w:pPr>
              <w:pStyle w:val="Tytu"/>
              <w:ind w:left="0" w:right="-108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   L.p.</w:t>
            </w:r>
          </w:p>
        </w:tc>
        <w:tc>
          <w:tcPr>
            <w:tcW w:w="2382" w:type="pct"/>
            <w:vAlign w:val="center"/>
          </w:tcPr>
          <w:p w:rsidR="008A57C9" w:rsidRPr="0011663D" w:rsidRDefault="008A57C9" w:rsidP="00824A53">
            <w:pPr>
              <w:pStyle w:val="Tytu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  <w:p w:rsidR="008A57C9" w:rsidRPr="0011663D" w:rsidRDefault="008A57C9" w:rsidP="00824A53">
            <w:pPr>
              <w:pStyle w:val="Tytu"/>
              <w:rPr>
                <w:rFonts w:ascii="Calibri" w:hAnsi="Calibri" w:cs="Arial"/>
                <w:bCs/>
                <w:sz w:val="18"/>
                <w:szCs w:val="18"/>
                <w:u w:val="none"/>
              </w:rPr>
            </w:pPr>
            <w:r w:rsidRPr="0011663D">
              <w:rPr>
                <w:rFonts w:ascii="Calibri" w:hAnsi="Calibri" w:cs="Arial"/>
                <w:bCs/>
                <w:sz w:val="18"/>
                <w:szCs w:val="18"/>
                <w:u w:val="none"/>
              </w:rPr>
              <w:t>Opis przedmiotu zamówienia / funkcji / parametrów technicznych</w:t>
            </w:r>
          </w:p>
          <w:p w:rsidR="008A57C9" w:rsidRPr="0011663D" w:rsidRDefault="008A57C9" w:rsidP="00824A53">
            <w:pPr>
              <w:pStyle w:val="Tytu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293" w:type="pct"/>
          </w:tcPr>
          <w:p w:rsidR="008A57C9" w:rsidRPr="0011663D" w:rsidRDefault="008A57C9" w:rsidP="00824A53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</w:p>
          <w:p w:rsidR="008A57C9" w:rsidRPr="0011663D" w:rsidRDefault="008A57C9" w:rsidP="00824A53">
            <w:pPr>
              <w:jc w:val="center"/>
              <w:rPr>
                <w:b/>
                <w:szCs w:val="18"/>
              </w:rPr>
            </w:pPr>
            <w:r w:rsidRPr="0011663D">
              <w:rPr>
                <w:rFonts w:ascii="Calibri" w:hAnsi="Calibri" w:cs="Calibri"/>
                <w:b/>
                <w:bCs/>
                <w:szCs w:val="18"/>
              </w:rPr>
              <w:t>Opis oferowanego towaru</w:t>
            </w:r>
          </w:p>
          <w:p w:rsidR="008A57C9" w:rsidRPr="0011663D" w:rsidRDefault="008A57C9" w:rsidP="00824A53">
            <w:pPr>
              <w:pStyle w:val="Tytu"/>
              <w:ind w:left="0"/>
              <w:rPr>
                <w:rFonts w:ascii="Calibri" w:hAnsi="Calibri" w:cs="Arial"/>
                <w:b w:val="0"/>
                <w:bCs/>
                <w:i/>
                <w:sz w:val="18"/>
                <w:szCs w:val="18"/>
                <w:u w:val="none"/>
              </w:rPr>
            </w:pPr>
            <w:r w:rsidRPr="0011663D">
              <w:rPr>
                <w:rFonts w:ascii="Calibri" w:hAnsi="Calibri" w:cs="Calibri"/>
                <w:b w:val="0"/>
                <w:i/>
                <w:sz w:val="18"/>
                <w:szCs w:val="18"/>
                <w:u w:val="none"/>
              </w:rPr>
              <w:t>(wypełnia Wykonawca)</w:t>
            </w: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posiadać architekturę umożliwiającą przełączanie w warstwie 2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ethernet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 3 ipv4 oraz ipv6.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być wyposażony w poniższe porty</w:t>
            </w:r>
            <w:r w:rsidR="00F758D5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: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2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455801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Co najmniej 2 porty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uplink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10 Gigabit Ethernet  SFP+, obsługujące co najmniej moduły SFP TX, SX, LX/LH, LH/ZX,  zgodne ze standard</w:t>
            </w:r>
            <w:r w:rsidR="0017390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em IEEE 802.3z, oraz S</w:t>
            </w:r>
            <w:bookmarkStart w:id="0" w:name="_GoBack"/>
            <w:bookmarkEnd w:id="0"/>
            <w:r w:rsidR="0017390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FP+ LR,SR; przełącznik musi obsługiwać </w:t>
            </w:r>
            <w:r w:rsidR="00587692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funkcjonalność</w:t>
            </w:r>
            <w:r w:rsidR="0017390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DOM (Digital Optical Monitoring) wyśw</w:t>
            </w:r>
            <w:r w:rsidR="00587692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ie</w:t>
            </w:r>
            <w:r w:rsidR="0017390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tlając co najmniej moc odbieranego sygnału i temperaturę modułu. </w:t>
            </w:r>
            <w:r w:rsidRPr="00173903">
              <w:rPr>
                <w:rFonts w:ascii="Calibri" w:hAnsi="Calibri" w:cs="Arial"/>
                <w:bCs/>
                <w:sz w:val="18"/>
                <w:szCs w:val="18"/>
                <w:u w:val="none"/>
              </w:rPr>
              <w:t xml:space="preserve">Każdy przełącznik musi być wyposażony w </w:t>
            </w:r>
            <w:r w:rsidR="00455801">
              <w:rPr>
                <w:rFonts w:ascii="Calibri" w:hAnsi="Calibri" w:cs="Arial"/>
                <w:bCs/>
                <w:sz w:val="18"/>
                <w:szCs w:val="18"/>
                <w:u w:val="none"/>
              </w:rPr>
              <w:t>1 moduł</w:t>
            </w:r>
            <w:r w:rsidRPr="00173903">
              <w:rPr>
                <w:rFonts w:ascii="Calibri" w:hAnsi="Calibri" w:cs="Arial"/>
                <w:bCs/>
                <w:sz w:val="18"/>
                <w:szCs w:val="18"/>
                <w:u w:val="none"/>
              </w:rPr>
              <w:t xml:space="preserve"> SFP 1000BASE-</w:t>
            </w:r>
            <w:r w:rsidR="00455801">
              <w:rPr>
                <w:rFonts w:ascii="Calibri" w:hAnsi="Calibri" w:cs="Arial"/>
                <w:bCs/>
                <w:sz w:val="18"/>
                <w:szCs w:val="18"/>
                <w:u w:val="none"/>
              </w:rPr>
              <w:t xml:space="preserve">SX i 1 moduł SFP </w:t>
            </w:r>
            <w:r w:rsidR="00455801" w:rsidRPr="00173903">
              <w:rPr>
                <w:rFonts w:ascii="Calibri" w:hAnsi="Calibri" w:cs="Arial"/>
                <w:bCs/>
                <w:sz w:val="18"/>
                <w:szCs w:val="18"/>
                <w:u w:val="none"/>
              </w:rPr>
              <w:t>1000BASE-</w:t>
            </w:r>
            <w:r w:rsidR="00F803F3">
              <w:rPr>
                <w:rFonts w:ascii="Calibri" w:hAnsi="Calibri" w:cs="Arial"/>
                <w:bCs/>
                <w:sz w:val="18"/>
                <w:szCs w:val="18"/>
                <w:u w:val="none"/>
              </w:rPr>
              <w:t>L</w:t>
            </w:r>
            <w:r w:rsidR="00455801">
              <w:rPr>
                <w:rFonts w:ascii="Calibri" w:hAnsi="Calibri" w:cs="Arial"/>
                <w:bCs/>
                <w:sz w:val="18"/>
                <w:szCs w:val="18"/>
                <w:u w:val="none"/>
              </w:rPr>
              <w:t>X</w:t>
            </w:r>
            <w:r w:rsidR="00455801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(w</w:t>
            </w:r>
            <w:r w:rsidR="000C2908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r w:rsidR="00455801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pełni kompatybilne z oferowanym przełącznikiem)</w:t>
            </w:r>
            <w:r w:rsidRPr="00173903">
              <w:rPr>
                <w:rFonts w:ascii="Calibri" w:hAnsi="Calibri" w:cs="Arial"/>
                <w:bCs/>
                <w:sz w:val="18"/>
                <w:szCs w:val="18"/>
                <w:u w:val="none"/>
              </w:rPr>
              <w:t>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2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  <w:tcMar>
              <w:right w:w="0" w:type="dxa"/>
            </w:tcMar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Dodatkowo przełącznik musi mieć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możliwość doposażenia w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 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2 porty stackujące, każdy o przepustowości co najmniej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 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10Gb/s, poprzez dokupienie odpowiedniego modułu lub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 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licencji. Musi istnieć możliwość połączenia w stos do 4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 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urządzeń, tak aby były widoczne w sieci i administrowaniu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 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jako jedno urządzenie bez straty funkcjonalności.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2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  <w:tcMar>
              <w:right w:w="0" w:type="dxa"/>
            </w:tcMar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Wszystkie porty muszą pracować z pełną prędkością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 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interfejsów (wire-speed) dla pakietów dowolnej wielkości,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 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czyli przełącznik musi mieć wydajność co najmniej 130 Mpps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 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(razem z portami stackującymi).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być dedykowanym urządzeniem sieciowym o wysokości 1U, przystosowanym do montażu w szafie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rack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19’’ oraz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musi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posiada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oprzyrządowanie niezbędne do zamocowania w takiej szafie.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być wyposażony w minimum jeden zasilacz AC, przystosowany do zasilania z sieci 230V/50Hz. 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obsługiwać co najmniej 16000  adresów MAC, w tym co najmniej 1000 adresów MAC możliwych do opisania statycznie w konfiguracji.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obsługiwać sieci VLAN zgodnie z IEEE 802.1Q w ilości nie mniejszej niż 1000 z zakresu 1-4090 VLAN ID.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Urządzenie musi obsługiwać agregowanie połączeń zgodnie z IEEE 802.3AD, nie mniej niż 6 grup LACP do 8 portów każda. Przy wysyłaniu pakietu IP przez interfejs LACP do wyznaczenia fizycznego portu na który pakiet 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lastRenderedPageBreak/>
              <w:t>będzie wysłany jest  brany pod uwagę co najmniej adres IP źródłowy i docelowy tego pakietu, w przypadku protokołów TCP i UDP również numery portów oraz dla protokołów ipv4/ipv6 co najmniej adres źródłowy i docelowy, dla innych protokołów źródłowe i docelowe adresy MAC.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Urządzenie musi obsługiwać filtrowanie ruchu wejściowego, co najmniej na poziomie portu i sieci VLAN dla kryteriów z warstw 2-4 IPv4, w szczególności wg numerów portów TCP/UDP oraz typie i kodzie ICMP. Urządzenie musi realizować sprzętowo nie mniej niż 500 reguł fi</w:t>
            </w:r>
            <w:r w:rsidR="00C71EB9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ltrowania ruchu dla ipv4 i</w:t>
            </w:r>
            <w:r w:rsidR="00984D17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ipv6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. Musi być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 dostępna funkcja edycji reguł filtrowania ruchu na samym urządzeniu.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obsługiwać ramki jumbo (9216 bajtów) na wszystkich interfejsach.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być przystosowany do pracy ciągłej przy temperaturze otoczenia z zakresu 0 – 45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vertAlign w:val="superscript"/>
              </w:rPr>
              <w:t>o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C oraz wyposażony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w co najmniej 1 czujnik temperatury.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być wyposażony w port konsoli oraz dedykowany interfejs Ethernet do zarządzania OOB (out-of-band).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umożliwiać wgranie systemu operacyjnego z zewnętrznego nośnika danych poprzez łącze szeregowe RS-232, USB lub dedykowany port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ethernetowy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. Musi istnieć możliwość ustawienia restartu urządzenia w zadanym terminie.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Zarządzanie urządzeniem musi być możliwe za pośrednictwem interfejsu linii komend (CLI) przez port konsoli oraz zdalnie przez telnet lub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ssh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przy użyciu zarówno protokołu IPv4 jak i IPv6. Przełącznik musi zostać dostarczony z kablem pozwalającym na połączenie portu konsoli z portem RS-232 komputera.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Urządzenie musi umożliwiać zapisanie aktualnej konfiguracji w postaci tekstowej (może być skompresowana jeśli istnieje niezależny, bezpłatny program do jej rozpakowania) w wewnętrznej pamięci nieulotnej oraz na urządzeniach zewnętrznych przy pomocy protokołu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tftp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, ftp lub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scp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.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Musi istnieć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możliwość modyfikowania konfiguracji poza urządzeniem i ponownego jej wczytania do urządzenia.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generować logi dotyczące zdarzeń na nim zachodzących. Użytkownik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musi mieć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dostęp do dokumentacji producenta urządzenia z wyjaśnieniami znaczenia poszczególnych wpisów w logach. Logi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muszą być 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dostępne lokalnie na urządzeniu oraz przesyłane do innych urządzeń z użyciem protokołu syslog (przy użyciu protokołu ipv4 lub ipv6, zależnie od konfiguracji dokonanej przez użytkownika). Istnieje możliwość uszczegóławiania logów (tryb debug) dotyczących konkretnych usług (np. STP, 802.1x itp.)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umożliwiać ustawienie limitów pakietów akceptowanych na wskazanych portach w jednostce czasu (tzw.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rate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-limit). Przełącznik musi odrzucać pakiety przekraczające limit. Istnieje możliwość ustawiania limitów pakietów indywidualnie dla każdego interfejsu.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umożliwiać ustawienie limitów pakietów typu broadcast oraz unknown unicast w jednostce czasu indywidualnie na każdym interfejsie. Przełącznik odrzuca pakiety przekraczające zadany limit.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Urządzenie musi umożliwiać dynamiczne przyporządkowywanie komputerów do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VLANu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na 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lastRenderedPageBreak/>
              <w:t xml:space="preserve">podstawie adresu MAC (tzw.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dynamic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vlans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lub MAC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based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vlans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).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704F0E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704F0E" w:rsidRPr="005452F3" w:rsidRDefault="00704F0E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704F0E" w:rsidRPr="005452F3" w:rsidRDefault="00704F0E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Urządzenie obsługuje </w:t>
            </w:r>
            <w:proofErr w:type="spellStart"/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Private</w:t>
            </w:r>
            <w:proofErr w:type="spellEnd"/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VLANs</w:t>
            </w:r>
            <w:proofErr w:type="spellEnd"/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(</w:t>
            </w:r>
            <w:proofErr w:type="spellStart"/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across</w:t>
            </w:r>
            <w:proofErr w:type="spellEnd"/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switches</w:t>
            </w:r>
            <w:proofErr w:type="spellEnd"/>
            <w:r w:rsidRPr="00704F0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).</w:t>
            </w:r>
          </w:p>
        </w:tc>
        <w:tc>
          <w:tcPr>
            <w:tcW w:w="2293" w:type="pct"/>
          </w:tcPr>
          <w:p w:rsidR="00704F0E" w:rsidRPr="005452F3" w:rsidRDefault="00704F0E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Urządzenie musi obsługiwać protokół SNMP (wersje 2c i 3), oraz grupy RMON 1, 2, 3, 9. 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Urządzenie musi udostępniać za pomocą protokołu SNMP i interfejsu CLI co najmniej 64 bitowe liczniki ramek i bajtów wysłanych i odebranych na poszczególnych portach.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Musi istnieć 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możliwość obsługi liczników odebranych ramek zawierających błędy na poszczególnych interfejsach oraz liczniki ramek których nie udało się wysłać lub wystąpiły błędy podczas ich wysyłania. 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Dostępna musi być funkcja kopiowania (mirroring) ruchu dla pakietów spełniających warunki określone w odpowiednim filtrze.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Urządzenie musi posiadać możliwość diagnostyki kabla, TDR (Time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Domain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Reflectometer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) na wszystkich portach 10/100/1000BASE-T. Urządzenie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musi 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pozwala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na konfigurowanie maksymalnej, rozgłaszanej w czasie autonegocjacji, prędkości portu w standardzie 10/100/1000BASE-T.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umożliwiać zdefiniowanie czasu po jakim będzie próbował aktywować porty wyłączone automatycznie ze względu na nieprawidłowości występujące w przyłączonych do nich częściach sieci (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errdisable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recovery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).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posiadać funkcjonalność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netflow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(lite) lub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sflow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(RFC3176) umożliwiającą monitorowanie ruchu w warstwach 3 do 4 modelu OSI dla pakietów IPv4.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obsługiwać protokół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Spanning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Tree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Rapid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Spannig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Tree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, a także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Multiple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Spanning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Tree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(nie mniej niż 16 instancji MSTP) oraz VLAN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Spanning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Tree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Protocol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(lub równoważny) dla co najmniej 128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vlan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-ów.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posiadać możliwość wyłączenia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Spanning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Tree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oraz filtrowania (ignorowania) ramek BPDU na wskazanych portach.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udostępniać informacje dla każdej instancji SPT, kiedy przyszedł ostatni pakiet TCN (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Topology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Change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Notification) oraz liczniki pakietów TCN dla każdej instancji SPT lub informację z którego interfejsu przyszedł ostatni pakiet TCN.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posiadać opcję definiowania zapasowego portu dla portu podstawowego, tzn. tylko jeden z dwóch interfejsów jest aktywny w danej chwili (funkcjonalność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cisco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Flex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Link lub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juniper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Redundant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Trunk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Group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)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obsług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i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wać protokół LLDP i LLDP-MED, w tym przydział numeru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VLANu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 klasy QOS dla telefonów VoIP.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753A66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Urządzenie musi posiadać mechanizmy priorytetyzowania i zarządzania ruchem sieciowym (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QoS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) w warstwie 2 i 3 dla ruchu wchodzącego i wychodzącego. Klasyfikacja ruchu może odbywać się w zależności od co najmniej: interfejsu, typu ramki Ethernet, sieci VLAN, priorytetu w warstwie 2 (802.1P), adresów MAC, adresów IP, wartości pola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ToS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/DSCP w nagłówkach IP, portów TCP i UDP. Urządzenie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musi obsługiwać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sprzętowo nie mniej niż 8 kolejek na port fizyczny, w tym możliwość zdefiniowania co najmniej jednej kolejki jako kolejki </w:t>
            </w:r>
            <w:r w:rsidR="00753A66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priorytetowej (</w:t>
            </w:r>
            <w:proofErr w:type="spellStart"/>
            <w:r w:rsidR="00753A66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strict</w:t>
            </w:r>
            <w:proofErr w:type="spellEnd"/>
            <w:r w:rsidR="00753A66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="00753A66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priority</w:t>
            </w:r>
            <w:proofErr w:type="spellEnd"/>
            <w:r w:rsidR="00753A66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).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obsługiwać IEEE 802.1x zarówno dla 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lastRenderedPageBreak/>
              <w:t xml:space="preserve">pojedynczego, jak i wielu suplikantów na porcie, autoryzowanych każdy indywidualnie. Przełącznik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musi przypisywać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ustawienia dla użytkownika na podstawie atrybutów (co najmniej VLAN oraz reguła filtrowania ruchu) zwracanych przez serwer RADIUS, dostępny zarówno przez ipv4 jak i ipv6.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Musi istnieć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możliwość pominięcia uwierzytelnienia 802.1x dla zdefiniowanych adresów MAC. Przełącznik musi wspierać co najmniej następujące typy EAP: MD5, TLS, TTLS, PEAP.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Przełącznik musi umożliwiać określanie maksymalnej liczby adresów MAC dopuszczalnych na wskazanym porcie. Po przekroczeniu limitu dopuszczalnych adresów MAC pakiety z adresami źródłowymi MAC nie znajdującymi się w zbudowanej tablicy MAC będą ignorowane.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753A66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0108FF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obsługiwać sprzętowo takie mechanizmy bezpieczeństwa jak limitowanie adresów MAC,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Dynamic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ARP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Inspection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, IP Source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Guard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, DHCP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Snooping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(wraz z obsługą opcji 82), dla protokołu ipv4 i ich odpowiedniki w protokole ipv6, tzn. </w:t>
            </w:r>
            <w:proofErr w:type="spellStart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>Negihbor</w:t>
            </w:r>
            <w:proofErr w:type="spellEnd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 xml:space="preserve"> D</w:t>
            </w:r>
            <w:r w:rsidR="00046DB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 xml:space="preserve">iscover Inspection </w:t>
            </w:r>
            <w:proofErr w:type="spellStart"/>
            <w:r w:rsidR="00046DB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>oraz</w:t>
            </w:r>
            <w:proofErr w:type="spellEnd"/>
            <w:r w:rsidR="00046DB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046DBE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>filtrowanie</w:t>
            </w:r>
            <w:proofErr w:type="spellEnd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 xml:space="preserve"> Router Advertisements </w:t>
            </w:r>
            <w:proofErr w:type="spellStart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>na</w:t>
            </w:r>
            <w:proofErr w:type="spellEnd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>niezaufanych</w:t>
            </w:r>
            <w:proofErr w:type="spellEnd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>portach</w:t>
            </w:r>
            <w:proofErr w:type="spellEnd"/>
            <w:r w:rsidRPr="000108FF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  <w:t>.</w:t>
            </w:r>
          </w:p>
        </w:tc>
        <w:tc>
          <w:tcPr>
            <w:tcW w:w="2293" w:type="pct"/>
          </w:tcPr>
          <w:p w:rsidR="008A57C9" w:rsidRPr="008A57C9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0108FF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posiadać funkcjonalność IGMP (v2, v3) oraz MLD (v1 i v2)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snooping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 wysyła ramki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multicastowe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tylko do nasłuchujących klientów. Funkcjonalność ta nie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może zakłócać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poprawnej pracy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multicastów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IPv6, w tym standardu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Neighbor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Discovery.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Przełącznik musi obsługiwać jednocześnie co najmniej </w:t>
            </w:r>
            <w:r w:rsidRPr="00A77441">
              <w:rPr>
                <w:rFonts w:ascii="Calibri" w:hAnsi="Calibri" w:cs="Arial"/>
                <w:bCs/>
                <w:sz w:val="18"/>
                <w:szCs w:val="18"/>
                <w:u w:val="none"/>
              </w:rPr>
              <w:t>500 tras routingu unicast ipv4 i 250 tras unicast ipv6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; co najmniej 750 pozycji ARP i 750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Neighbor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Discovery; 1000 tras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multicast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ipv4/IGMP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groups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i ipv6 łącznie. Przełącznik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musi 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potrafi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ć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pracować w trybie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proxy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ARP oraz DHCP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relay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na zadanych interfejsach ipv4 oraz ipv6.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Urządzenia muszą być nieużywane, fabrycznie nowe i nie przewidziane do wycofania z produkcji w momencie składania oferty, pochodzić z legalnych kanałów dystrybucji producenta sprzętu.</w:t>
            </w:r>
          </w:p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Musi istnieć możliwość zamówienia dodatkowych szkoleń z produktu, autoryzow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anych przez p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roducenta urządzeń w języku polskim. </w:t>
            </w:r>
          </w:p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Nowe wersje </w:t>
            </w:r>
            <w:proofErr w:type="spellStart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firmware</w:t>
            </w:r>
            <w:proofErr w:type="spellEnd"/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muszą być ogólnodostępne lub Zamawiający musi mieć zapewniony dostęp do nowych wersji oprogramowania oferowanych przez producenta urządzenia przez co najmniej 5 lat od podpisania protokołu odbioru.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Urządzenia muszą być objęte minimum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60</w:t>
            </w: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 xml:space="preserve"> 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miesięczną gwarancją.</w:t>
            </w:r>
          </w:p>
        </w:tc>
        <w:tc>
          <w:tcPr>
            <w:tcW w:w="2293" w:type="pct"/>
          </w:tcPr>
          <w:p w:rsidR="008A57C9" w:rsidRPr="0016437A" w:rsidRDefault="008A57C9" w:rsidP="00824A53">
            <w:pPr>
              <w:pStyle w:val="Tytu"/>
              <w:ind w:left="3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Dopuszcza się aby wymagane standardy były obsługiwane w wersjach nowszych niż wymienione powyżej.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  <w:tr w:rsidR="008A57C9" w:rsidRPr="005452F3" w:rsidTr="00824A53">
        <w:trPr>
          <w:trHeight w:val="76"/>
          <w:jc w:val="center"/>
        </w:trPr>
        <w:tc>
          <w:tcPr>
            <w:tcW w:w="325" w:type="pct"/>
            <w:vAlign w:val="center"/>
          </w:tcPr>
          <w:p w:rsidR="008A57C9" w:rsidRPr="005452F3" w:rsidRDefault="008A57C9" w:rsidP="008A57C9">
            <w:pPr>
              <w:pStyle w:val="Tytu"/>
              <w:numPr>
                <w:ilvl w:val="0"/>
                <w:numId w:val="1"/>
              </w:numPr>
              <w:ind w:left="203" w:right="-108" w:firstLine="0"/>
              <w:jc w:val="left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382" w:type="pct"/>
          </w:tcPr>
          <w:p w:rsidR="008A57C9" w:rsidRPr="005452F3" w:rsidRDefault="008A57C9" w:rsidP="00824A53">
            <w:pPr>
              <w:pStyle w:val="Tytu"/>
              <w:ind w:left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  <w:r w:rsidRPr="005452F3"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  <w:t>Spełnienie wymagań musi wynikać z oficjalnej dokumentacji producenta oferowanej wraz z urządzeniem lub z bezpośrednio z treści oficjalnej strony www. Na żądanie Zamawiającego Wykonawca jest zobowiązany wskazać miejsce w dokumentacji opisujące wskazaną funkcjonalność.</w:t>
            </w:r>
          </w:p>
        </w:tc>
        <w:tc>
          <w:tcPr>
            <w:tcW w:w="2293" w:type="pct"/>
          </w:tcPr>
          <w:p w:rsidR="008A57C9" w:rsidRPr="005452F3" w:rsidRDefault="008A57C9" w:rsidP="00824A53">
            <w:pPr>
              <w:pStyle w:val="Tytu"/>
              <w:ind w:left="0"/>
              <w:jc w:val="both"/>
              <w:rPr>
                <w:rFonts w:ascii="Calibri" w:hAnsi="Calibri" w:cs="Arial"/>
                <w:b w:val="0"/>
                <w:bCs/>
                <w:sz w:val="18"/>
                <w:szCs w:val="18"/>
                <w:u w:val="none"/>
              </w:rPr>
            </w:pPr>
          </w:p>
        </w:tc>
      </w:tr>
    </w:tbl>
    <w:p w:rsidR="008A57C9" w:rsidRPr="005452F3" w:rsidRDefault="008A57C9" w:rsidP="008A57C9">
      <w:pPr>
        <w:pStyle w:val="Tytu"/>
        <w:ind w:left="0"/>
        <w:jc w:val="left"/>
        <w:rPr>
          <w:rFonts w:ascii="Calibri" w:hAnsi="Calibri" w:cs="Arial"/>
          <w:b w:val="0"/>
          <w:bCs/>
          <w:sz w:val="18"/>
          <w:szCs w:val="18"/>
          <w:u w:val="none"/>
        </w:rPr>
      </w:pPr>
    </w:p>
    <w:p w:rsidR="008A57C9" w:rsidRDefault="008A57C9" w:rsidP="008A57C9">
      <w:pPr>
        <w:jc w:val="both"/>
        <w:rPr>
          <w:rFonts w:ascii="Calibri" w:hAnsi="Calibri" w:cs="Calibri"/>
        </w:rPr>
      </w:pPr>
    </w:p>
    <w:p w:rsidR="008A57C9" w:rsidRDefault="008A57C9" w:rsidP="008A57C9">
      <w:pPr>
        <w:jc w:val="both"/>
        <w:rPr>
          <w:rFonts w:ascii="Calibri" w:hAnsi="Calibri" w:cs="Calibri"/>
        </w:rPr>
      </w:pPr>
    </w:p>
    <w:p w:rsidR="008A57C9" w:rsidRDefault="008A57C9" w:rsidP="008A57C9">
      <w:pPr>
        <w:jc w:val="both"/>
        <w:rPr>
          <w:rFonts w:ascii="Calibri" w:hAnsi="Calibri" w:cs="Calibri"/>
        </w:rPr>
      </w:pPr>
    </w:p>
    <w:p w:rsidR="008A57C9" w:rsidRPr="00065F35" w:rsidRDefault="008A57C9" w:rsidP="008A57C9">
      <w:pPr>
        <w:jc w:val="both"/>
        <w:rPr>
          <w:sz w:val="16"/>
          <w:szCs w:val="16"/>
        </w:rPr>
      </w:pPr>
      <w:r w:rsidRPr="00065F35">
        <w:rPr>
          <w:rFonts w:ascii="Calibri" w:hAnsi="Calibri" w:cs="Calibri"/>
          <w:sz w:val="16"/>
          <w:szCs w:val="16"/>
        </w:rPr>
        <w:t>...................................................</w:t>
      </w:r>
      <w:r w:rsidRPr="00065F35">
        <w:rPr>
          <w:rFonts w:ascii="Calibri" w:hAnsi="Calibri" w:cs="Calibri"/>
          <w:sz w:val="16"/>
          <w:szCs w:val="16"/>
        </w:rPr>
        <w:tab/>
      </w:r>
      <w:r w:rsidRPr="00065F35"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…………………………………………………………..</w:t>
      </w:r>
    </w:p>
    <w:p w:rsidR="008A57C9" w:rsidRPr="00065F35" w:rsidRDefault="008A57C9" w:rsidP="008A57C9">
      <w:pPr>
        <w:ind w:left="6372" w:hanging="6372"/>
        <w:rPr>
          <w:i/>
          <w:sz w:val="16"/>
          <w:szCs w:val="16"/>
        </w:rPr>
      </w:pPr>
      <w:r w:rsidRPr="00065F35">
        <w:rPr>
          <w:rFonts w:ascii="Calibri" w:eastAsia="Calibri" w:hAnsi="Calibri" w:cs="Calibri"/>
          <w:i/>
          <w:sz w:val="16"/>
          <w:szCs w:val="16"/>
        </w:rPr>
        <w:t xml:space="preserve">         </w:t>
      </w:r>
      <w:r w:rsidRPr="00065F35">
        <w:rPr>
          <w:rFonts w:ascii="Calibri" w:hAnsi="Calibri" w:cs="Calibri"/>
          <w:i/>
          <w:sz w:val="16"/>
          <w:szCs w:val="16"/>
        </w:rPr>
        <w:t xml:space="preserve">(miejscowość i data)                                                                                                  (podpis, pieczątka imienna osoby upoważnionej </w:t>
      </w:r>
    </w:p>
    <w:p w:rsidR="008A57C9" w:rsidRPr="00065F35" w:rsidRDefault="008A57C9" w:rsidP="008A57C9">
      <w:pPr>
        <w:jc w:val="both"/>
        <w:rPr>
          <w:i/>
          <w:sz w:val="16"/>
          <w:szCs w:val="16"/>
        </w:rPr>
      </w:pPr>
      <w:r w:rsidRPr="00065F35"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65F35">
        <w:rPr>
          <w:rFonts w:ascii="Calibri" w:hAnsi="Calibri" w:cs="Calibri"/>
          <w:i/>
          <w:sz w:val="16"/>
          <w:szCs w:val="16"/>
        </w:rPr>
        <w:t>do składania oświadczeń woli w imieniu Wykonawcy)</w:t>
      </w:r>
    </w:p>
    <w:sectPr w:rsidR="008A57C9" w:rsidRPr="0006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D5E"/>
    <w:multiLevelType w:val="hybridMultilevel"/>
    <w:tmpl w:val="8E723D9C"/>
    <w:lvl w:ilvl="0" w:tplc="0E7C2842">
      <w:start w:val="1"/>
      <w:numFmt w:val="ordin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F4519"/>
    <w:multiLevelType w:val="hybridMultilevel"/>
    <w:tmpl w:val="262AA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9"/>
    <w:rsid w:val="00046DBE"/>
    <w:rsid w:val="00065F35"/>
    <w:rsid w:val="000C2908"/>
    <w:rsid w:val="0011663D"/>
    <w:rsid w:val="00173903"/>
    <w:rsid w:val="00190BA9"/>
    <w:rsid w:val="00336186"/>
    <w:rsid w:val="00451BE7"/>
    <w:rsid w:val="00455801"/>
    <w:rsid w:val="00497EB0"/>
    <w:rsid w:val="00587692"/>
    <w:rsid w:val="00601512"/>
    <w:rsid w:val="00704F0E"/>
    <w:rsid w:val="00753A66"/>
    <w:rsid w:val="008A57C9"/>
    <w:rsid w:val="008E3CA6"/>
    <w:rsid w:val="008F0825"/>
    <w:rsid w:val="00916B77"/>
    <w:rsid w:val="00946BB6"/>
    <w:rsid w:val="00984D17"/>
    <w:rsid w:val="009A444F"/>
    <w:rsid w:val="00A77441"/>
    <w:rsid w:val="00B11CC8"/>
    <w:rsid w:val="00B407D0"/>
    <w:rsid w:val="00C71EB9"/>
    <w:rsid w:val="00F758D5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C9"/>
    <w:pPr>
      <w:suppressAutoHyphens/>
      <w:spacing w:after="0" w:line="240" w:lineRule="auto"/>
    </w:pPr>
    <w:rPr>
      <w:rFonts w:ascii="Times New Roman" w:eastAsia="Times New Roman" w:hAnsi="Times New Roman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57C9"/>
    <w:pPr>
      <w:suppressAutoHyphens w:val="0"/>
      <w:ind w:left="360"/>
      <w:jc w:val="center"/>
    </w:pPr>
    <w:rPr>
      <w:rFonts w:cs="Times New Roman"/>
      <w:b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A57C9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C9"/>
    <w:pPr>
      <w:suppressAutoHyphens/>
      <w:spacing w:after="0" w:line="240" w:lineRule="auto"/>
    </w:pPr>
    <w:rPr>
      <w:rFonts w:ascii="Times New Roman" w:eastAsia="Times New Roman" w:hAnsi="Times New Roman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57C9"/>
    <w:pPr>
      <w:suppressAutoHyphens w:val="0"/>
      <w:ind w:left="360"/>
      <w:jc w:val="center"/>
    </w:pPr>
    <w:rPr>
      <w:rFonts w:cs="Times New Roman"/>
      <w:b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A57C9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Popławski Robert</cp:lastModifiedBy>
  <cp:revision>16</cp:revision>
  <dcterms:created xsi:type="dcterms:W3CDTF">2018-09-18T11:11:00Z</dcterms:created>
  <dcterms:modified xsi:type="dcterms:W3CDTF">2018-11-22T15:45:00Z</dcterms:modified>
</cp:coreProperties>
</file>