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795" w:rsidRDefault="00222795" w:rsidP="00222795">
      <w:pPr>
        <w:pStyle w:val="Tytu"/>
      </w:pPr>
      <w:bookmarkStart w:id="0" w:name="_GoBack"/>
      <w:bookmarkEnd w:id="0"/>
    </w:p>
    <w:p w:rsidR="00222795" w:rsidRDefault="00222795" w:rsidP="00222795">
      <w:pPr>
        <w:pStyle w:val="Tytu"/>
      </w:pPr>
    </w:p>
    <w:p w:rsidR="00D87926" w:rsidRDefault="00222795" w:rsidP="00222795">
      <w:pPr>
        <w:pStyle w:val="Tytu"/>
        <w:spacing w:line="360" w:lineRule="auto"/>
      </w:pPr>
      <w:r>
        <w:t>Ekspertyza techniczna z zakresu                               ochrony przeciwpożarowej</w:t>
      </w:r>
    </w:p>
    <w:p w:rsidR="00103344" w:rsidRPr="00103344" w:rsidRDefault="00103344" w:rsidP="00103344"/>
    <w:p w:rsidR="00222795" w:rsidRPr="00713E85" w:rsidRDefault="00222795" w:rsidP="00222795">
      <w:pPr>
        <w:pStyle w:val="Tytu"/>
        <w:spacing w:line="360" w:lineRule="auto"/>
        <w:rPr>
          <w:rFonts w:eastAsia="Times New Roman" w:cs="Times New Roman"/>
          <w:b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>w</w:t>
      </w:r>
      <w:r w:rsidRPr="00300E21">
        <w:rPr>
          <w:rFonts w:eastAsia="Times New Roman" w:cs="Times New Roman"/>
          <w:b w:val="0"/>
          <w:color w:val="000000"/>
          <w:sz w:val="28"/>
          <w:szCs w:val="28"/>
        </w:rPr>
        <w:t xml:space="preserve"> </w:t>
      </w:r>
      <w:r w:rsidRPr="00713E85">
        <w:rPr>
          <w:rFonts w:eastAsia="Times New Roman" w:cs="Times New Roman"/>
          <w:b w:val="0"/>
          <w:color w:val="000000"/>
          <w:sz w:val="28"/>
          <w:szCs w:val="28"/>
        </w:rPr>
        <w:t>trybie par.2 ust.2 rozporządzenia Ministra Infrastruktury</w:t>
      </w:r>
    </w:p>
    <w:p w:rsidR="00222795" w:rsidRDefault="00222795" w:rsidP="00222795">
      <w:pPr>
        <w:pStyle w:val="Tytu"/>
        <w:spacing w:line="360" w:lineRule="auto"/>
        <w:rPr>
          <w:rFonts w:eastAsia="Times New Roman" w:cs="Times New Roman"/>
          <w:b w:val="0"/>
          <w:color w:val="000000"/>
          <w:sz w:val="28"/>
          <w:szCs w:val="28"/>
        </w:rPr>
      </w:pPr>
      <w:r w:rsidRPr="00713E85">
        <w:rPr>
          <w:rFonts w:eastAsia="Times New Roman" w:cs="Times New Roman"/>
          <w:b w:val="0"/>
          <w:color w:val="000000"/>
          <w:sz w:val="28"/>
          <w:szCs w:val="28"/>
        </w:rPr>
        <w:t>z 12 kwietnia  2002 r. (Dz.U. Nr 75, poz. 690 z póź</w:t>
      </w:r>
      <w:r w:rsidR="00716091">
        <w:rPr>
          <w:rFonts w:eastAsia="Times New Roman" w:cs="Times New Roman"/>
          <w:b w:val="0"/>
          <w:color w:val="000000"/>
          <w:sz w:val="28"/>
          <w:szCs w:val="28"/>
        </w:rPr>
        <w:t>n</w:t>
      </w:r>
      <w:r w:rsidRPr="00713E85">
        <w:rPr>
          <w:rFonts w:eastAsia="Times New Roman" w:cs="Times New Roman"/>
          <w:b w:val="0"/>
          <w:color w:val="000000"/>
          <w:sz w:val="28"/>
          <w:szCs w:val="28"/>
        </w:rPr>
        <w:t>. zm.)</w:t>
      </w:r>
    </w:p>
    <w:p w:rsidR="00716091" w:rsidRPr="00716091" w:rsidRDefault="00716091" w:rsidP="00716091">
      <w:pPr>
        <w:jc w:val="center"/>
        <w:rPr>
          <w:sz w:val="28"/>
          <w:szCs w:val="28"/>
        </w:rPr>
      </w:pPr>
      <w:r w:rsidRPr="00716091">
        <w:rPr>
          <w:sz w:val="28"/>
          <w:szCs w:val="28"/>
        </w:rPr>
        <w:t>oraz</w:t>
      </w:r>
    </w:p>
    <w:p w:rsidR="00103344" w:rsidRDefault="00103344" w:rsidP="00716091">
      <w:pPr>
        <w:jc w:val="center"/>
        <w:rPr>
          <w:sz w:val="28"/>
          <w:szCs w:val="28"/>
        </w:rPr>
      </w:pPr>
      <w:r>
        <w:rPr>
          <w:sz w:val="28"/>
          <w:szCs w:val="28"/>
        </w:rPr>
        <w:t>w trybie par.</w:t>
      </w:r>
      <w:r w:rsidR="00716091" w:rsidRPr="00716091">
        <w:rPr>
          <w:sz w:val="28"/>
          <w:szCs w:val="28"/>
        </w:rPr>
        <w:t xml:space="preserve"> 1 ust. 2 rozporządzenia Ministra Spraw </w:t>
      </w:r>
    </w:p>
    <w:p w:rsidR="00716091" w:rsidRPr="00716091" w:rsidRDefault="00103344" w:rsidP="007160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Wewnętrznych </w:t>
      </w:r>
      <w:r w:rsidR="00716091" w:rsidRPr="00716091">
        <w:rPr>
          <w:sz w:val="28"/>
          <w:szCs w:val="28"/>
        </w:rPr>
        <w:t>i Administracji</w:t>
      </w:r>
    </w:p>
    <w:p w:rsidR="00716091" w:rsidRPr="00716091" w:rsidRDefault="00716091" w:rsidP="00716091">
      <w:pPr>
        <w:jc w:val="center"/>
        <w:rPr>
          <w:sz w:val="28"/>
          <w:szCs w:val="28"/>
        </w:rPr>
      </w:pPr>
      <w:r w:rsidRPr="00716091">
        <w:rPr>
          <w:sz w:val="28"/>
          <w:szCs w:val="28"/>
        </w:rPr>
        <w:t>z 7 czerwca 2010 r. (Dz.U. Nr 109, poz. 719)</w:t>
      </w:r>
    </w:p>
    <w:p w:rsidR="00ED59CF" w:rsidRPr="00ED59CF" w:rsidRDefault="00ED59CF" w:rsidP="00ED59CF"/>
    <w:p w:rsidR="00222795" w:rsidRDefault="00222795" w:rsidP="00222795">
      <w:pPr>
        <w:pStyle w:val="Tytu"/>
        <w:spacing w:line="360" w:lineRule="auto"/>
      </w:pPr>
      <w:r>
        <w:t>dla budynku                                                               Wydziału Biologii i Nauk o Ziemi UMCS                       przy ul. Akademickiej 19 w Lublinie</w:t>
      </w:r>
    </w:p>
    <w:p w:rsidR="00222795" w:rsidRDefault="00222795" w:rsidP="00222795">
      <w:pPr>
        <w:rPr>
          <w:rStyle w:val="Pogrubienie"/>
        </w:rPr>
      </w:pPr>
    </w:p>
    <w:p w:rsidR="00222795" w:rsidRDefault="00222795" w:rsidP="00222795">
      <w:pPr>
        <w:rPr>
          <w:rStyle w:val="Pogrubienie"/>
        </w:rPr>
      </w:pPr>
    </w:p>
    <w:p w:rsidR="00222795" w:rsidRDefault="00222795" w:rsidP="00222795">
      <w:pPr>
        <w:rPr>
          <w:rStyle w:val="Pogrubienie"/>
        </w:rPr>
      </w:pPr>
    </w:p>
    <w:p w:rsidR="004A4B2B" w:rsidRDefault="004A4B2B" w:rsidP="00222795">
      <w:pPr>
        <w:rPr>
          <w:rStyle w:val="Pogrubienie"/>
        </w:rPr>
      </w:pPr>
    </w:p>
    <w:p w:rsidR="004A4B2B" w:rsidRDefault="004A4B2B" w:rsidP="00222795">
      <w:pPr>
        <w:rPr>
          <w:rStyle w:val="Pogrubienie"/>
        </w:rPr>
      </w:pPr>
    </w:p>
    <w:p w:rsidR="004A4B2B" w:rsidRDefault="004A4B2B" w:rsidP="00222795">
      <w:pPr>
        <w:rPr>
          <w:rStyle w:val="Pogrubienie"/>
        </w:rPr>
      </w:pPr>
    </w:p>
    <w:p w:rsidR="004A4B2B" w:rsidRDefault="004A4B2B" w:rsidP="00222795">
      <w:pPr>
        <w:rPr>
          <w:rStyle w:val="Pogrubienie"/>
        </w:rPr>
      </w:pPr>
    </w:p>
    <w:p w:rsidR="00925531" w:rsidRDefault="00925531" w:rsidP="00222795">
      <w:pPr>
        <w:rPr>
          <w:rStyle w:val="Pogrubienie"/>
        </w:rPr>
      </w:pPr>
    </w:p>
    <w:p w:rsidR="00222795" w:rsidRDefault="00222795" w:rsidP="00222795">
      <w:pPr>
        <w:rPr>
          <w:rStyle w:val="Pogrubienie"/>
        </w:rPr>
      </w:pPr>
    </w:p>
    <w:p w:rsidR="007C51C9" w:rsidRDefault="00222795" w:rsidP="007C51C9">
      <w:r>
        <w:rPr>
          <w:rStyle w:val="Pogrubienie"/>
          <w:rFonts w:eastAsia="Calibri" w:cs="Times New Roman"/>
          <w:color w:val="000000"/>
        </w:rPr>
        <w:t>Opracowali</w:t>
      </w:r>
      <w:r w:rsidRPr="00372A63">
        <w:rPr>
          <w:rStyle w:val="Pogrubienie"/>
          <w:rFonts w:eastAsia="Calibri" w:cs="Times New Roman"/>
          <w:color w:val="000000"/>
        </w:rPr>
        <w:t>:</w:t>
      </w:r>
    </w:p>
    <w:p w:rsidR="00222795" w:rsidRDefault="00222795" w:rsidP="007C51C9">
      <w:r>
        <w:t>Rzeczoznawca ds. zabezpieczeń                                       Rzeczoznawca budowlany:</w:t>
      </w:r>
    </w:p>
    <w:p w:rsidR="00222795" w:rsidRDefault="00222795" w:rsidP="00222795">
      <w:r>
        <w:rPr>
          <w:rFonts w:eastAsia="Calibri" w:cs="Times New Roman"/>
          <w:color w:val="000000"/>
        </w:rPr>
        <w:t>przeciwpożarowych:</w:t>
      </w:r>
    </w:p>
    <w:p w:rsidR="00222795" w:rsidRDefault="00222795" w:rsidP="00222795"/>
    <w:p w:rsidR="00C20CCA" w:rsidRDefault="00C20CCA" w:rsidP="00222795"/>
    <w:p w:rsidR="00716091" w:rsidRDefault="00716091" w:rsidP="00222795"/>
    <w:p w:rsidR="00716091" w:rsidRDefault="00716091" w:rsidP="00222795"/>
    <w:p w:rsidR="00716091" w:rsidRDefault="00716091" w:rsidP="00222795"/>
    <w:p w:rsidR="00383391" w:rsidRDefault="00B77461">
      <w:pPr>
        <w:pStyle w:val="Spistreci1"/>
        <w:tabs>
          <w:tab w:val="left" w:pos="440"/>
          <w:tab w:val="right" w:leader="dot" w:pos="9060"/>
        </w:tabs>
        <w:rPr>
          <w:rFonts w:asciiTheme="minorHAnsi" w:eastAsiaTheme="minorEastAsia" w:hAnsiTheme="minorHAnsi"/>
          <w:noProof/>
          <w:color w:val="auto"/>
          <w:lang w:eastAsia="pl-PL"/>
        </w:rPr>
      </w:pPr>
      <w:r>
        <w:fldChar w:fldCharType="begin"/>
      </w:r>
      <w:r w:rsidR="00542F19">
        <w:instrText xml:space="preserve"> TOC \o "1-3" \h \z \u </w:instrText>
      </w:r>
      <w:r>
        <w:fldChar w:fldCharType="separate"/>
      </w:r>
      <w:hyperlink w:anchor="_Toc287549974" w:history="1">
        <w:r w:rsidR="00383391" w:rsidRPr="005642DA">
          <w:rPr>
            <w:rStyle w:val="Hipercze"/>
            <w:noProof/>
          </w:rPr>
          <w:t>1.</w:t>
        </w:r>
        <w:r w:rsidR="00383391">
          <w:rPr>
            <w:rFonts w:asciiTheme="minorHAnsi" w:eastAsiaTheme="minorEastAsia" w:hAnsiTheme="minorHAnsi"/>
            <w:noProof/>
            <w:color w:val="auto"/>
            <w:lang w:eastAsia="pl-PL"/>
          </w:rPr>
          <w:tab/>
        </w:r>
        <w:r w:rsidR="00383391" w:rsidRPr="005642DA">
          <w:rPr>
            <w:rStyle w:val="Hipercze"/>
            <w:noProof/>
          </w:rPr>
          <w:t>Informacje wstępne</w:t>
        </w:r>
        <w:r w:rsidR="0038339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83391">
          <w:rPr>
            <w:noProof/>
            <w:webHidden/>
          </w:rPr>
          <w:instrText xml:space="preserve"> PAGEREF _Toc287549974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83391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83391" w:rsidRDefault="009F2160">
      <w:pPr>
        <w:pStyle w:val="Spistreci2"/>
        <w:tabs>
          <w:tab w:val="right" w:leader="dot" w:pos="9060"/>
        </w:tabs>
        <w:rPr>
          <w:rFonts w:asciiTheme="minorHAnsi" w:eastAsiaTheme="minorEastAsia" w:hAnsiTheme="minorHAnsi"/>
          <w:noProof/>
          <w:color w:val="auto"/>
          <w:lang w:eastAsia="pl-PL"/>
        </w:rPr>
      </w:pPr>
      <w:hyperlink w:anchor="_Toc287549975" w:history="1">
        <w:r w:rsidR="00383391" w:rsidRPr="005642DA">
          <w:rPr>
            <w:rStyle w:val="Hipercze"/>
            <w:noProof/>
          </w:rPr>
          <w:t>1.1. Podstawy prawne</w:t>
        </w:r>
        <w:r w:rsidR="00383391">
          <w:rPr>
            <w:noProof/>
            <w:webHidden/>
          </w:rPr>
          <w:tab/>
        </w:r>
        <w:r w:rsidR="00B77461">
          <w:rPr>
            <w:noProof/>
            <w:webHidden/>
          </w:rPr>
          <w:fldChar w:fldCharType="begin"/>
        </w:r>
        <w:r w:rsidR="00383391">
          <w:rPr>
            <w:noProof/>
            <w:webHidden/>
          </w:rPr>
          <w:instrText xml:space="preserve"> PAGEREF _Toc287549975 \h </w:instrText>
        </w:r>
        <w:r w:rsidR="00B77461">
          <w:rPr>
            <w:noProof/>
            <w:webHidden/>
          </w:rPr>
        </w:r>
        <w:r w:rsidR="00B77461">
          <w:rPr>
            <w:noProof/>
            <w:webHidden/>
          </w:rPr>
          <w:fldChar w:fldCharType="separate"/>
        </w:r>
        <w:r w:rsidR="00383391">
          <w:rPr>
            <w:noProof/>
            <w:webHidden/>
          </w:rPr>
          <w:t>4</w:t>
        </w:r>
        <w:r w:rsidR="00B77461">
          <w:rPr>
            <w:noProof/>
            <w:webHidden/>
          </w:rPr>
          <w:fldChar w:fldCharType="end"/>
        </w:r>
      </w:hyperlink>
    </w:p>
    <w:p w:rsidR="00383391" w:rsidRDefault="009F2160">
      <w:pPr>
        <w:pStyle w:val="Spistreci1"/>
        <w:tabs>
          <w:tab w:val="left" w:pos="440"/>
          <w:tab w:val="right" w:leader="dot" w:pos="9060"/>
        </w:tabs>
        <w:rPr>
          <w:rFonts w:asciiTheme="minorHAnsi" w:eastAsiaTheme="minorEastAsia" w:hAnsiTheme="minorHAnsi"/>
          <w:noProof/>
          <w:color w:val="auto"/>
          <w:lang w:eastAsia="pl-PL"/>
        </w:rPr>
      </w:pPr>
      <w:hyperlink w:anchor="_Toc287549976" w:history="1">
        <w:r w:rsidR="00383391" w:rsidRPr="005642DA">
          <w:rPr>
            <w:rStyle w:val="Hipercze"/>
            <w:noProof/>
          </w:rPr>
          <w:t>2.</w:t>
        </w:r>
        <w:r w:rsidR="00383391">
          <w:rPr>
            <w:rFonts w:asciiTheme="minorHAnsi" w:eastAsiaTheme="minorEastAsia" w:hAnsiTheme="minorHAnsi"/>
            <w:noProof/>
            <w:color w:val="auto"/>
            <w:lang w:eastAsia="pl-PL"/>
          </w:rPr>
          <w:tab/>
        </w:r>
        <w:r w:rsidR="00383391" w:rsidRPr="005642DA">
          <w:rPr>
            <w:rStyle w:val="Hipercze"/>
            <w:noProof/>
          </w:rPr>
          <w:t>Warunki ochrony przeciwpożarowej</w:t>
        </w:r>
        <w:r w:rsidR="00383391">
          <w:rPr>
            <w:noProof/>
            <w:webHidden/>
          </w:rPr>
          <w:tab/>
        </w:r>
        <w:r w:rsidR="00B77461">
          <w:rPr>
            <w:noProof/>
            <w:webHidden/>
          </w:rPr>
          <w:fldChar w:fldCharType="begin"/>
        </w:r>
        <w:r w:rsidR="00383391">
          <w:rPr>
            <w:noProof/>
            <w:webHidden/>
          </w:rPr>
          <w:instrText xml:space="preserve"> PAGEREF _Toc287549976 \h </w:instrText>
        </w:r>
        <w:r w:rsidR="00B77461">
          <w:rPr>
            <w:noProof/>
            <w:webHidden/>
          </w:rPr>
        </w:r>
        <w:r w:rsidR="00B77461">
          <w:rPr>
            <w:noProof/>
            <w:webHidden/>
          </w:rPr>
          <w:fldChar w:fldCharType="separate"/>
        </w:r>
        <w:r w:rsidR="00383391">
          <w:rPr>
            <w:noProof/>
            <w:webHidden/>
          </w:rPr>
          <w:t>5</w:t>
        </w:r>
        <w:r w:rsidR="00B77461">
          <w:rPr>
            <w:noProof/>
            <w:webHidden/>
          </w:rPr>
          <w:fldChar w:fldCharType="end"/>
        </w:r>
      </w:hyperlink>
    </w:p>
    <w:p w:rsidR="00383391" w:rsidRDefault="009F2160">
      <w:pPr>
        <w:pStyle w:val="Spistreci2"/>
        <w:tabs>
          <w:tab w:val="right" w:leader="dot" w:pos="9060"/>
        </w:tabs>
        <w:rPr>
          <w:rFonts w:asciiTheme="minorHAnsi" w:eastAsiaTheme="minorEastAsia" w:hAnsiTheme="minorHAnsi"/>
          <w:noProof/>
          <w:color w:val="auto"/>
          <w:lang w:eastAsia="pl-PL"/>
        </w:rPr>
      </w:pPr>
      <w:hyperlink w:anchor="_Toc287549977" w:history="1">
        <w:r w:rsidR="00383391" w:rsidRPr="005642DA">
          <w:rPr>
            <w:rStyle w:val="Hipercze"/>
            <w:noProof/>
          </w:rPr>
          <w:t>2.1. Ogólne informacje o budynku</w:t>
        </w:r>
        <w:r w:rsidR="00383391">
          <w:rPr>
            <w:noProof/>
            <w:webHidden/>
          </w:rPr>
          <w:tab/>
        </w:r>
        <w:r w:rsidR="00B77461">
          <w:rPr>
            <w:noProof/>
            <w:webHidden/>
          </w:rPr>
          <w:fldChar w:fldCharType="begin"/>
        </w:r>
        <w:r w:rsidR="00383391">
          <w:rPr>
            <w:noProof/>
            <w:webHidden/>
          </w:rPr>
          <w:instrText xml:space="preserve"> PAGEREF _Toc287549977 \h </w:instrText>
        </w:r>
        <w:r w:rsidR="00B77461">
          <w:rPr>
            <w:noProof/>
            <w:webHidden/>
          </w:rPr>
        </w:r>
        <w:r w:rsidR="00B77461">
          <w:rPr>
            <w:noProof/>
            <w:webHidden/>
          </w:rPr>
          <w:fldChar w:fldCharType="separate"/>
        </w:r>
        <w:r w:rsidR="00383391">
          <w:rPr>
            <w:noProof/>
            <w:webHidden/>
          </w:rPr>
          <w:t>5</w:t>
        </w:r>
        <w:r w:rsidR="00B77461">
          <w:rPr>
            <w:noProof/>
            <w:webHidden/>
          </w:rPr>
          <w:fldChar w:fldCharType="end"/>
        </w:r>
      </w:hyperlink>
    </w:p>
    <w:p w:rsidR="00383391" w:rsidRDefault="009F2160">
      <w:pPr>
        <w:pStyle w:val="Spistreci2"/>
        <w:tabs>
          <w:tab w:val="right" w:leader="dot" w:pos="9060"/>
        </w:tabs>
        <w:rPr>
          <w:rFonts w:asciiTheme="minorHAnsi" w:eastAsiaTheme="minorEastAsia" w:hAnsiTheme="minorHAnsi"/>
          <w:noProof/>
          <w:color w:val="auto"/>
          <w:lang w:eastAsia="pl-PL"/>
        </w:rPr>
      </w:pPr>
      <w:hyperlink w:anchor="_Toc287549978" w:history="1">
        <w:r w:rsidR="00383391" w:rsidRPr="005642DA">
          <w:rPr>
            <w:rStyle w:val="Hipercze"/>
            <w:noProof/>
          </w:rPr>
          <w:t>2.2. Powierzchnia, wysokość i liczba kondygnacji</w:t>
        </w:r>
        <w:r w:rsidR="00383391">
          <w:rPr>
            <w:noProof/>
            <w:webHidden/>
          </w:rPr>
          <w:tab/>
        </w:r>
        <w:r w:rsidR="00B77461">
          <w:rPr>
            <w:noProof/>
            <w:webHidden/>
          </w:rPr>
          <w:fldChar w:fldCharType="begin"/>
        </w:r>
        <w:r w:rsidR="00383391">
          <w:rPr>
            <w:noProof/>
            <w:webHidden/>
          </w:rPr>
          <w:instrText xml:space="preserve"> PAGEREF _Toc287549978 \h </w:instrText>
        </w:r>
        <w:r w:rsidR="00B77461">
          <w:rPr>
            <w:noProof/>
            <w:webHidden/>
          </w:rPr>
        </w:r>
        <w:r w:rsidR="00B77461">
          <w:rPr>
            <w:noProof/>
            <w:webHidden/>
          </w:rPr>
          <w:fldChar w:fldCharType="separate"/>
        </w:r>
        <w:r w:rsidR="00383391">
          <w:rPr>
            <w:noProof/>
            <w:webHidden/>
          </w:rPr>
          <w:t>5</w:t>
        </w:r>
        <w:r w:rsidR="00B77461">
          <w:rPr>
            <w:noProof/>
            <w:webHidden/>
          </w:rPr>
          <w:fldChar w:fldCharType="end"/>
        </w:r>
      </w:hyperlink>
    </w:p>
    <w:p w:rsidR="00383391" w:rsidRDefault="009F2160">
      <w:pPr>
        <w:pStyle w:val="Spistreci2"/>
        <w:tabs>
          <w:tab w:val="right" w:leader="dot" w:pos="9060"/>
        </w:tabs>
        <w:rPr>
          <w:rFonts w:asciiTheme="minorHAnsi" w:eastAsiaTheme="minorEastAsia" w:hAnsiTheme="minorHAnsi"/>
          <w:noProof/>
          <w:color w:val="auto"/>
          <w:lang w:eastAsia="pl-PL"/>
        </w:rPr>
      </w:pPr>
      <w:hyperlink w:anchor="_Toc287549979" w:history="1">
        <w:r w:rsidR="00383391" w:rsidRPr="005642DA">
          <w:rPr>
            <w:rStyle w:val="Hipercze"/>
            <w:noProof/>
          </w:rPr>
          <w:t>2.3. Odległość od obiektów sąsiadujących</w:t>
        </w:r>
        <w:r w:rsidR="00383391">
          <w:rPr>
            <w:noProof/>
            <w:webHidden/>
          </w:rPr>
          <w:tab/>
        </w:r>
        <w:r w:rsidR="00B77461">
          <w:rPr>
            <w:noProof/>
            <w:webHidden/>
          </w:rPr>
          <w:fldChar w:fldCharType="begin"/>
        </w:r>
        <w:r w:rsidR="00383391">
          <w:rPr>
            <w:noProof/>
            <w:webHidden/>
          </w:rPr>
          <w:instrText xml:space="preserve"> PAGEREF _Toc287549979 \h </w:instrText>
        </w:r>
        <w:r w:rsidR="00B77461">
          <w:rPr>
            <w:noProof/>
            <w:webHidden/>
          </w:rPr>
        </w:r>
        <w:r w:rsidR="00B77461">
          <w:rPr>
            <w:noProof/>
            <w:webHidden/>
          </w:rPr>
          <w:fldChar w:fldCharType="separate"/>
        </w:r>
        <w:r w:rsidR="00383391">
          <w:rPr>
            <w:noProof/>
            <w:webHidden/>
          </w:rPr>
          <w:t>6</w:t>
        </w:r>
        <w:r w:rsidR="00B77461">
          <w:rPr>
            <w:noProof/>
            <w:webHidden/>
          </w:rPr>
          <w:fldChar w:fldCharType="end"/>
        </w:r>
      </w:hyperlink>
    </w:p>
    <w:p w:rsidR="00383391" w:rsidRDefault="009F2160">
      <w:pPr>
        <w:pStyle w:val="Spistreci2"/>
        <w:tabs>
          <w:tab w:val="right" w:leader="dot" w:pos="9060"/>
        </w:tabs>
        <w:rPr>
          <w:rFonts w:asciiTheme="minorHAnsi" w:eastAsiaTheme="minorEastAsia" w:hAnsiTheme="minorHAnsi"/>
          <w:noProof/>
          <w:color w:val="auto"/>
          <w:lang w:eastAsia="pl-PL"/>
        </w:rPr>
      </w:pPr>
      <w:hyperlink w:anchor="_Toc287549980" w:history="1">
        <w:r w:rsidR="00383391" w:rsidRPr="005642DA">
          <w:rPr>
            <w:rStyle w:val="Hipercze"/>
            <w:noProof/>
          </w:rPr>
          <w:t>2.4. Parametry pożarowe występujących substancji palnych</w:t>
        </w:r>
        <w:r w:rsidR="00383391">
          <w:rPr>
            <w:noProof/>
            <w:webHidden/>
          </w:rPr>
          <w:tab/>
        </w:r>
        <w:r w:rsidR="00B77461">
          <w:rPr>
            <w:noProof/>
            <w:webHidden/>
          </w:rPr>
          <w:fldChar w:fldCharType="begin"/>
        </w:r>
        <w:r w:rsidR="00383391">
          <w:rPr>
            <w:noProof/>
            <w:webHidden/>
          </w:rPr>
          <w:instrText xml:space="preserve"> PAGEREF _Toc287549980 \h </w:instrText>
        </w:r>
        <w:r w:rsidR="00B77461">
          <w:rPr>
            <w:noProof/>
            <w:webHidden/>
          </w:rPr>
        </w:r>
        <w:r w:rsidR="00B77461">
          <w:rPr>
            <w:noProof/>
            <w:webHidden/>
          </w:rPr>
          <w:fldChar w:fldCharType="separate"/>
        </w:r>
        <w:r w:rsidR="00383391">
          <w:rPr>
            <w:noProof/>
            <w:webHidden/>
          </w:rPr>
          <w:t>6</w:t>
        </w:r>
        <w:r w:rsidR="00B77461">
          <w:rPr>
            <w:noProof/>
            <w:webHidden/>
          </w:rPr>
          <w:fldChar w:fldCharType="end"/>
        </w:r>
      </w:hyperlink>
    </w:p>
    <w:p w:rsidR="00383391" w:rsidRDefault="009F2160">
      <w:pPr>
        <w:pStyle w:val="Spistreci2"/>
        <w:tabs>
          <w:tab w:val="right" w:leader="dot" w:pos="9060"/>
        </w:tabs>
        <w:rPr>
          <w:rFonts w:asciiTheme="minorHAnsi" w:eastAsiaTheme="minorEastAsia" w:hAnsiTheme="minorHAnsi"/>
          <w:noProof/>
          <w:color w:val="auto"/>
          <w:lang w:eastAsia="pl-PL"/>
        </w:rPr>
      </w:pPr>
      <w:hyperlink w:anchor="_Toc287549981" w:history="1">
        <w:r w:rsidR="00383391" w:rsidRPr="005642DA">
          <w:rPr>
            <w:rStyle w:val="Hipercze"/>
            <w:noProof/>
          </w:rPr>
          <w:t>2.5. Elementy wystroju i wyposażenia wnętrz</w:t>
        </w:r>
        <w:r w:rsidR="00383391">
          <w:rPr>
            <w:noProof/>
            <w:webHidden/>
          </w:rPr>
          <w:tab/>
        </w:r>
        <w:r w:rsidR="00B77461">
          <w:rPr>
            <w:noProof/>
            <w:webHidden/>
          </w:rPr>
          <w:fldChar w:fldCharType="begin"/>
        </w:r>
        <w:r w:rsidR="00383391">
          <w:rPr>
            <w:noProof/>
            <w:webHidden/>
          </w:rPr>
          <w:instrText xml:space="preserve"> PAGEREF _Toc287549981 \h </w:instrText>
        </w:r>
        <w:r w:rsidR="00B77461">
          <w:rPr>
            <w:noProof/>
            <w:webHidden/>
          </w:rPr>
        </w:r>
        <w:r w:rsidR="00B77461">
          <w:rPr>
            <w:noProof/>
            <w:webHidden/>
          </w:rPr>
          <w:fldChar w:fldCharType="separate"/>
        </w:r>
        <w:r w:rsidR="00383391">
          <w:rPr>
            <w:noProof/>
            <w:webHidden/>
          </w:rPr>
          <w:t>7</w:t>
        </w:r>
        <w:r w:rsidR="00B77461">
          <w:rPr>
            <w:noProof/>
            <w:webHidden/>
          </w:rPr>
          <w:fldChar w:fldCharType="end"/>
        </w:r>
      </w:hyperlink>
    </w:p>
    <w:p w:rsidR="00383391" w:rsidRDefault="009F2160">
      <w:pPr>
        <w:pStyle w:val="Spistreci2"/>
        <w:tabs>
          <w:tab w:val="right" w:leader="dot" w:pos="9060"/>
        </w:tabs>
        <w:rPr>
          <w:rFonts w:asciiTheme="minorHAnsi" w:eastAsiaTheme="minorEastAsia" w:hAnsiTheme="minorHAnsi"/>
          <w:noProof/>
          <w:color w:val="auto"/>
          <w:lang w:eastAsia="pl-PL"/>
        </w:rPr>
      </w:pPr>
      <w:hyperlink w:anchor="_Toc287549982" w:history="1">
        <w:r w:rsidR="00383391" w:rsidRPr="005642DA">
          <w:rPr>
            <w:rStyle w:val="Hipercze"/>
            <w:noProof/>
          </w:rPr>
          <w:t>2.6. Gęstość obciążenia ogniowego</w:t>
        </w:r>
        <w:r w:rsidR="00383391">
          <w:rPr>
            <w:noProof/>
            <w:webHidden/>
          </w:rPr>
          <w:tab/>
        </w:r>
        <w:r w:rsidR="00B77461">
          <w:rPr>
            <w:noProof/>
            <w:webHidden/>
          </w:rPr>
          <w:fldChar w:fldCharType="begin"/>
        </w:r>
        <w:r w:rsidR="00383391">
          <w:rPr>
            <w:noProof/>
            <w:webHidden/>
          </w:rPr>
          <w:instrText xml:space="preserve"> PAGEREF _Toc287549982 \h </w:instrText>
        </w:r>
        <w:r w:rsidR="00B77461">
          <w:rPr>
            <w:noProof/>
            <w:webHidden/>
          </w:rPr>
        </w:r>
        <w:r w:rsidR="00B77461">
          <w:rPr>
            <w:noProof/>
            <w:webHidden/>
          </w:rPr>
          <w:fldChar w:fldCharType="separate"/>
        </w:r>
        <w:r w:rsidR="00383391">
          <w:rPr>
            <w:noProof/>
            <w:webHidden/>
          </w:rPr>
          <w:t>7</w:t>
        </w:r>
        <w:r w:rsidR="00B77461">
          <w:rPr>
            <w:noProof/>
            <w:webHidden/>
          </w:rPr>
          <w:fldChar w:fldCharType="end"/>
        </w:r>
      </w:hyperlink>
    </w:p>
    <w:p w:rsidR="00383391" w:rsidRDefault="009F2160">
      <w:pPr>
        <w:pStyle w:val="Spistreci2"/>
        <w:tabs>
          <w:tab w:val="right" w:leader="dot" w:pos="9060"/>
        </w:tabs>
        <w:rPr>
          <w:rFonts w:asciiTheme="minorHAnsi" w:eastAsiaTheme="minorEastAsia" w:hAnsiTheme="minorHAnsi"/>
          <w:noProof/>
          <w:color w:val="auto"/>
          <w:lang w:eastAsia="pl-PL"/>
        </w:rPr>
      </w:pPr>
      <w:hyperlink w:anchor="_Toc287549983" w:history="1">
        <w:r w:rsidR="00383391" w:rsidRPr="005642DA">
          <w:rPr>
            <w:rStyle w:val="Hipercze"/>
            <w:noProof/>
          </w:rPr>
          <w:t>2.7. Kategoria zagrożenia ludzi</w:t>
        </w:r>
        <w:r w:rsidR="00383391">
          <w:rPr>
            <w:noProof/>
            <w:webHidden/>
          </w:rPr>
          <w:tab/>
        </w:r>
        <w:r w:rsidR="00B77461">
          <w:rPr>
            <w:noProof/>
            <w:webHidden/>
          </w:rPr>
          <w:fldChar w:fldCharType="begin"/>
        </w:r>
        <w:r w:rsidR="00383391">
          <w:rPr>
            <w:noProof/>
            <w:webHidden/>
          </w:rPr>
          <w:instrText xml:space="preserve"> PAGEREF _Toc287549983 \h </w:instrText>
        </w:r>
        <w:r w:rsidR="00B77461">
          <w:rPr>
            <w:noProof/>
            <w:webHidden/>
          </w:rPr>
        </w:r>
        <w:r w:rsidR="00B77461">
          <w:rPr>
            <w:noProof/>
            <w:webHidden/>
          </w:rPr>
          <w:fldChar w:fldCharType="separate"/>
        </w:r>
        <w:r w:rsidR="00383391">
          <w:rPr>
            <w:noProof/>
            <w:webHidden/>
          </w:rPr>
          <w:t>7</w:t>
        </w:r>
        <w:r w:rsidR="00B77461">
          <w:rPr>
            <w:noProof/>
            <w:webHidden/>
          </w:rPr>
          <w:fldChar w:fldCharType="end"/>
        </w:r>
      </w:hyperlink>
    </w:p>
    <w:p w:rsidR="00383391" w:rsidRDefault="009F2160">
      <w:pPr>
        <w:pStyle w:val="Spistreci2"/>
        <w:tabs>
          <w:tab w:val="right" w:leader="dot" w:pos="9060"/>
        </w:tabs>
        <w:rPr>
          <w:rFonts w:asciiTheme="minorHAnsi" w:eastAsiaTheme="minorEastAsia" w:hAnsiTheme="minorHAnsi"/>
          <w:noProof/>
          <w:color w:val="auto"/>
          <w:lang w:eastAsia="pl-PL"/>
        </w:rPr>
      </w:pPr>
      <w:hyperlink w:anchor="_Toc287549984" w:history="1">
        <w:r w:rsidR="00383391" w:rsidRPr="005642DA">
          <w:rPr>
            <w:rStyle w:val="Hipercze"/>
            <w:noProof/>
          </w:rPr>
          <w:t>2.8. Zagrożenie wybuchem pomieszczeń oraz przestrzeni zewnętrznych</w:t>
        </w:r>
        <w:r w:rsidR="00383391">
          <w:rPr>
            <w:noProof/>
            <w:webHidden/>
          </w:rPr>
          <w:tab/>
        </w:r>
        <w:r w:rsidR="00B77461">
          <w:rPr>
            <w:noProof/>
            <w:webHidden/>
          </w:rPr>
          <w:fldChar w:fldCharType="begin"/>
        </w:r>
        <w:r w:rsidR="00383391">
          <w:rPr>
            <w:noProof/>
            <w:webHidden/>
          </w:rPr>
          <w:instrText xml:space="preserve"> PAGEREF _Toc287549984 \h </w:instrText>
        </w:r>
        <w:r w:rsidR="00B77461">
          <w:rPr>
            <w:noProof/>
            <w:webHidden/>
          </w:rPr>
        </w:r>
        <w:r w:rsidR="00B77461">
          <w:rPr>
            <w:noProof/>
            <w:webHidden/>
          </w:rPr>
          <w:fldChar w:fldCharType="separate"/>
        </w:r>
        <w:r w:rsidR="00383391">
          <w:rPr>
            <w:noProof/>
            <w:webHidden/>
          </w:rPr>
          <w:t>7</w:t>
        </w:r>
        <w:r w:rsidR="00B77461">
          <w:rPr>
            <w:noProof/>
            <w:webHidden/>
          </w:rPr>
          <w:fldChar w:fldCharType="end"/>
        </w:r>
      </w:hyperlink>
    </w:p>
    <w:p w:rsidR="00383391" w:rsidRDefault="009F2160">
      <w:pPr>
        <w:pStyle w:val="Spistreci2"/>
        <w:tabs>
          <w:tab w:val="right" w:leader="dot" w:pos="9060"/>
        </w:tabs>
        <w:rPr>
          <w:rFonts w:asciiTheme="minorHAnsi" w:eastAsiaTheme="minorEastAsia" w:hAnsiTheme="minorHAnsi"/>
          <w:noProof/>
          <w:color w:val="auto"/>
          <w:lang w:eastAsia="pl-PL"/>
        </w:rPr>
      </w:pPr>
      <w:hyperlink w:anchor="_Toc287549985" w:history="1">
        <w:r w:rsidR="00383391" w:rsidRPr="005642DA">
          <w:rPr>
            <w:rStyle w:val="Hipercze"/>
            <w:noProof/>
          </w:rPr>
          <w:t>2.9. Podział obiektu na strefy pożarowe</w:t>
        </w:r>
        <w:r w:rsidR="00383391">
          <w:rPr>
            <w:noProof/>
            <w:webHidden/>
          </w:rPr>
          <w:tab/>
        </w:r>
        <w:r w:rsidR="00B77461">
          <w:rPr>
            <w:noProof/>
            <w:webHidden/>
          </w:rPr>
          <w:fldChar w:fldCharType="begin"/>
        </w:r>
        <w:r w:rsidR="00383391">
          <w:rPr>
            <w:noProof/>
            <w:webHidden/>
          </w:rPr>
          <w:instrText xml:space="preserve"> PAGEREF _Toc287549985 \h </w:instrText>
        </w:r>
        <w:r w:rsidR="00B77461">
          <w:rPr>
            <w:noProof/>
            <w:webHidden/>
          </w:rPr>
        </w:r>
        <w:r w:rsidR="00B77461">
          <w:rPr>
            <w:noProof/>
            <w:webHidden/>
          </w:rPr>
          <w:fldChar w:fldCharType="separate"/>
        </w:r>
        <w:r w:rsidR="00383391">
          <w:rPr>
            <w:noProof/>
            <w:webHidden/>
          </w:rPr>
          <w:t>8</w:t>
        </w:r>
        <w:r w:rsidR="00B77461">
          <w:rPr>
            <w:noProof/>
            <w:webHidden/>
          </w:rPr>
          <w:fldChar w:fldCharType="end"/>
        </w:r>
      </w:hyperlink>
    </w:p>
    <w:p w:rsidR="00383391" w:rsidRDefault="009F2160">
      <w:pPr>
        <w:pStyle w:val="Spistreci2"/>
        <w:tabs>
          <w:tab w:val="right" w:leader="dot" w:pos="9060"/>
        </w:tabs>
        <w:rPr>
          <w:rFonts w:asciiTheme="minorHAnsi" w:eastAsiaTheme="minorEastAsia" w:hAnsiTheme="minorHAnsi"/>
          <w:noProof/>
          <w:color w:val="auto"/>
          <w:lang w:eastAsia="pl-PL"/>
        </w:rPr>
      </w:pPr>
      <w:hyperlink w:anchor="_Toc287549986" w:history="1">
        <w:r w:rsidR="00383391" w:rsidRPr="005642DA">
          <w:rPr>
            <w:rStyle w:val="Hipercze"/>
            <w:noProof/>
          </w:rPr>
          <w:t>2.10. Klasa odporności pożarowej budynku</w:t>
        </w:r>
        <w:r w:rsidR="00383391">
          <w:rPr>
            <w:noProof/>
            <w:webHidden/>
          </w:rPr>
          <w:tab/>
        </w:r>
        <w:r w:rsidR="00B77461">
          <w:rPr>
            <w:noProof/>
            <w:webHidden/>
          </w:rPr>
          <w:fldChar w:fldCharType="begin"/>
        </w:r>
        <w:r w:rsidR="00383391">
          <w:rPr>
            <w:noProof/>
            <w:webHidden/>
          </w:rPr>
          <w:instrText xml:space="preserve"> PAGEREF _Toc287549986 \h </w:instrText>
        </w:r>
        <w:r w:rsidR="00B77461">
          <w:rPr>
            <w:noProof/>
            <w:webHidden/>
          </w:rPr>
        </w:r>
        <w:r w:rsidR="00B77461">
          <w:rPr>
            <w:noProof/>
            <w:webHidden/>
          </w:rPr>
          <w:fldChar w:fldCharType="separate"/>
        </w:r>
        <w:r w:rsidR="00383391">
          <w:rPr>
            <w:noProof/>
            <w:webHidden/>
          </w:rPr>
          <w:t>8</w:t>
        </w:r>
        <w:r w:rsidR="00B77461">
          <w:rPr>
            <w:noProof/>
            <w:webHidden/>
          </w:rPr>
          <w:fldChar w:fldCharType="end"/>
        </w:r>
      </w:hyperlink>
    </w:p>
    <w:p w:rsidR="00383391" w:rsidRDefault="009F2160">
      <w:pPr>
        <w:pStyle w:val="Spistreci2"/>
        <w:tabs>
          <w:tab w:val="right" w:leader="dot" w:pos="9060"/>
        </w:tabs>
        <w:rPr>
          <w:rFonts w:asciiTheme="minorHAnsi" w:eastAsiaTheme="minorEastAsia" w:hAnsiTheme="minorHAnsi"/>
          <w:noProof/>
          <w:color w:val="auto"/>
          <w:lang w:eastAsia="pl-PL"/>
        </w:rPr>
      </w:pPr>
      <w:hyperlink w:anchor="_Toc287549987" w:history="1">
        <w:r w:rsidR="00383391" w:rsidRPr="005642DA">
          <w:rPr>
            <w:rStyle w:val="Hipercze"/>
            <w:noProof/>
          </w:rPr>
          <w:t>2.11. Warunki ewakuacji</w:t>
        </w:r>
        <w:r w:rsidR="00383391">
          <w:rPr>
            <w:noProof/>
            <w:webHidden/>
          </w:rPr>
          <w:tab/>
        </w:r>
        <w:r w:rsidR="00B77461">
          <w:rPr>
            <w:noProof/>
            <w:webHidden/>
          </w:rPr>
          <w:fldChar w:fldCharType="begin"/>
        </w:r>
        <w:r w:rsidR="00383391">
          <w:rPr>
            <w:noProof/>
            <w:webHidden/>
          </w:rPr>
          <w:instrText xml:space="preserve"> PAGEREF _Toc287549987 \h </w:instrText>
        </w:r>
        <w:r w:rsidR="00B77461">
          <w:rPr>
            <w:noProof/>
            <w:webHidden/>
          </w:rPr>
        </w:r>
        <w:r w:rsidR="00B77461">
          <w:rPr>
            <w:noProof/>
            <w:webHidden/>
          </w:rPr>
          <w:fldChar w:fldCharType="separate"/>
        </w:r>
        <w:r w:rsidR="00383391">
          <w:rPr>
            <w:noProof/>
            <w:webHidden/>
          </w:rPr>
          <w:t>9</w:t>
        </w:r>
        <w:r w:rsidR="00B77461">
          <w:rPr>
            <w:noProof/>
            <w:webHidden/>
          </w:rPr>
          <w:fldChar w:fldCharType="end"/>
        </w:r>
      </w:hyperlink>
    </w:p>
    <w:p w:rsidR="00383391" w:rsidRDefault="009F2160">
      <w:pPr>
        <w:pStyle w:val="Spistreci2"/>
        <w:tabs>
          <w:tab w:val="right" w:leader="dot" w:pos="9060"/>
        </w:tabs>
        <w:rPr>
          <w:rFonts w:asciiTheme="minorHAnsi" w:eastAsiaTheme="minorEastAsia" w:hAnsiTheme="minorHAnsi"/>
          <w:noProof/>
          <w:color w:val="auto"/>
          <w:lang w:eastAsia="pl-PL"/>
        </w:rPr>
      </w:pPr>
      <w:hyperlink w:anchor="_Toc287549988" w:history="1">
        <w:r w:rsidR="00383391" w:rsidRPr="005642DA">
          <w:rPr>
            <w:rStyle w:val="Hipercze"/>
            <w:noProof/>
          </w:rPr>
          <w:t>2.12. Zabezpieczenie przeciwpożarowe instalacji użytkowych</w:t>
        </w:r>
        <w:r w:rsidR="00383391">
          <w:rPr>
            <w:noProof/>
            <w:webHidden/>
          </w:rPr>
          <w:tab/>
        </w:r>
        <w:r w:rsidR="00B77461">
          <w:rPr>
            <w:noProof/>
            <w:webHidden/>
          </w:rPr>
          <w:fldChar w:fldCharType="begin"/>
        </w:r>
        <w:r w:rsidR="00383391">
          <w:rPr>
            <w:noProof/>
            <w:webHidden/>
          </w:rPr>
          <w:instrText xml:space="preserve"> PAGEREF _Toc287549988 \h </w:instrText>
        </w:r>
        <w:r w:rsidR="00B77461">
          <w:rPr>
            <w:noProof/>
            <w:webHidden/>
          </w:rPr>
        </w:r>
        <w:r w:rsidR="00B77461">
          <w:rPr>
            <w:noProof/>
            <w:webHidden/>
          </w:rPr>
          <w:fldChar w:fldCharType="separate"/>
        </w:r>
        <w:r w:rsidR="00383391">
          <w:rPr>
            <w:noProof/>
            <w:webHidden/>
          </w:rPr>
          <w:t>11</w:t>
        </w:r>
        <w:r w:rsidR="00B77461">
          <w:rPr>
            <w:noProof/>
            <w:webHidden/>
          </w:rPr>
          <w:fldChar w:fldCharType="end"/>
        </w:r>
      </w:hyperlink>
    </w:p>
    <w:p w:rsidR="00383391" w:rsidRDefault="009F2160">
      <w:pPr>
        <w:pStyle w:val="Spistreci2"/>
        <w:tabs>
          <w:tab w:val="right" w:leader="dot" w:pos="9060"/>
        </w:tabs>
        <w:rPr>
          <w:rFonts w:asciiTheme="minorHAnsi" w:eastAsiaTheme="minorEastAsia" w:hAnsiTheme="minorHAnsi"/>
          <w:noProof/>
          <w:color w:val="auto"/>
          <w:lang w:eastAsia="pl-PL"/>
        </w:rPr>
      </w:pPr>
      <w:hyperlink w:anchor="_Toc287549989" w:history="1">
        <w:r w:rsidR="00383391" w:rsidRPr="005642DA">
          <w:rPr>
            <w:rStyle w:val="Hipercze"/>
            <w:noProof/>
          </w:rPr>
          <w:t>2.13. Przeciwpożarowe zaopatrzenie wodne</w:t>
        </w:r>
        <w:r w:rsidR="00383391">
          <w:rPr>
            <w:noProof/>
            <w:webHidden/>
          </w:rPr>
          <w:tab/>
        </w:r>
        <w:r w:rsidR="00B77461">
          <w:rPr>
            <w:noProof/>
            <w:webHidden/>
          </w:rPr>
          <w:fldChar w:fldCharType="begin"/>
        </w:r>
        <w:r w:rsidR="00383391">
          <w:rPr>
            <w:noProof/>
            <w:webHidden/>
          </w:rPr>
          <w:instrText xml:space="preserve"> PAGEREF _Toc287549989 \h </w:instrText>
        </w:r>
        <w:r w:rsidR="00B77461">
          <w:rPr>
            <w:noProof/>
            <w:webHidden/>
          </w:rPr>
        </w:r>
        <w:r w:rsidR="00B77461">
          <w:rPr>
            <w:noProof/>
            <w:webHidden/>
          </w:rPr>
          <w:fldChar w:fldCharType="separate"/>
        </w:r>
        <w:r w:rsidR="00383391">
          <w:rPr>
            <w:noProof/>
            <w:webHidden/>
          </w:rPr>
          <w:t>11</w:t>
        </w:r>
        <w:r w:rsidR="00B77461">
          <w:rPr>
            <w:noProof/>
            <w:webHidden/>
          </w:rPr>
          <w:fldChar w:fldCharType="end"/>
        </w:r>
      </w:hyperlink>
    </w:p>
    <w:p w:rsidR="00383391" w:rsidRDefault="009F2160">
      <w:pPr>
        <w:pStyle w:val="Spistreci2"/>
        <w:tabs>
          <w:tab w:val="right" w:leader="dot" w:pos="9060"/>
        </w:tabs>
        <w:rPr>
          <w:rFonts w:asciiTheme="minorHAnsi" w:eastAsiaTheme="minorEastAsia" w:hAnsiTheme="minorHAnsi"/>
          <w:noProof/>
          <w:color w:val="auto"/>
          <w:lang w:eastAsia="pl-PL"/>
        </w:rPr>
      </w:pPr>
      <w:hyperlink w:anchor="_Toc287549990" w:history="1">
        <w:r w:rsidR="00383391" w:rsidRPr="005642DA">
          <w:rPr>
            <w:rStyle w:val="Hipercze"/>
            <w:noProof/>
          </w:rPr>
          <w:t>2.14. Urządzenia przeciwpożarowe</w:t>
        </w:r>
        <w:r w:rsidR="00383391">
          <w:rPr>
            <w:noProof/>
            <w:webHidden/>
          </w:rPr>
          <w:tab/>
        </w:r>
        <w:r w:rsidR="00B77461">
          <w:rPr>
            <w:noProof/>
            <w:webHidden/>
          </w:rPr>
          <w:fldChar w:fldCharType="begin"/>
        </w:r>
        <w:r w:rsidR="00383391">
          <w:rPr>
            <w:noProof/>
            <w:webHidden/>
          </w:rPr>
          <w:instrText xml:space="preserve"> PAGEREF _Toc287549990 \h </w:instrText>
        </w:r>
        <w:r w:rsidR="00B77461">
          <w:rPr>
            <w:noProof/>
            <w:webHidden/>
          </w:rPr>
        </w:r>
        <w:r w:rsidR="00B77461">
          <w:rPr>
            <w:noProof/>
            <w:webHidden/>
          </w:rPr>
          <w:fldChar w:fldCharType="separate"/>
        </w:r>
        <w:r w:rsidR="00383391">
          <w:rPr>
            <w:noProof/>
            <w:webHidden/>
          </w:rPr>
          <w:t>12</w:t>
        </w:r>
        <w:r w:rsidR="00B77461">
          <w:rPr>
            <w:noProof/>
            <w:webHidden/>
          </w:rPr>
          <w:fldChar w:fldCharType="end"/>
        </w:r>
      </w:hyperlink>
    </w:p>
    <w:p w:rsidR="00383391" w:rsidRDefault="009F2160">
      <w:pPr>
        <w:pStyle w:val="Spistreci2"/>
        <w:tabs>
          <w:tab w:val="right" w:leader="dot" w:pos="9060"/>
        </w:tabs>
        <w:rPr>
          <w:rFonts w:asciiTheme="minorHAnsi" w:eastAsiaTheme="minorEastAsia" w:hAnsiTheme="minorHAnsi"/>
          <w:noProof/>
          <w:color w:val="auto"/>
          <w:lang w:eastAsia="pl-PL"/>
        </w:rPr>
      </w:pPr>
      <w:hyperlink w:anchor="_Toc287549991" w:history="1">
        <w:r w:rsidR="00383391" w:rsidRPr="005642DA">
          <w:rPr>
            <w:rStyle w:val="Hipercze"/>
            <w:noProof/>
          </w:rPr>
          <w:t>2.15. Dobór sprzętu gaśniczego</w:t>
        </w:r>
        <w:r w:rsidR="00383391">
          <w:rPr>
            <w:noProof/>
            <w:webHidden/>
          </w:rPr>
          <w:tab/>
        </w:r>
        <w:r w:rsidR="00B77461">
          <w:rPr>
            <w:noProof/>
            <w:webHidden/>
          </w:rPr>
          <w:fldChar w:fldCharType="begin"/>
        </w:r>
        <w:r w:rsidR="00383391">
          <w:rPr>
            <w:noProof/>
            <w:webHidden/>
          </w:rPr>
          <w:instrText xml:space="preserve"> PAGEREF _Toc287549991 \h </w:instrText>
        </w:r>
        <w:r w:rsidR="00B77461">
          <w:rPr>
            <w:noProof/>
            <w:webHidden/>
          </w:rPr>
        </w:r>
        <w:r w:rsidR="00B77461">
          <w:rPr>
            <w:noProof/>
            <w:webHidden/>
          </w:rPr>
          <w:fldChar w:fldCharType="separate"/>
        </w:r>
        <w:r w:rsidR="00383391">
          <w:rPr>
            <w:noProof/>
            <w:webHidden/>
          </w:rPr>
          <w:t>12</w:t>
        </w:r>
        <w:r w:rsidR="00B77461">
          <w:rPr>
            <w:noProof/>
            <w:webHidden/>
          </w:rPr>
          <w:fldChar w:fldCharType="end"/>
        </w:r>
      </w:hyperlink>
    </w:p>
    <w:p w:rsidR="00383391" w:rsidRDefault="009F2160">
      <w:pPr>
        <w:pStyle w:val="Spistreci2"/>
        <w:tabs>
          <w:tab w:val="right" w:leader="dot" w:pos="9060"/>
        </w:tabs>
        <w:rPr>
          <w:rFonts w:asciiTheme="minorHAnsi" w:eastAsiaTheme="minorEastAsia" w:hAnsiTheme="minorHAnsi"/>
          <w:noProof/>
          <w:color w:val="auto"/>
          <w:lang w:eastAsia="pl-PL"/>
        </w:rPr>
      </w:pPr>
      <w:hyperlink w:anchor="_Toc287549992" w:history="1">
        <w:r w:rsidR="00383391" w:rsidRPr="005642DA">
          <w:rPr>
            <w:rStyle w:val="Hipercze"/>
            <w:noProof/>
          </w:rPr>
          <w:t>2.16. Drogi pożarowe</w:t>
        </w:r>
        <w:r w:rsidR="00383391">
          <w:rPr>
            <w:noProof/>
            <w:webHidden/>
          </w:rPr>
          <w:tab/>
        </w:r>
        <w:r w:rsidR="00B77461">
          <w:rPr>
            <w:noProof/>
            <w:webHidden/>
          </w:rPr>
          <w:fldChar w:fldCharType="begin"/>
        </w:r>
        <w:r w:rsidR="00383391">
          <w:rPr>
            <w:noProof/>
            <w:webHidden/>
          </w:rPr>
          <w:instrText xml:space="preserve"> PAGEREF _Toc287549992 \h </w:instrText>
        </w:r>
        <w:r w:rsidR="00B77461">
          <w:rPr>
            <w:noProof/>
            <w:webHidden/>
          </w:rPr>
        </w:r>
        <w:r w:rsidR="00B77461">
          <w:rPr>
            <w:noProof/>
            <w:webHidden/>
          </w:rPr>
          <w:fldChar w:fldCharType="separate"/>
        </w:r>
        <w:r w:rsidR="00383391">
          <w:rPr>
            <w:noProof/>
            <w:webHidden/>
          </w:rPr>
          <w:t>12</w:t>
        </w:r>
        <w:r w:rsidR="00B77461">
          <w:rPr>
            <w:noProof/>
            <w:webHidden/>
          </w:rPr>
          <w:fldChar w:fldCharType="end"/>
        </w:r>
      </w:hyperlink>
    </w:p>
    <w:p w:rsidR="00383391" w:rsidRDefault="009F2160">
      <w:pPr>
        <w:pStyle w:val="Spistreci2"/>
        <w:tabs>
          <w:tab w:val="right" w:leader="dot" w:pos="9060"/>
        </w:tabs>
        <w:rPr>
          <w:rFonts w:asciiTheme="minorHAnsi" w:eastAsiaTheme="minorEastAsia" w:hAnsiTheme="minorHAnsi"/>
          <w:noProof/>
          <w:color w:val="auto"/>
          <w:lang w:eastAsia="pl-PL"/>
        </w:rPr>
      </w:pPr>
      <w:hyperlink w:anchor="_Toc287549993" w:history="1">
        <w:r w:rsidR="00383391" w:rsidRPr="005642DA">
          <w:rPr>
            <w:rStyle w:val="Hipercze"/>
            <w:noProof/>
          </w:rPr>
          <w:t>2.17. Organizacja ochrony przeciwpożarowej</w:t>
        </w:r>
        <w:r w:rsidR="00383391">
          <w:rPr>
            <w:noProof/>
            <w:webHidden/>
          </w:rPr>
          <w:tab/>
        </w:r>
        <w:r w:rsidR="00B77461">
          <w:rPr>
            <w:noProof/>
            <w:webHidden/>
          </w:rPr>
          <w:fldChar w:fldCharType="begin"/>
        </w:r>
        <w:r w:rsidR="00383391">
          <w:rPr>
            <w:noProof/>
            <w:webHidden/>
          </w:rPr>
          <w:instrText xml:space="preserve"> PAGEREF _Toc287549993 \h </w:instrText>
        </w:r>
        <w:r w:rsidR="00B77461">
          <w:rPr>
            <w:noProof/>
            <w:webHidden/>
          </w:rPr>
        </w:r>
        <w:r w:rsidR="00B77461">
          <w:rPr>
            <w:noProof/>
            <w:webHidden/>
          </w:rPr>
          <w:fldChar w:fldCharType="separate"/>
        </w:r>
        <w:r w:rsidR="00383391">
          <w:rPr>
            <w:noProof/>
            <w:webHidden/>
          </w:rPr>
          <w:t>13</w:t>
        </w:r>
        <w:r w:rsidR="00B77461">
          <w:rPr>
            <w:noProof/>
            <w:webHidden/>
          </w:rPr>
          <w:fldChar w:fldCharType="end"/>
        </w:r>
      </w:hyperlink>
    </w:p>
    <w:p w:rsidR="00383391" w:rsidRDefault="009F2160">
      <w:pPr>
        <w:pStyle w:val="Spistreci1"/>
        <w:tabs>
          <w:tab w:val="left" w:pos="440"/>
          <w:tab w:val="right" w:leader="dot" w:pos="9060"/>
        </w:tabs>
        <w:rPr>
          <w:rFonts w:asciiTheme="minorHAnsi" w:eastAsiaTheme="minorEastAsia" w:hAnsiTheme="minorHAnsi"/>
          <w:noProof/>
          <w:color w:val="auto"/>
          <w:lang w:eastAsia="pl-PL"/>
        </w:rPr>
      </w:pPr>
      <w:hyperlink w:anchor="_Toc287549994" w:history="1">
        <w:r w:rsidR="00383391" w:rsidRPr="005642DA">
          <w:rPr>
            <w:rStyle w:val="Hipercze"/>
            <w:noProof/>
          </w:rPr>
          <w:t>3.</w:t>
        </w:r>
        <w:r w:rsidR="00383391">
          <w:rPr>
            <w:rFonts w:asciiTheme="minorHAnsi" w:eastAsiaTheme="minorEastAsia" w:hAnsiTheme="minorHAnsi"/>
            <w:noProof/>
            <w:color w:val="auto"/>
            <w:lang w:eastAsia="pl-PL"/>
          </w:rPr>
          <w:tab/>
        </w:r>
        <w:r w:rsidR="00383391" w:rsidRPr="005642DA">
          <w:rPr>
            <w:rStyle w:val="Hipercze"/>
            <w:noProof/>
          </w:rPr>
          <w:t>Zakres niezgodności z przepisami</w:t>
        </w:r>
        <w:r w:rsidR="00383391">
          <w:rPr>
            <w:noProof/>
            <w:webHidden/>
          </w:rPr>
          <w:tab/>
        </w:r>
        <w:r w:rsidR="00B77461">
          <w:rPr>
            <w:noProof/>
            <w:webHidden/>
          </w:rPr>
          <w:fldChar w:fldCharType="begin"/>
        </w:r>
        <w:r w:rsidR="00383391">
          <w:rPr>
            <w:noProof/>
            <w:webHidden/>
          </w:rPr>
          <w:instrText xml:space="preserve"> PAGEREF _Toc287549994 \h </w:instrText>
        </w:r>
        <w:r w:rsidR="00B77461">
          <w:rPr>
            <w:noProof/>
            <w:webHidden/>
          </w:rPr>
        </w:r>
        <w:r w:rsidR="00B77461">
          <w:rPr>
            <w:noProof/>
            <w:webHidden/>
          </w:rPr>
          <w:fldChar w:fldCharType="separate"/>
        </w:r>
        <w:r w:rsidR="00383391">
          <w:rPr>
            <w:noProof/>
            <w:webHidden/>
          </w:rPr>
          <w:t>13</w:t>
        </w:r>
        <w:r w:rsidR="00B77461">
          <w:rPr>
            <w:noProof/>
            <w:webHidden/>
          </w:rPr>
          <w:fldChar w:fldCharType="end"/>
        </w:r>
      </w:hyperlink>
    </w:p>
    <w:p w:rsidR="00383391" w:rsidRDefault="009F2160">
      <w:pPr>
        <w:pStyle w:val="Spistreci2"/>
        <w:tabs>
          <w:tab w:val="right" w:leader="dot" w:pos="9060"/>
        </w:tabs>
        <w:rPr>
          <w:rFonts w:asciiTheme="minorHAnsi" w:eastAsiaTheme="minorEastAsia" w:hAnsiTheme="minorHAnsi"/>
          <w:noProof/>
          <w:color w:val="auto"/>
          <w:lang w:eastAsia="pl-PL"/>
        </w:rPr>
      </w:pPr>
      <w:hyperlink w:anchor="_Toc287549995" w:history="1">
        <w:r w:rsidR="00383391" w:rsidRPr="005642DA">
          <w:rPr>
            <w:rStyle w:val="Hipercze"/>
            <w:noProof/>
          </w:rPr>
          <w:t>3.1. Kwalifikacja budynku jako zagrażający życiu ludzi</w:t>
        </w:r>
        <w:r w:rsidR="00383391">
          <w:rPr>
            <w:noProof/>
            <w:webHidden/>
          </w:rPr>
          <w:tab/>
        </w:r>
        <w:r w:rsidR="00B77461">
          <w:rPr>
            <w:noProof/>
            <w:webHidden/>
          </w:rPr>
          <w:fldChar w:fldCharType="begin"/>
        </w:r>
        <w:r w:rsidR="00383391">
          <w:rPr>
            <w:noProof/>
            <w:webHidden/>
          </w:rPr>
          <w:instrText xml:space="preserve"> PAGEREF _Toc287549995 \h </w:instrText>
        </w:r>
        <w:r w:rsidR="00B77461">
          <w:rPr>
            <w:noProof/>
            <w:webHidden/>
          </w:rPr>
        </w:r>
        <w:r w:rsidR="00B77461">
          <w:rPr>
            <w:noProof/>
            <w:webHidden/>
          </w:rPr>
          <w:fldChar w:fldCharType="separate"/>
        </w:r>
        <w:r w:rsidR="00383391">
          <w:rPr>
            <w:noProof/>
            <w:webHidden/>
          </w:rPr>
          <w:t>13</w:t>
        </w:r>
        <w:r w:rsidR="00B77461">
          <w:rPr>
            <w:noProof/>
            <w:webHidden/>
          </w:rPr>
          <w:fldChar w:fldCharType="end"/>
        </w:r>
      </w:hyperlink>
    </w:p>
    <w:p w:rsidR="00383391" w:rsidRDefault="009F2160">
      <w:pPr>
        <w:pStyle w:val="Spistreci2"/>
        <w:tabs>
          <w:tab w:val="right" w:leader="dot" w:pos="9060"/>
        </w:tabs>
        <w:rPr>
          <w:rFonts w:asciiTheme="minorHAnsi" w:eastAsiaTheme="minorEastAsia" w:hAnsiTheme="minorHAnsi"/>
          <w:noProof/>
          <w:color w:val="auto"/>
          <w:lang w:eastAsia="pl-PL"/>
        </w:rPr>
      </w:pPr>
      <w:hyperlink w:anchor="_Toc287549996" w:history="1">
        <w:r w:rsidR="00383391" w:rsidRPr="005642DA">
          <w:rPr>
            <w:rStyle w:val="Hipercze"/>
            <w:noProof/>
            <w:lang w:bidi="en-US"/>
          </w:rPr>
          <w:t>3.2. Niezgodności w zakresie przepisów techniczno-budowlanych</w:t>
        </w:r>
        <w:r w:rsidR="00383391">
          <w:rPr>
            <w:noProof/>
            <w:webHidden/>
          </w:rPr>
          <w:tab/>
        </w:r>
        <w:r w:rsidR="00B77461">
          <w:rPr>
            <w:noProof/>
            <w:webHidden/>
          </w:rPr>
          <w:fldChar w:fldCharType="begin"/>
        </w:r>
        <w:r w:rsidR="00383391">
          <w:rPr>
            <w:noProof/>
            <w:webHidden/>
          </w:rPr>
          <w:instrText xml:space="preserve"> PAGEREF _Toc287549996 \h </w:instrText>
        </w:r>
        <w:r w:rsidR="00B77461">
          <w:rPr>
            <w:noProof/>
            <w:webHidden/>
          </w:rPr>
        </w:r>
        <w:r w:rsidR="00B77461">
          <w:rPr>
            <w:noProof/>
            <w:webHidden/>
          </w:rPr>
          <w:fldChar w:fldCharType="separate"/>
        </w:r>
        <w:r w:rsidR="00383391">
          <w:rPr>
            <w:noProof/>
            <w:webHidden/>
          </w:rPr>
          <w:t>14</w:t>
        </w:r>
        <w:r w:rsidR="00B77461">
          <w:rPr>
            <w:noProof/>
            <w:webHidden/>
          </w:rPr>
          <w:fldChar w:fldCharType="end"/>
        </w:r>
      </w:hyperlink>
    </w:p>
    <w:p w:rsidR="00383391" w:rsidRDefault="009F2160">
      <w:pPr>
        <w:pStyle w:val="Spistreci2"/>
        <w:tabs>
          <w:tab w:val="right" w:leader="dot" w:pos="9060"/>
        </w:tabs>
        <w:rPr>
          <w:rFonts w:asciiTheme="minorHAnsi" w:eastAsiaTheme="minorEastAsia" w:hAnsiTheme="minorHAnsi"/>
          <w:noProof/>
          <w:color w:val="auto"/>
          <w:lang w:eastAsia="pl-PL"/>
        </w:rPr>
      </w:pPr>
      <w:hyperlink w:anchor="_Toc287549997" w:history="1">
        <w:r w:rsidR="00383391" w:rsidRPr="005642DA">
          <w:rPr>
            <w:rStyle w:val="Hipercze"/>
            <w:noProof/>
          </w:rPr>
          <w:t>3.3. Niezgodności w zakresie przepisów przeciwpożarowych</w:t>
        </w:r>
        <w:r w:rsidR="00383391">
          <w:rPr>
            <w:noProof/>
            <w:webHidden/>
          </w:rPr>
          <w:tab/>
        </w:r>
        <w:r w:rsidR="00B77461">
          <w:rPr>
            <w:noProof/>
            <w:webHidden/>
          </w:rPr>
          <w:fldChar w:fldCharType="begin"/>
        </w:r>
        <w:r w:rsidR="00383391">
          <w:rPr>
            <w:noProof/>
            <w:webHidden/>
          </w:rPr>
          <w:instrText xml:space="preserve"> PAGEREF _Toc287549997 \h </w:instrText>
        </w:r>
        <w:r w:rsidR="00B77461">
          <w:rPr>
            <w:noProof/>
            <w:webHidden/>
          </w:rPr>
        </w:r>
        <w:r w:rsidR="00B77461">
          <w:rPr>
            <w:noProof/>
            <w:webHidden/>
          </w:rPr>
          <w:fldChar w:fldCharType="separate"/>
        </w:r>
        <w:r w:rsidR="00383391">
          <w:rPr>
            <w:noProof/>
            <w:webHidden/>
          </w:rPr>
          <w:t>15</w:t>
        </w:r>
        <w:r w:rsidR="00B77461">
          <w:rPr>
            <w:noProof/>
            <w:webHidden/>
          </w:rPr>
          <w:fldChar w:fldCharType="end"/>
        </w:r>
      </w:hyperlink>
    </w:p>
    <w:p w:rsidR="00383391" w:rsidRDefault="009F2160">
      <w:pPr>
        <w:pStyle w:val="Spistreci2"/>
        <w:tabs>
          <w:tab w:val="right" w:leader="dot" w:pos="9060"/>
        </w:tabs>
        <w:rPr>
          <w:rFonts w:asciiTheme="minorHAnsi" w:eastAsiaTheme="minorEastAsia" w:hAnsiTheme="minorHAnsi"/>
          <w:noProof/>
          <w:color w:val="auto"/>
          <w:lang w:eastAsia="pl-PL"/>
        </w:rPr>
      </w:pPr>
      <w:hyperlink w:anchor="_Toc287549998" w:history="1">
        <w:r w:rsidR="00383391" w:rsidRPr="005642DA">
          <w:rPr>
            <w:rStyle w:val="Hipercze"/>
            <w:noProof/>
          </w:rPr>
          <w:t xml:space="preserve">3.4. Wskazanie niezgodności w zakresie przepisów techniczno-budowlanych </w:t>
        </w:r>
        <w:r w:rsidR="00383391">
          <w:rPr>
            <w:rStyle w:val="Hipercze"/>
            <w:noProof/>
          </w:rPr>
          <w:t xml:space="preserve">                    </w:t>
        </w:r>
        <w:r w:rsidR="00383391" w:rsidRPr="005642DA">
          <w:rPr>
            <w:rStyle w:val="Hipercze"/>
            <w:noProof/>
          </w:rPr>
          <w:t>oraz przeciwpożarowych, które zostaną doprowadzone w budynku do stanu zgodnego        z przepisami</w:t>
        </w:r>
        <w:r w:rsidR="00383391">
          <w:rPr>
            <w:noProof/>
            <w:webHidden/>
          </w:rPr>
          <w:tab/>
        </w:r>
        <w:r w:rsidR="00B77461">
          <w:rPr>
            <w:noProof/>
            <w:webHidden/>
          </w:rPr>
          <w:fldChar w:fldCharType="begin"/>
        </w:r>
        <w:r w:rsidR="00383391">
          <w:rPr>
            <w:noProof/>
            <w:webHidden/>
          </w:rPr>
          <w:instrText xml:space="preserve"> PAGEREF _Toc287549998 \h </w:instrText>
        </w:r>
        <w:r w:rsidR="00B77461">
          <w:rPr>
            <w:noProof/>
            <w:webHidden/>
          </w:rPr>
        </w:r>
        <w:r w:rsidR="00B77461">
          <w:rPr>
            <w:noProof/>
            <w:webHidden/>
          </w:rPr>
          <w:fldChar w:fldCharType="separate"/>
        </w:r>
        <w:r w:rsidR="00383391">
          <w:rPr>
            <w:noProof/>
            <w:webHidden/>
          </w:rPr>
          <w:t>15</w:t>
        </w:r>
        <w:r w:rsidR="00B77461">
          <w:rPr>
            <w:noProof/>
            <w:webHidden/>
          </w:rPr>
          <w:fldChar w:fldCharType="end"/>
        </w:r>
      </w:hyperlink>
    </w:p>
    <w:p w:rsidR="00383391" w:rsidRDefault="009F2160">
      <w:pPr>
        <w:pStyle w:val="Spistreci2"/>
        <w:tabs>
          <w:tab w:val="right" w:leader="dot" w:pos="9060"/>
        </w:tabs>
        <w:rPr>
          <w:rFonts w:asciiTheme="minorHAnsi" w:eastAsiaTheme="minorEastAsia" w:hAnsiTheme="minorHAnsi"/>
          <w:noProof/>
          <w:color w:val="auto"/>
          <w:lang w:eastAsia="pl-PL"/>
        </w:rPr>
      </w:pPr>
      <w:hyperlink w:anchor="_Toc287549999" w:history="1">
        <w:r w:rsidR="00383391" w:rsidRPr="005642DA">
          <w:rPr>
            <w:rStyle w:val="Hipercze"/>
            <w:noProof/>
          </w:rPr>
          <w:t>3.4.1 W zakresie przepisów techniczno-budowlanych</w:t>
        </w:r>
        <w:r w:rsidR="00383391">
          <w:rPr>
            <w:noProof/>
            <w:webHidden/>
          </w:rPr>
          <w:tab/>
        </w:r>
        <w:r w:rsidR="00B77461">
          <w:rPr>
            <w:noProof/>
            <w:webHidden/>
          </w:rPr>
          <w:fldChar w:fldCharType="begin"/>
        </w:r>
        <w:r w:rsidR="00383391">
          <w:rPr>
            <w:noProof/>
            <w:webHidden/>
          </w:rPr>
          <w:instrText xml:space="preserve"> PAGEREF _Toc287549999 \h </w:instrText>
        </w:r>
        <w:r w:rsidR="00B77461">
          <w:rPr>
            <w:noProof/>
            <w:webHidden/>
          </w:rPr>
        </w:r>
        <w:r w:rsidR="00B77461">
          <w:rPr>
            <w:noProof/>
            <w:webHidden/>
          </w:rPr>
          <w:fldChar w:fldCharType="separate"/>
        </w:r>
        <w:r w:rsidR="00383391">
          <w:rPr>
            <w:noProof/>
            <w:webHidden/>
          </w:rPr>
          <w:t>15</w:t>
        </w:r>
        <w:r w:rsidR="00B77461">
          <w:rPr>
            <w:noProof/>
            <w:webHidden/>
          </w:rPr>
          <w:fldChar w:fldCharType="end"/>
        </w:r>
      </w:hyperlink>
    </w:p>
    <w:p w:rsidR="00383391" w:rsidRDefault="009F2160">
      <w:pPr>
        <w:pStyle w:val="Spistreci2"/>
        <w:tabs>
          <w:tab w:val="right" w:leader="dot" w:pos="9060"/>
        </w:tabs>
        <w:rPr>
          <w:rFonts w:asciiTheme="minorHAnsi" w:eastAsiaTheme="minorEastAsia" w:hAnsiTheme="minorHAnsi"/>
          <w:noProof/>
          <w:color w:val="auto"/>
          <w:lang w:eastAsia="pl-PL"/>
        </w:rPr>
      </w:pPr>
      <w:hyperlink w:anchor="_Toc287550000" w:history="1">
        <w:r w:rsidR="00383391" w:rsidRPr="005642DA">
          <w:rPr>
            <w:rStyle w:val="Hipercze"/>
            <w:noProof/>
          </w:rPr>
          <w:t>3.4.2. W zakresie przepisów przeciwpożarowych</w:t>
        </w:r>
        <w:r w:rsidR="00383391">
          <w:rPr>
            <w:noProof/>
            <w:webHidden/>
          </w:rPr>
          <w:tab/>
        </w:r>
        <w:r w:rsidR="00B77461">
          <w:rPr>
            <w:noProof/>
            <w:webHidden/>
          </w:rPr>
          <w:fldChar w:fldCharType="begin"/>
        </w:r>
        <w:r w:rsidR="00383391">
          <w:rPr>
            <w:noProof/>
            <w:webHidden/>
          </w:rPr>
          <w:instrText xml:space="preserve"> PAGEREF _Toc287550000 \h </w:instrText>
        </w:r>
        <w:r w:rsidR="00B77461">
          <w:rPr>
            <w:noProof/>
            <w:webHidden/>
          </w:rPr>
        </w:r>
        <w:r w:rsidR="00B77461">
          <w:rPr>
            <w:noProof/>
            <w:webHidden/>
          </w:rPr>
          <w:fldChar w:fldCharType="separate"/>
        </w:r>
        <w:r w:rsidR="00383391">
          <w:rPr>
            <w:noProof/>
            <w:webHidden/>
          </w:rPr>
          <w:t>17</w:t>
        </w:r>
        <w:r w:rsidR="00B77461">
          <w:rPr>
            <w:noProof/>
            <w:webHidden/>
          </w:rPr>
          <w:fldChar w:fldCharType="end"/>
        </w:r>
      </w:hyperlink>
    </w:p>
    <w:p w:rsidR="00383391" w:rsidRDefault="009F2160">
      <w:pPr>
        <w:pStyle w:val="Spistreci2"/>
        <w:tabs>
          <w:tab w:val="right" w:leader="dot" w:pos="9060"/>
        </w:tabs>
        <w:rPr>
          <w:rFonts w:asciiTheme="minorHAnsi" w:eastAsiaTheme="minorEastAsia" w:hAnsiTheme="minorHAnsi"/>
          <w:noProof/>
          <w:color w:val="auto"/>
          <w:lang w:eastAsia="pl-PL"/>
        </w:rPr>
      </w:pPr>
      <w:hyperlink w:anchor="_Toc287550001" w:history="1">
        <w:r w:rsidR="00383391" w:rsidRPr="005642DA">
          <w:rPr>
            <w:rStyle w:val="Hipercze"/>
            <w:noProof/>
          </w:rPr>
          <w:t xml:space="preserve">3.5. Wskazanie niezgodności w zakresie przepisów techniczno-budowlanych </w:t>
        </w:r>
        <w:r w:rsidR="00383391">
          <w:rPr>
            <w:rStyle w:val="Hipercze"/>
            <w:noProof/>
          </w:rPr>
          <w:t xml:space="preserve">                      </w:t>
        </w:r>
        <w:r w:rsidR="00383391" w:rsidRPr="005642DA">
          <w:rPr>
            <w:rStyle w:val="Hipercze"/>
            <w:noProof/>
          </w:rPr>
          <w:t>oraz przeciwpożarowych, które nie zostaną doprowadzone w budynku do stanu zgodnego z przepisami</w:t>
        </w:r>
        <w:r w:rsidR="00383391">
          <w:rPr>
            <w:noProof/>
            <w:webHidden/>
          </w:rPr>
          <w:tab/>
        </w:r>
        <w:r w:rsidR="00B77461">
          <w:rPr>
            <w:noProof/>
            <w:webHidden/>
          </w:rPr>
          <w:fldChar w:fldCharType="begin"/>
        </w:r>
        <w:r w:rsidR="00383391">
          <w:rPr>
            <w:noProof/>
            <w:webHidden/>
          </w:rPr>
          <w:instrText xml:space="preserve"> PAGEREF _Toc287550001 \h </w:instrText>
        </w:r>
        <w:r w:rsidR="00B77461">
          <w:rPr>
            <w:noProof/>
            <w:webHidden/>
          </w:rPr>
        </w:r>
        <w:r w:rsidR="00B77461">
          <w:rPr>
            <w:noProof/>
            <w:webHidden/>
          </w:rPr>
          <w:fldChar w:fldCharType="separate"/>
        </w:r>
        <w:r w:rsidR="00383391">
          <w:rPr>
            <w:noProof/>
            <w:webHidden/>
          </w:rPr>
          <w:t>17</w:t>
        </w:r>
        <w:r w:rsidR="00B77461">
          <w:rPr>
            <w:noProof/>
            <w:webHidden/>
          </w:rPr>
          <w:fldChar w:fldCharType="end"/>
        </w:r>
      </w:hyperlink>
    </w:p>
    <w:p w:rsidR="00383391" w:rsidRDefault="009F2160">
      <w:pPr>
        <w:pStyle w:val="Spistreci2"/>
        <w:tabs>
          <w:tab w:val="right" w:leader="dot" w:pos="9060"/>
        </w:tabs>
        <w:rPr>
          <w:rFonts w:asciiTheme="minorHAnsi" w:eastAsiaTheme="minorEastAsia" w:hAnsiTheme="minorHAnsi"/>
          <w:noProof/>
          <w:color w:val="auto"/>
          <w:lang w:eastAsia="pl-PL"/>
        </w:rPr>
      </w:pPr>
      <w:hyperlink w:anchor="_Toc287550002" w:history="1">
        <w:r w:rsidR="00383391" w:rsidRPr="005642DA">
          <w:rPr>
            <w:rStyle w:val="Hipercze"/>
            <w:noProof/>
          </w:rPr>
          <w:t>3.5.1. W zakresie przepisów techniczno-budowlanych</w:t>
        </w:r>
        <w:r w:rsidR="00383391">
          <w:rPr>
            <w:noProof/>
            <w:webHidden/>
          </w:rPr>
          <w:tab/>
        </w:r>
        <w:r w:rsidR="00B77461">
          <w:rPr>
            <w:noProof/>
            <w:webHidden/>
          </w:rPr>
          <w:fldChar w:fldCharType="begin"/>
        </w:r>
        <w:r w:rsidR="00383391">
          <w:rPr>
            <w:noProof/>
            <w:webHidden/>
          </w:rPr>
          <w:instrText xml:space="preserve"> PAGEREF _Toc287550002 \h </w:instrText>
        </w:r>
        <w:r w:rsidR="00B77461">
          <w:rPr>
            <w:noProof/>
            <w:webHidden/>
          </w:rPr>
        </w:r>
        <w:r w:rsidR="00B77461">
          <w:rPr>
            <w:noProof/>
            <w:webHidden/>
          </w:rPr>
          <w:fldChar w:fldCharType="separate"/>
        </w:r>
        <w:r w:rsidR="00383391">
          <w:rPr>
            <w:noProof/>
            <w:webHidden/>
          </w:rPr>
          <w:t>17</w:t>
        </w:r>
        <w:r w:rsidR="00B77461">
          <w:rPr>
            <w:noProof/>
            <w:webHidden/>
          </w:rPr>
          <w:fldChar w:fldCharType="end"/>
        </w:r>
      </w:hyperlink>
    </w:p>
    <w:p w:rsidR="00383391" w:rsidRDefault="009F2160">
      <w:pPr>
        <w:pStyle w:val="Spistreci2"/>
        <w:tabs>
          <w:tab w:val="right" w:leader="dot" w:pos="9060"/>
        </w:tabs>
        <w:rPr>
          <w:rFonts w:asciiTheme="minorHAnsi" w:eastAsiaTheme="minorEastAsia" w:hAnsiTheme="minorHAnsi"/>
          <w:noProof/>
          <w:color w:val="auto"/>
          <w:lang w:eastAsia="pl-PL"/>
        </w:rPr>
      </w:pPr>
      <w:hyperlink w:anchor="_Toc287550003" w:history="1">
        <w:r w:rsidR="00383391" w:rsidRPr="005642DA">
          <w:rPr>
            <w:rStyle w:val="Hipercze"/>
            <w:noProof/>
          </w:rPr>
          <w:t>3.5.2. W zakresie przepisów przeciwpożarowych</w:t>
        </w:r>
        <w:r w:rsidR="00383391">
          <w:rPr>
            <w:noProof/>
            <w:webHidden/>
          </w:rPr>
          <w:tab/>
        </w:r>
        <w:r w:rsidR="00B77461">
          <w:rPr>
            <w:noProof/>
            <w:webHidden/>
          </w:rPr>
          <w:fldChar w:fldCharType="begin"/>
        </w:r>
        <w:r w:rsidR="00383391">
          <w:rPr>
            <w:noProof/>
            <w:webHidden/>
          </w:rPr>
          <w:instrText xml:space="preserve"> PAGEREF _Toc287550003 \h </w:instrText>
        </w:r>
        <w:r w:rsidR="00B77461">
          <w:rPr>
            <w:noProof/>
            <w:webHidden/>
          </w:rPr>
        </w:r>
        <w:r w:rsidR="00B77461">
          <w:rPr>
            <w:noProof/>
            <w:webHidden/>
          </w:rPr>
          <w:fldChar w:fldCharType="separate"/>
        </w:r>
        <w:r w:rsidR="00383391">
          <w:rPr>
            <w:noProof/>
            <w:webHidden/>
          </w:rPr>
          <w:t>18</w:t>
        </w:r>
        <w:r w:rsidR="00B77461">
          <w:rPr>
            <w:noProof/>
            <w:webHidden/>
          </w:rPr>
          <w:fldChar w:fldCharType="end"/>
        </w:r>
      </w:hyperlink>
    </w:p>
    <w:p w:rsidR="00383391" w:rsidRDefault="009F2160">
      <w:pPr>
        <w:pStyle w:val="Spistreci1"/>
        <w:tabs>
          <w:tab w:val="left" w:pos="440"/>
          <w:tab w:val="right" w:leader="dot" w:pos="9060"/>
        </w:tabs>
        <w:rPr>
          <w:rFonts w:asciiTheme="minorHAnsi" w:eastAsiaTheme="minorEastAsia" w:hAnsiTheme="minorHAnsi"/>
          <w:noProof/>
          <w:color w:val="auto"/>
          <w:lang w:eastAsia="pl-PL"/>
        </w:rPr>
      </w:pPr>
      <w:hyperlink w:anchor="_Toc287550004" w:history="1">
        <w:r w:rsidR="00383391" w:rsidRPr="005642DA">
          <w:rPr>
            <w:rStyle w:val="Hipercze"/>
            <w:noProof/>
          </w:rPr>
          <w:t>4.</w:t>
        </w:r>
        <w:r w:rsidR="00383391">
          <w:rPr>
            <w:rFonts w:asciiTheme="minorHAnsi" w:eastAsiaTheme="minorEastAsia" w:hAnsiTheme="minorHAnsi"/>
            <w:noProof/>
            <w:color w:val="auto"/>
            <w:lang w:eastAsia="pl-PL"/>
          </w:rPr>
          <w:tab/>
        </w:r>
        <w:r w:rsidR="00383391" w:rsidRPr="005642DA">
          <w:rPr>
            <w:rStyle w:val="Hipercze"/>
            <w:noProof/>
          </w:rPr>
          <w:t>Przyjęte rozwiązania (ponadstandardowe</w:t>
        </w:r>
        <w:r w:rsidR="00383391">
          <w:rPr>
            <w:rStyle w:val="Hipercze"/>
            <w:noProof/>
          </w:rPr>
          <w:t xml:space="preserve">) zastępcze </w:t>
        </w:r>
        <w:r w:rsidR="00383391" w:rsidRPr="005642DA">
          <w:rPr>
            <w:rStyle w:val="Hipercze"/>
            <w:noProof/>
          </w:rPr>
          <w:t>oraz zamienne</w:t>
        </w:r>
        <w:r w:rsidR="00383391">
          <w:rPr>
            <w:noProof/>
            <w:webHidden/>
          </w:rPr>
          <w:tab/>
        </w:r>
        <w:r w:rsidR="00B77461">
          <w:rPr>
            <w:noProof/>
            <w:webHidden/>
          </w:rPr>
          <w:fldChar w:fldCharType="begin"/>
        </w:r>
        <w:r w:rsidR="00383391">
          <w:rPr>
            <w:noProof/>
            <w:webHidden/>
          </w:rPr>
          <w:instrText xml:space="preserve"> PAGEREF _Toc287550004 \h </w:instrText>
        </w:r>
        <w:r w:rsidR="00B77461">
          <w:rPr>
            <w:noProof/>
            <w:webHidden/>
          </w:rPr>
        </w:r>
        <w:r w:rsidR="00B77461">
          <w:rPr>
            <w:noProof/>
            <w:webHidden/>
          </w:rPr>
          <w:fldChar w:fldCharType="separate"/>
        </w:r>
        <w:r w:rsidR="00383391">
          <w:rPr>
            <w:noProof/>
            <w:webHidden/>
          </w:rPr>
          <w:t>18</w:t>
        </w:r>
        <w:r w:rsidR="00B77461">
          <w:rPr>
            <w:noProof/>
            <w:webHidden/>
          </w:rPr>
          <w:fldChar w:fldCharType="end"/>
        </w:r>
      </w:hyperlink>
    </w:p>
    <w:p w:rsidR="00383391" w:rsidRDefault="009F2160">
      <w:pPr>
        <w:pStyle w:val="Spistreci2"/>
        <w:tabs>
          <w:tab w:val="right" w:leader="dot" w:pos="9060"/>
        </w:tabs>
        <w:rPr>
          <w:rFonts w:asciiTheme="minorHAnsi" w:eastAsiaTheme="minorEastAsia" w:hAnsiTheme="minorHAnsi"/>
          <w:noProof/>
          <w:color w:val="auto"/>
          <w:lang w:eastAsia="pl-PL"/>
        </w:rPr>
      </w:pPr>
      <w:hyperlink w:anchor="_Toc287550005" w:history="1">
        <w:r w:rsidR="00383391" w:rsidRPr="005642DA">
          <w:rPr>
            <w:rStyle w:val="Hipercze"/>
            <w:noProof/>
          </w:rPr>
          <w:t>4.1. Rozwiązania zastępcze</w:t>
        </w:r>
        <w:r w:rsidR="00383391">
          <w:rPr>
            <w:noProof/>
            <w:webHidden/>
          </w:rPr>
          <w:tab/>
        </w:r>
        <w:r w:rsidR="00B77461">
          <w:rPr>
            <w:noProof/>
            <w:webHidden/>
          </w:rPr>
          <w:fldChar w:fldCharType="begin"/>
        </w:r>
        <w:r w:rsidR="00383391">
          <w:rPr>
            <w:noProof/>
            <w:webHidden/>
          </w:rPr>
          <w:instrText xml:space="preserve"> PAGEREF _Toc287550005 \h </w:instrText>
        </w:r>
        <w:r w:rsidR="00B77461">
          <w:rPr>
            <w:noProof/>
            <w:webHidden/>
          </w:rPr>
        </w:r>
        <w:r w:rsidR="00B77461">
          <w:rPr>
            <w:noProof/>
            <w:webHidden/>
          </w:rPr>
          <w:fldChar w:fldCharType="separate"/>
        </w:r>
        <w:r w:rsidR="00383391">
          <w:rPr>
            <w:noProof/>
            <w:webHidden/>
          </w:rPr>
          <w:t>18</w:t>
        </w:r>
        <w:r w:rsidR="00B77461">
          <w:rPr>
            <w:noProof/>
            <w:webHidden/>
          </w:rPr>
          <w:fldChar w:fldCharType="end"/>
        </w:r>
      </w:hyperlink>
    </w:p>
    <w:p w:rsidR="00383391" w:rsidRDefault="009F2160">
      <w:pPr>
        <w:pStyle w:val="Spistreci2"/>
        <w:tabs>
          <w:tab w:val="right" w:leader="dot" w:pos="9060"/>
        </w:tabs>
        <w:rPr>
          <w:rFonts w:asciiTheme="minorHAnsi" w:eastAsiaTheme="minorEastAsia" w:hAnsiTheme="minorHAnsi"/>
          <w:noProof/>
          <w:color w:val="auto"/>
          <w:lang w:eastAsia="pl-PL"/>
        </w:rPr>
      </w:pPr>
      <w:hyperlink w:anchor="_Toc287550006" w:history="1">
        <w:r w:rsidR="00383391" w:rsidRPr="005642DA">
          <w:rPr>
            <w:rStyle w:val="Hipercze"/>
            <w:noProof/>
          </w:rPr>
          <w:t>4.2. Rozwiązania zamienne</w:t>
        </w:r>
        <w:r w:rsidR="00383391">
          <w:rPr>
            <w:noProof/>
            <w:webHidden/>
          </w:rPr>
          <w:tab/>
        </w:r>
        <w:r w:rsidR="00B77461">
          <w:rPr>
            <w:noProof/>
            <w:webHidden/>
          </w:rPr>
          <w:fldChar w:fldCharType="begin"/>
        </w:r>
        <w:r w:rsidR="00383391">
          <w:rPr>
            <w:noProof/>
            <w:webHidden/>
          </w:rPr>
          <w:instrText xml:space="preserve"> PAGEREF _Toc287550006 \h </w:instrText>
        </w:r>
        <w:r w:rsidR="00B77461">
          <w:rPr>
            <w:noProof/>
            <w:webHidden/>
          </w:rPr>
        </w:r>
        <w:r w:rsidR="00B77461">
          <w:rPr>
            <w:noProof/>
            <w:webHidden/>
          </w:rPr>
          <w:fldChar w:fldCharType="separate"/>
        </w:r>
        <w:r w:rsidR="00383391">
          <w:rPr>
            <w:noProof/>
            <w:webHidden/>
          </w:rPr>
          <w:t>18</w:t>
        </w:r>
        <w:r w:rsidR="00B77461">
          <w:rPr>
            <w:noProof/>
            <w:webHidden/>
          </w:rPr>
          <w:fldChar w:fldCharType="end"/>
        </w:r>
      </w:hyperlink>
    </w:p>
    <w:p w:rsidR="00383391" w:rsidRDefault="009F2160">
      <w:pPr>
        <w:pStyle w:val="Spistreci1"/>
        <w:tabs>
          <w:tab w:val="left" w:pos="440"/>
          <w:tab w:val="right" w:leader="dot" w:pos="9060"/>
        </w:tabs>
        <w:rPr>
          <w:rFonts w:asciiTheme="minorHAnsi" w:eastAsiaTheme="minorEastAsia" w:hAnsiTheme="minorHAnsi"/>
          <w:noProof/>
          <w:color w:val="auto"/>
          <w:lang w:eastAsia="pl-PL"/>
        </w:rPr>
      </w:pPr>
      <w:hyperlink w:anchor="_Toc287550007" w:history="1">
        <w:r w:rsidR="00383391" w:rsidRPr="005642DA">
          <w:rPr>
            <w:rStyle w:val="Hipercze"/>
            <w:noProof/>
          </w:rPr>
          <w:t>5.</w:t>
        </w:r>
        <w:r w:rsidR="00383391">
          <w:rPr>
            <w:rFonts w:asciiTheme="minorHAnsi" w:eastAsiaTheme="minorEastAsia" w:hAnsiTheme="minorHAnsi"/>
            <w:noProof/>
            <w:color w:val="auto"/>
            <w:lang w:eastAsia="pl-PL"/>
          </w:rPr>
          <w:tab/>
        </w:r>
        <w:r w:rsidR="00383391" w:rsidRPr="005642DA">
          <w:rPr>
            <w:rStyle w:val="Hipercze"/>
            <w:noProof/>
          </w:rPr>
          <w:t>Analiza i ocena wpływu rozwiązań zastępczych i zamiennych na poziom bezpieczeństwa pożarowego</w:t>
        </w:r>
        <w:r w:rsidR="00383391">
          <w:rPr>
            <w:noProof/>
            <w:webHidden/>
          </w:rPr>
          <w:tab/>
        </w:r>
        <w:r w:rsidR="00B77461">
          <w:rPr>
            <w:noProof/>
            <w:webHidden/>
          </w:rPr>
          <w:fldChar w:fldCharType="begin"/>
        </w:r>
        <w:r w:rsidR="00383391">
          <w:rPr>
            <w:noProof/>
            <w:webHidden/>
          </w:rPr>
          <w:instrText xml:space="preserve"> PAGEREF _Toc287550007 \h </w:instrText>
        </w:r>
        <w:r w:rsidR="00B77461">
          <w:rPr>
            <w:noProof/>
            <w:webHidden/>
          </w:rPr>
        </w:r>
        <w:r w:rsidR="00B77461">
          <w:rPr>
            <w:noProof/>
            <w:webHidden/>
          </w:rPr>
          <w:fldChar w:fldCharType="separate"/>
        </w:r>
        <w:r w:rsidR="00383391">
          <w:rPr>
            <w:noProof/>
            <w:webHidden/>
          </w:rPr>
          <w:t>19</w:t>
        </w:r>
        <w:r w:rsidR="00B77461">
          <w:rPr>
            <w:noProof/>
            <w:webHidden/>
          </w:rPr>
          <w:fldChar w:fldCharType="end"/>
        </w:r>
      </w:hyperlink>
    </w:p>
    <w:p w:rsidR="00383391" w:rsidRDefault="009F2160">
      <w:pPr>
        <w:pStyle w:val="Spistreci2"/>
        <w:tabs>
          <w:tab w:val="right" w:leader="dot" w:pos="9060"/>
        </w:tabs>
        <w:rPr>
          <w:rFonts w:asciiTheme="minorHAnsi" w:eastAsiaTheme="minorEastAsia" w:hAnsiTheme="minorHAnsi"/>
          <w:noProof/>
          <w:color w:val="auto"/>
          <w:lang w:eastAsia="pl-PL"/>
        </w:rPr>
      </w:pPr>
      <w:hyperlink w:anchor="_Toc287550008" w:history="1">
        <w:r w:rsidR="00383391" w:rsidRPr="005642DA">
          <w:rPr>
            <w:rStyle w:val="Hipercze"/>
            <w:noProof/>
          </w:rPr>
          <w:t>5.1. Warunki bezpiecznej ewakuacji</w:t>
        </w:r>
        <w:r w:rsidR="00383391">
          <w:rPr>
            <w:noProof/>
            <w:webHidden/>
          </w:rPr>
          <w:tab/>
        </w:r>
        <w:r w:rsidR="00B77461">
          <w:rPr>
            <w:noProof/>
            <w:webHidden/>
          </w:rPr>
          <w:fldChar w:fldCharType="begin"/>
        </w:r>
        <w:r w:rsidR="00383391">
          <w:rPr>
            <w:noProof/>
            <w:webHidden/>
          </w:rPr>
          <w:instrText xml:space="preserve"> PAGEREF _Toc287550008 \h </w:instrText>
        </w:r>
        <w:r w:rsidR="00B77461">
          <w:rPr>
            <w:noProof/>
            <w:webHidden/>
          </w:rPr>
        </w:r>
        <w:r w:rsidR="00B77461">
          <w:rPr>
            <w:noProof/>
            <w:webHidden/>
          </w:rPr>
          <w:fldChar w:fldCharType="separate"/>
        </w:r>
        <w:r w:rsidR="00383391">
          <w:rPr>
            <w:noProof/>
            <w:webHidden/>
          </w:rPr>
          <w:t>19</w:t>
        </w:r>
        <w:r w:rsidR="00B77461">
          <w:rPr>
            <w:noProof/>
            <w:webHidden/>
          </w:rPr>
          <w:fldChar w:fldCharType="end"/>
        </w:r>
      </w:hyperlink>
    </w:p>
    <w:p w:rsidR="00383391" w:rsidRDefault="009F2160">
      <w:pPr>
        <w:pStyle w:val="Spistreci2"/>
        <w:tabs>
          <w:tab w:val="right" w:leader="dot" w:pos="9060"/>
        </w:tabs>
        <w:rPr>
          <w:rFonts w:asciiTheme="minorHAnsi" w:eastAsiaTheme="minorEastAsia" w:hAnsiTheme="minorHAnsi"/>
          <w:noProof/>
          <w:color w:val="auto"/>
          <w:lang w:eastAsia="pl-PL"/>
        </w:rPr>
      </w:pPr>
      <w:hyperlink w:anchor="_Toc287550009" w:history="1">
        <w:r w:rsidR="00383391" w:rsidRPr="005642DA">
          <w:rPr>
            <w:rStyle w:val="Hipercze"/>
            <w:noProof/>
          </w:rPr>
          <w:t>5.2. Warunki prowadzenia akcji ratowniczo-gaśniczej</w:t>
        </w:r>
        <w:r w:rsidR="00383391">
          <w:rPr>
            <w:noProof/>
            <w:webHidden/>
          </w:rPr>
          <w:tab/>
        </w:r>
        <w:r w:rsidR="00B77461">
          <w:rPr>
            <w:noProof/>
            <w:webHidden/>
          </w:rPr>
          <w:fldChar w:fldCharType="begin"/>
        </w:r>
        <w:r w:rsidR="00383391">
          <w:rPr>
            <w:noProof/>
            <w:webHidden/>
          </w:rPr>
          <w:instrText xml:space="preserve"> PAGEREF _Toc287550009 \h </w:instrText>
        </w:r>
        <w:r w:rsidR="00B77461">
          <w:rPr>
            <w:noProof/>
            <w:webHidden/>
          </w:rPr>
        </w:r>
        <w:r w:rsidR="00B77461">
          <w:rPr>
            <w:noProof/>
            <w:webHidden/>
          </w:rPr>
          <w:fldChar w:fldCharType="separate"/>
        </w:r>
        <w:r w:rsidR="00383391">
          <w:rPr>
            <w:noProof/>
            <w:webHidden/>
          </w:rPr>
          <w:t>22</w:t>
        </w:r>
        <w:r w:rsidR="00B77461">
          <w:rPr>
            <w:noProof/>
            <w:webHidden/>
          </w:rPr>
          <w:fldChar w:fldCharType="end"/>
        </w:r>
      </w:hyperlink>
    </w:p>
    <w:p w:rsidR="00383391" w:rsidRDefault="009F2160">
      <w:pPr>
        <w:pStyle w:val="Spistreci2"/>
        <w:tabs>
          <w:tab w:val="right" w:leader="dot" w:pos="9060"/>
        </w:tabs>
        <w:rPr>
          <w:rFonts w:asciiTheme="minorHAnsi" w:eastAsiaTheme="minorEastAsia" w:hAnsiTheme="minorHAnsi"/>
          <w:noProof/>
          <w:color w:val="auto"/>
          <w:lang w:eastAsia="pl-PL"/>
        </w:rPr>
      </w:pPr>
      <w:hyperlink w:anchor="_Toc287550010" w:history="1">
        <w:r w:rsidR="00383391" w:rsidRPr="005642DA">
          <w:rPr>
            <w:rStyle w:val="Hipercze"/>
            <w:noProof/>
          </w:rPr>
          <w:t>5.3. Bezpieczeństwo konstrukcji</w:t>
        </w:r>
        <w:r w:rsidR="00383391">
          <w:rPr>
            <w:noProof/>
            <w:webHidden/>
          </w:rPr>
          <w:tab/>
        </w:r>
        <w:r w:rsidR="00B77461">
          <w:rPr>
            <w:noProof/>
            <w:webHidden/>
          </w:rPr>
          <w:fldChar w:fldCharType="begin"/>
        </w:r>
        <w:r w:rsidR="00383391">
          <w:rPr>
            <w:noProof/>
            <w:webHidden/>
          </w:rPr>
          <w:instrText xml:space="preserve"> PAGEREF _Toc287550010 \h </w:instrText>
        </w:r>
        <w:r w:rsidR="00B77461">
          <w:rPr>
            <w:noProof/>
            <w:webHidden/>
          </w:rPr>
        </w:r>
        <w:r w:rsidR="00B77461">
          <w:rPr>
            <w:noProof/>
            <w:webHidden/>
          </w:rPr>
          <w:fldChar w:fldCharType="separate"/>
        </w:r>
        <w:r w:rsidR="00383391">
          <w:rPr>
            <w:noProof/>
            <w:webHidden/>
          </w:rPr>
          <w:t>22</w:t>
        </w:r>
        <w:r w:rsidR="00B77461">
          <w:rPr>
            <w:noProof/>
            <w:webHidden/>
          </w:rPr>
          <w:fldChar w:fldCharType="end"/>
        </w:r>
      </w:hyperlink>
    </w:p>
    <w:p w:rsidR="00383391" w:rsidRDefault="009F2160">
      <w:pPr>
        <w:pStyle w:val="Spistreci1"/>
        <w:tabs>
          <w:tab w:val="left" w:pos="440"/>
          <w:tab w:val="right" w:leader="dot" w:pos="9060"/>
        </w:tabs>
        <w:rPr>
          <w:rFonts w:asciiTheme="minorHAnsi" w:eastAsiaTheme="minorEastAsia" w:hAnsiTheme="minorHAnsi"/>
          <w:noProof/>
          <w:color w:val="auto"/>
          <w:lang w:eastAsia="pl-PL"/>
        </w:rPr>
      </w:pPr>
      <w:hyperlink w:anchor="_Toc287550011" w:history="1">
        <w:r w:rsidR="00383391" w:rsidRPr="005642DA">
          <w:rPr>
            <w:rStyle w:val="Hipercze"/>
            <w:noProof/>
          </w:rPr>
          <w:t>6.</w:t>
        </w:r>
        <w:r w:rsidR="00383391">
          <w:rPr>
            <w:rFonts w:asciiTheme="minorHAnsi" w:eastAsiaTheme="minorEastAsia" w:hAnsiTheme="minorHAnsi"/>
            <w:noProof/>
            <w:color w:val="auto"/>
            <w:lang w:eastAsia="pl-PL"/>
          </w:rPr>
          <w:tab/>
        </w:r>
        <w:r w:rsidR="00383391" w:rsidRPr="005642DA">
          <w:rPr>
            <w:rStyle w:val="Hipercze"/>
            <w:noProof/>
          </w:rPr>
          <w:t>Wnioski</w:t>
        </w:r>
        <w:r w:rsidR="00383391">
          <w:rPr>
            <w:noProof/>
            <w:webHidden/>
          </w:rPr>
          <w:tab/>
        </w:r>
        <w:r w:rsidR="00B77461">
          <w:rPr>
            <w:noProof/>
            <w:webHidden/>
          </w:rPr>
          <w:fldChar w:fldCharType="begin"/>
        </w:r>
        <w:r w:rsidR="00383391">
          <w:rPr>
            <w:noProof/>
            <w:webHidden/>
          </w:rPr>
          <w:instrText xml:space="preserve"> PAGEREF _Toc287550011 \h </w:instrText>
        </w:r>
        <w:r w:rsidR="00B77461">
          <w:rPr>
            <w:noProof/>
            <w:webHidden/>
          </w:rPr>
        </w:r>
        <w:r w:rsidR="00B77461">
          <w:rPr>
            <w:noProof/>
            <w:webHidden/>
          </w:rPr>
          <w:fldChar w:fldCharType="separate"/>
        </w:r>
        <w:r w:rsidR="00383391">
          <w:rPr>
            <w:noProof/>
            <w:webHidden/>
          </w:rPr>
          <w:t>23</w:t>
        </w:r>
        <w:r w:rsidR="00B77461">
          <w:rPr>
            <w:noProof/>
            <w:webHidden/>
          </w:rPr>
          <w:fldChar w:fldCharType="end"/>
        </w:r>
      </w:hyperlink>
    </w:p>
    <w:p w:rsidR="00383391" w:rsidRDefault="009F2160">
      <w:pPr>
        <w:pStyle w:val="Spistreci1"/>
        <w:tabs>
          <w:tab w:val="right" w:leader="dot" w:pos="9060"/>
        </w:tabs>
        <w:rPr>
          <w:rFonts w:asciiTheme="minorHAnsi" w:eastAsiaTheme="minorEastAsia" w:hAnsiTheme="minorHAnsi"/>
          <w:noProof/>
          <w:color w:val="auto"/>
          <w:lang w:eastAsia="pl-PL"/>
        </w:rPr>
      </w:pPr>
      <w:hyperlink w:anchor="_Toc287550012" w:history="1">
        <w:r w:rsidR="00383391" w:rsidRPr="005642DA">
          <w:rPr>
            <w:rStyle w:val="Hipercze"/>
            <w:noProof/>
          </w:rPr>
          <w:t>7. Załączniki</w:t>
        </w:r>
        <w:r w:rsidR="00383391">
          <w:rPr>
            <w:noProof/>
            <w:webHidden/>
          </w:rPr>
          <w:tab/>
        </w:r>
        <w:r w:rsidR="00B77461">
          <w:rPr>
            <w:noProof/>
            <w:webHidden/>
          </w:rPr>
          <w:fldChar w:fldCharType="begin"/>
        </w:r>
        <w:r w:rsidR="00383391">
          <w:rPr>
            <w:noProof/>
            <w:webHidden/>
          </w:rPr>
          <w:instrText xml:space="preserve"> PAGEREF _Toc287550012 \h </w:instrText>
        </w:r>
        <w:r w:rsidR="00B77461">
          <w:rPr>
            <w:noProof/>
            <w:webHidden/>
          </w:rPr>
        </w:r>
        <w:r w:rsidR="00B77461">
          <w:rPr>
            <w:noProof/>
            <w:webHidden/>
          </w:rPr>
          <w:fldChar w:fldCharType="separate"/>
        </w:r>
        <w:r w:rsidR="00383391">
          <w:rPr>
            <w:noProof/>
            <w:webHidden/>
          </w:rPr>
          <w:t>23</w:t>
        </w:r>
        <w:r w:rsidR="00B77461">
          <w:rPr>
            <w:noProof/>
            <w:webHidden/>
          </w:rPr>
          <w:fldChar w:fldCharType="end"/>
        </w:r>
      </w:hyperlink>
    </w:p>
    <w:p w:rsidR="00542F19" w:rsidRDefault="00B77461" w:rsidP="00222795">
      <w:r>
        <w:fldChar w:fldCharType="end"/>
      </w:r>
    </w:p>
    <w:p w:rsidR="00542F19" w:rsidRDefault="00542F19" w:rsidP="00222795"/>
    <w:p w:rsidR="00542F19" w:rsidRDefault="00542F19" w:rsidP="00222795"/>
    <w:p w:rsidR="00542F19" w:rsidRDefault="00542F19" w:rsidP="00222795"/>
    <w:p w:rsidR="00542F19" w:rsidRDefault="00542F19" w:rsidP="00222795"/>
    <w:p w:rsidR="00542F19" w:rsidRDefault="00542F19" w:rsidP="00222795"/>
    <w:p w:rsidR="00542F19" w:rsidRDefault="00542F19" w:rsidP="00222795"/>
    <w:p w:rsidR="00542F19" w:rsidRDefault="00542F19" w:rsidP="00222795"/>
    <w:p w:rsidR="00542F19" w:rsidRDefault="00542F19" w:rsidP="00222795"/>
    <w:p w:rsidR="00542F19" w:rsidRDefault="00542F19" w:rsidP="00222795"/>
    <w:p w:rsidR="00542F19" w:rsidRDefault="00542F19" w:rsidP="00222795"/>
    <w:p w:rsidR="00542F19" w:rsidRDefault="00542F19" w:rsidP="00222795"/>
    <w:p w:rsidR="00542F19" w:rsidRDefault="00542F19" w:rsidP="00222795"/>
    <w:p w:rsidR="00542F19" w:rsidRDefault="00542F19" w:rsidP="00222795"/>
    <w:p w:rsidR="00542F19" w:rsidRDefault="00542F19" w:rsidP="00222795"/>
    <w:p w:rsidR="00542F19" w:rsidRDefault="00542F19" w:rsidP="00222795"/>
    <w:p w:rsidR="00542F19" w:rsidRDefault="00542F19" w:rsidP="00222795"/>
    <w:p w:rsidR="00542F19" w:rsidRDefault="00542F19" w:rsidP="00222795"/>
    <w:p w:rsidR="00F03427" w:rsidRDefault="00F03427" w:rsidP="002F6478">
      <w:pPr>
        <w:pStyle w:val="Nagwek1"/>
        <w:numPr>
          <w:ilvl w:val="0"/>
          <w:numId w:val="1"/>
        </w:numPr>
      </w:pPr>
      <w:bookmarkStart w:id="1" w:name="_Toc287549974"/>
      <w:r>
        <w:lastRenderedPageBreak/>
        <w:t>Informacje wstępne</w:t>
      </w:r>
      <w:bookmarkEnd w:id="1"/>
    </w:p>
    <w:p w:rsidR="00ED59CF" w:rsidRPr="00ED59CF" w:rsidRDefault="00ED59CF" w:rsidP="00ED59CF"/>
    <w:p w:rsidR="00ED59CF" w:rsidRPr="004C1FE5" w:rsidRDefault="00F521F1" w:rsidP="00ED59CF">
      <w:r>
        <w:tab/>
      </w:r>
      <w:r w:rsidR="00ED59CF">
        <w:t>Ekspertyza techniczna dotycząca stanu ochrony przeciwpożarowej</w:t>
      </w:r>
      <w:r w:rsidR="00ED59CF" w:rsidRPr="004C1FE5">
        <w:t xml:space="preserve">, zwana dalej </w:t>
      </w:r>
      <w:r w:rsidR="00ED59CF">
        <w:t>ekspertyzą,</w:t>
      </w:r>
      <w:r w:rsidR="00ED59CF" w:rsidRPr="004C1FE5">
        <w:t xml:space="preserve"> została opracowana dla budynku </w:t>
      </w:r>
      <w:r>
        <w:t>Wydziału Biologii i Nauk o Ziemi UMCS                 w Lublinie</w:t>
      </w:r>
      <w:r w:rsidR="00ED59CF" w:rsidRPr="004C1FE5">
        <w:t xml:space="preserve">. </w:t>
      </w:r>
      <w:r w:rsidR="00ED59CF">
        <w:t>Ekspertyzę</w:t>
      </w:r>
      <w:r w:rsidR="00ED59CF" w:rsidRPr="004C1FE5">
        <w:t xml:space="preserve"> opracowano na </w:t>
      </w:r>
      <w:r w:rsidR="00103344">
        <w:t xml:space="preserve">podstawie umowy nr 05/01/2011 </w:t>
      </w:r>
      <w:r w:rsidR="00ED59CF">
        <w:t xml:space="preserve">zawartej </w:t>
      </w:r>
      <w:r w:rsidR="00103344">
        <w:t xml:space="preserve">                    31.01.2011r.</w:t>
      </w:r>
      <w:r w:rsidR="00ED59CF">
        <w:t xml:space="preserve"> pomiędzy</w:t>
      </w:r>
      <w:r w:rsidR="00103344">
        <w:t xml:space="preserve"> </w:t>
      </w:r>
      <w:r w:rsidR="00305E18">
        <w:t xml:space="preserve">Uniwersytetem Marii Curie-Skłodowskiej w Lublinie </w:t>
      </w:r>
      <w:r w:rsidR="00ED59CF">
        <w:t>a firmą „Supon”</w:t>
      </w:r>
      <w:r>
        <w:t xml:space="preserve">, </w:t>
      </w:r>
      <w:r w:rsidR="00ED59CF">
        <w:t xml:space="preserve">w </w:t>
      </w:r>
      <w:r w:rsidR="00305E18">
        <w:t>związku z dostosowaniem budynku</w:t>
      </w:r>
      <w:r>
        <w:t xml:space="preserve"> </w:t>
      </w:r>
      <w:r w:rsidR="00ED59CF">
        <w:t>do wy</w:t>
      </w:r>
      <w:r>
        <w:t xml:space="preserve">magań bezpieczeństwa pożarowego </w:t>
      </w:r>
      <w:r w:rsidR="00ED59CF">
        <w:t>w zakresie warunków techniczno</w:t>
      </w:r>
      <w:r w:rsidR="00DB5884">
        <w:t xml:space="preserve"> </w:t>
      </w:r>
      <w:r w:rsidR="00ED59CF" w:rsidRPr="00677F68">
        <w:t>–</w:t>
      </w:r>
      <w:r w:rsidR="00DB5884">
        <w:t xml:space="preserve"> </w:t>
      </w:r>
      <w:r w:rsidR="00ED59CF">
        <w:t>budowlanych oraz przepisów przeciwpożarowych.</w:t>
      </w:r>
    </w:p>
    <w:p w:rsidR="00ED59CF" w:rsidRDefault="00ED59CF" w:rsidP="00ED59CF">
      <w:pPr>
        <w:rPr>
          <w:rFonts w:eastAsia="LMRoman12-Regular"/>
        </w:rPr>
      </w:pPr>
      <w:r>
        <w:tab/>
      </w:r>
      <w:r w:rsidRPr="004C1FE5">
        <w:t xml:space="preserve">Celem </w:t>
      </w:r>
      <w:r>
        <w:t>ekspertyzy</w:t>
      </w:r>
      <w:r w:rsidRPr="004C1FE5">
        <w:t xml:space="preserve"> jest</w:t>
      </w:r>
      <w:r>
        <w:t xml:space="preserve"> wskazanie rozwiązań technicznych zapewniających akceptowalny poziom bezpieczeństwa ludzi i mienia oraz niepogorszenie warunków ochrony przeciwpożarowej budynku wynikających z przepisów przeciwpożarowych</w:t>
      </w:r>
      <w:r>
        <w:rPr>
          <w:rFonts w:eastAsia="LMRoman12-Regular"/>
        </w:rPr>
        <w:t>. Realizacja postanowień niniejszej ekspertyzy leży w gestii właściciela obiektu.</w:t>
      </w:r>
    </w:p>
    <w:p w:rsidR="00305E18" w:rsidRDefault="00DB5884" w:rsidP="00ED59CF">
      <w:pPr>
        <w:ind w:firstLine="708"/>
        <w:rPr>
          <w:rFonts w:eastAsia="LMRoman12-Regular"/>
        </w:rPr>
      </w:pPr>
      <w:r>
        <w:rPr>
          <w:rFonts w:eastAsia="LMRoman12-Regular"/>
        </w:rPr>
        <w:t>Ze względu na trudności związane z</w:t>
      </w:r>
      <w:r w:rsidR="00305E18">
        <w:rPr>
          <w:rFonts w:eastAsia="LMRoman12-Regular"/>
        </w:rPr>
        <w:t>:</w:t>
      </w:r>
    </w:p>
    <w:p w:rsidR="00ED59CF" w:rsidRPr="00305E18" w:rsidRDefault="00DB5884" w:rsidP="00305E18">
      <w:pPr>
        <w:pStyle w:val="Akapitzlist"/>
        <w:numPr>
          <w:ilvl w:val="0"/>
          <w:numId w:val="39"/>
        </w:numPr>
        <w:ind w:left="714" w:hanging="357"/>
        <w:rPr>
          <w:rFonts w:eastAsia="LMRoman12-Regular"/>
        </w:rPr>
      </w:pPr>
      <w:r w:rsidRPr="00305E18">
        <w:rPr>
          <w:rFonts w:eastAsia="LMRoman12-Regular"/>
        </w:rPr>
        <w:t>zachowaniem dopuszczalnej powierzchni strefy pożarowej</w:t>
      </w:r>
      <w:r w:rsidR="00ED59CF" w:rsidRPr="00305E18">
        <w:rPr>
          <w:rFonts w:eastAsia="LMRoman12-Regular"/>
        </w:rPr>
        <w:t>,</w:t>
      </w:r>
      <w:r w:rsidR="00250C28">
        <w:rPr>
          <w:rFonts w:eastAsia="LMRoman12-Regular"/>
        </w:rPr>
        <w:t xml:space="preserve"> jak</w:t>
      </w:r>
      <w:r w:rsidR="00305E18" w:rsidRPr="00305E18">
        <w:rPr>
          <w:rFonts w:eastAsia="LMRoman12-Regular"/>
        </w:rPr>
        <w:t xml:space="preserve"> </w:t>
      </w:r>
      <w:r w:rsidR="00FC1C74">
        <w:rPr>
          <w:rFonts w:eastAsia="LMRoman12-Regular"/>
        </w:rPr>
        <w:t xml:space="preserve">również                         </w:t>
      </w:r>
      <w:r w:rsidR="004A4B2B">
        <w:rPr>
          <w:rFonts w:eastAsia="LMRoman12-Regular"/>
        </w:rPr>
        <w:t>przystosowaniem</w:t>
      </w:r>
      <w:r w:rsidR="00305E18" w:rsidRPr="00305E18">
        <w:rPr>
          <w:rFonts w:eastAsia="LMRoman12-Regular"/>
        </w:rPr>
        <w:t xml:space="preserve"> jednej z klatek schodowych do warunków techniczno-budowlanych</w:t>
      </w:r>
      <w:r w:rsidR="00925531">
        <w:rPr>
          <w:rFonts w:eastAsia="LMRoman12-Regular"/>
        </w:rPr>
        <w:t xml:space="preserve"> oraz przekroczeniem dopuszczalnej długości dojścia ewakuacyjnego;</w:t>
      </w:r>
    </w:p>
    <w:p w:rsidR="00542F19" w:rsidRDefault="00BD0578" w:rsidP="00542F19">
      <w:pPr>
        <w:pStyle w:val="Akapitzlist"/>
        <w:numPr>
          <w:ilvl w:val="0"/>
          <w:numId w:val="39"/>
        </w:numPr>
        <w:ind w:left="714" w:hanging="357"/>
        <w:rPr>
          <w:rFonts w:eastAsia="LMRoman12-Regular"/>
        </w:rPr>
      </w:pPr>
      <w:r w:rsidRPr="00250C28">
        <w:rPr>
          <w:rFonts w:eastAsia="LMRoman12-Regular"/>
        </w:rPr>
        <w:t>wyposażeniem obiektu w instalację hydrantów wewnętrznych wskazaną                        w przepisach przeciwpożarowych;</w:t>
      </w:r>
    </w:p>
    <w:p w:rsidR="00C57096" w:rsidRPr="004A4B2B" w:rsidRDefault="00C57096" w:rsidP="00C57096">
      <w:pPr>
        <w:pStyle w:val="Akapitzlist"/>
        <w:ind w:left="714"/>
        <w:rPr>
          <w:rFonts w:eastAsia="LMRoman12-Regular"/>
        </w:rPr>
      </w:pPr>
    </w:p>
    <w:p w:rsidR="00BD0578" w:rsidRDefault="00BD0578" w:rsidP="00BD0578">
      <w:r>
        <w:tab/>
        <w:t>istnieje konieczność odpowiednio:</w:t>
      </w:r>
    </w:p>
    <w:p w:rsidR="00BD0578" w:rsidRDefault="00BD0578" w:rsidP="00BD0578">
      <w:pPr>
        <w:ind w:left="357"/>
        <w:rPr>
          <w:rFonts w:eastAsia="LMRoman12-Regular"/>
        </w:rPr>
      </w:pPr>
      <w:r>
        <w:t xml:space="preserve">Ad. 1) </w:t>
      </w:r>
      <w:r w:rsidRPr="00305E18">
        <w:rPr>
          <w:rFonts w:eastAsia="LMRoman12-Regular"/>
        </w:rPr>
        <w:t>zastosowania rozwiązań zastępczych w trybie § 2 ust. 2. rozporz</w:t>
      </w:r>
      <w:r>
        <w:rPr>
          <w:rFonts w:eastAsia="LMRoman12-Regular"/>
        </w:rPr>
        <w:t>ądzenia Ministra Infrastruktury</w:t>
      </w:r>
      <w:r w:rsidRPr="00305E18">
        <w:rPr>
          <w:rFonts w:eastAsia="LMRoman12-Regular"/>
        </w:rPr>
        <w:t xml:space="preserve"> w spr</w:t>
      </w:r>
      <w:r>
        <w:rPr>
          <w:rFonts w:eastAsia="LMRoman12-Regular"/>
        </w:rPr>
        <w:t>awie warunków technicznych [2];</w:t>
      </w:r>
    </w:p>
    <w:p w:rsidR="00250C28" w:rsidRDefault="004A4B2B" w:rsidP="00250C28">
      <w:pPr>
        <w:ind w:left="357"/>
        <w:rPr>
          <w:rFonts w:eastAsia="LMRoman12-Regular"/>
        </w:rPr>
      </w:pPr>
      <w:r>
        <w:rPr>
          <w:rFonts w:eastAsia="LMRoman12-Regular"/>
        </w:rPr>
        <w:t>Ad. 2</w:t>
      </w:r>
      <w:r w:rsidR="00250C28">
        <w:rPr>
          <w:rFonts w:eastAsia="LMRoman12-Regular"/>
        </w:rPr>
        <w:t xml:space="preserve">) </w:t>
      </w:r>
      <w:r w:rsidR="00250C28" w:rsidRPr="00305E18">
        <w:rPr>
          <w:rFonts w:eastAsia="LMRoman12-Regular"/>
        </w:rPr>
        <w:t>opracowania rozwiązań zamienn</w:t>
      </w:r>
      <w:r w:rsidR="00250C28">
        <w:rPr>
          <w:rFonts w:eastAsia="LMRoman12-Regular"/>
        </w:rPr>
        <w:t xml:space="preserve">ych </w:t>
      </w:r>
      <w:r w:rsidR="00FC1C74">
        <w:rPr>
          <w:rFonts w:eastAsia="LMRoman12-Regular"/>
        </w:rPr>
        <w:t xml:space="preserve">w </w:t>
      </w:r>
      <w:r w:rsidR="00250C28">
        <w:rPr>
          <w:rFonts w:eastAsia="LMRoman12-Regular"/>
        </w:rPr>
        <w:t>trybie par.1 ust.2</w:t>
      </w:r>
      <w:r w:rsidR="00250C28" w:rsidRPr="00305E18">
        <w:rPr>
          <w:rFonts w:eastAsia="LMRoman12-Regular"/>
        </w:rPr>
        <w:t xml:space="preserve"> rozporządzenia Ministra Spraw </w:t>
      </w:r>
      <w:r w:rsidR="00250C28">
        <w:rPr>
          <w:rFonts w:eastAsia="LMRoman12-Regular"/>
        </w:rPr>
        <w:t>Wewnętrznych i Administracji [3</w:t>
      </w:r>
      <w:r w:rsidR="00250C28" w:rsidRPr="00305E18">
        <w:rPr>
          <w:rFonts w:eastAsia="LMRoman12-Regular"/>
        </w:rPr>
        <w:t>].</w:t>
      </w:r>
    </w:p>
    <w:p w:rsidR="00BD0578" w:rsidRPr="00305E18" w:rsidRDefault="00BD0578" w:rsidP="00250C28"/>
    <w:p w:rsidR="00F03427" w:rsidRPr="00F03427" w:rsidRDefault="00ED59CF" w:rsidP="005D222F">
      <w:r>
        <w:rPr>
          <w:rFonts w:eastAsia="LMRoman12-Regular"/>
        </w:rPr>
        <w:tab/>
        <w:t>E</w:t>
      </w:r>
      <w:r w:rsidRPr="00D24FD7">
        <w:rPr>
          <w:rFonts w:eastAsia="LMRoman12-Regular"/>
        </w:rPr>
        <w:t>kspertyza techniczna oraz wydane w jej sprawie postanowienie komendanta</w:t>
      </w:r>
      <w:r>
        <w:rPr>
          <w:rFonts w:eastAsia="LMRoman12-Regular"/>
        </w:rPr>
        <w:t xml:space="preserve"> </w:t>
      </w:r>
      <w:r w:rsidRPr="00D24FD7">
        <w:rPr>
          <w:rFonts w:eastAsia="LMRoman12-Regular"/>
        </w:rPr>
        <w:t>wo</w:t>
      </w:r>
      <w:r>
        <w:rPr>
          <w:rFonts w:eastAsia="LMRoman12-Regular"/>
        </w:rPr>
        <w:t>jewódzkiego PSP nie zastępują</w:t>
      </w:r>
      <w:r w:rsidRPr="00D24FD7">
        <w:rPr>
          <w:rFonts w:eastAsia="LMRoman12-Regular"/>
        </w:rPr>
        <w:t xml:space="preserve"> wymaganych prawem projektów</w:t>
      </w:r>
      <w:r>
        <w:rPr>
          <w:rFonts w:eastAsia="LMRoman12-Regular"/>
        </w:rPr>
        <w:t xml:space="preserve"> </w:t>
      </w:r>
      <w:r w:rsidRPr="00D24FD7">
        <w:rPr>
          <w:rFonts w:eastAsia="LMRoman12-Regular"/>
        </w:rPr>
        <w:t xml:space="preserve">(budowlanego </w:t>
      </w:r>
      <w:r w:rsidR="00DB5884">
        <w:rPr>
          <w:rFonts w:eastAsia="LMRoman12-Regular"/>
        </w:rPr>
        <w:t xml:space="preserve">                 </w:t>
      </w:r>
      <w:r w:rsidRPr="00D24FD7">
        <w:rPr>
          <w:rFonts w:eastAsia="LMRoman12-Regular"/>
        </w:rPr>
        <w:t>lub urz</w:t>
      </w:r>
      <w:r>
        <w:rPr>
          <w:rFonts w:eastAsia="LMRoman12-Regular"/>
        </w:rPr>
        <w:t>ądzeń przeciwpoż</w:t>
      </w:r>
      <w:r w:rsidRPr="00D24FD7">
        <w:rPr>
          <w:rFonts w:eastAsia="LMRoman12-Regular"/>
        </w:rPr>
        <w:t>ar</w:t>
      </w:r>
      <w:r>
        <w:rPr>
          <w:rFonts w:eastAsia="LMRoman12-Regular"/>
        </w:rPr>
        <w:t>owych oraz innych pozwoleń</w:t>
      </w:r>
      <w:r w:rsidRPr="00D24FD7">
        <w:rPr>
          <w:rFonts w:eastAsia="LMRoman12-Regular"/>
        </w:rPr>
        <w:t>);</w:t>
      </w:r>
      <w:r>
        <w:rPr>
          <w:rFonts w:eastAsia="LMRoman12-Regular"/>
        </w:rPr>
        <w:t xml:space="preserve"> dostosowanie budynku </w:t>
      </w:r>
      <w:r w:rsidR="00DB5884">
        <w:rPr>
          <w:rFonts w:eastAsia="LMRoman12-Regular"/>
        </w:rPr>
        <w:t xml:space="preserve">                     </w:t>
      </w:r>
      <w:r>
        <w:rPr>
          <w:rFonts w:eastAsia="LMRoman12-Regular"/>
        </w:rPr>
        <w:t>do wymagań ochrony przeciwpoż</w:t>
      </w:r>
      <w:r w:rsidRPr="00D24FD7">
        <w:rPr>
          <w:rFonts w:eastAsia="LMRoman12-Regular"/>
        </w:rPr>
        <w:t xml:space="preserve">arowej powinno </w:t>
      </w:r>
      <w:r>
        <w:rPr>
          <w:rFonts w:eastAsia="LMRoman12-Regular"/>
        </w:rPr>
        <w:t xml:space="preserve">być </w:t>
      </w:r>
      <w:r w:rsidRPr="00D24FD7">
        <w:rPr>
          <w:rFonts w:eastAsia="LMRoman12-Regular"/>
        </w:rPr>
        <w:t xml:space="preserve">realizowane w oparciu o projekt budowlany (wykonawczy) </w:t>
      </w:r>
      <w:r>
        <w:rPr>
          <w:rFonts w:eastAsia="LMRoman12-Regular"/>
        </w:rPr>
        <w:t xml:space="preserve">uwzględniający </w:t>
      </w:r>
      <w:r w:rsidRPr="00D24FD7">
        <w:rPr>
          <w:rFonts w:eastAsia="LMRoman12-Regular"/>
        </w:rPr>
        <w:t>wskazania ekspertyzy oraz postano</w:t>
      </w:r>
      <w:r>
        <w:rPr>
          <w:rFonts w:eastAsia="LMRoman12-Regular"/>
        </w:rPr>
        <w:t xml:space="preserve">wienia komendanta wojewódzkiego </w:t>
      </w:r>
      <w:r w:rsidRPr="00D5772A">
        <w:rPr>
          <w:rFonts w:eastAsia="LMRoman12-Regular"/>
        </w:rPr>
        <w:t>P</w:t>
      </w:r>
      <w:r w:rsidR="00DB5884">
        <w:rPr>
          <w:rFonts w:eastAsia="LMRoman12-Regular"/>
        </w:rPr>
        <w:t xml:space="preserve">SP </w:t>
      </w:r>
      <w:r w:rsidRPr="00D5772A">
        <w:rPr>
          <w:rFonts w:eastAsia="LMRoman12-Regular"/>
        </w:rPr>
        <w:t>w sprawie</w:t>
      </w:r>
      <w:r>
        <w:rPr>
          <w:rStyle w:val="Odwoaniedokomentarza"/>
        </w:rPr>
        <w:t xml:space="preserve"> wy</w:t>
      </w:r>
      <w:r>
        <w:rPr>
          <w:rFonts w:eastAsia="LMRoman12-Regular"/>
        </w:rPr>
        <w:t>raż</w:t>
      </w:r>
      <w:r w:rsidRPr="00D24FD7">
        <w:rPr>
          <w:rFonts w:eastAsia="LMRoman12-Regular"/>
        </w:rPr>
        <w:t>enia</w:t>
      </w:r>
      <w:r>
        <w:rPr>
          <w:rFonts w:eastAsia="LMRoman12-Regular"/>
        </w:rPr>
        <w:t xml:space="preserve"> zgody na spełnienie wymagań</w:t>
      </w:r>
      <w:r w:rsidRPr="00D24FD7">
        <w:rPr>
          <w:rFonts w:eastAsia="LMRoman12-Regular"/>
        </w:rPr>
        <w:t xml:space="preserve"> </w:t>
      </w:r>
      <w:r w:rsidR="00DB5884">
        <w:rPr>
          <w:rFonts w:eastAsia="LMRoman12-Regular"/>
        </w:rPr>
        <w:t xml:space="preserve">                  </w:t>
      </w:r>
      <w:r w:rsidRPr="00D24FD7">
        <w:rPr>
          <w:rFonts w:eastAsia="LMRoman12-Regular"/>
        </w:rPr>
        <w:t>w zakresie</w:t>
      </w:r>
      <w:r>
        <w:rPr>
          <w:rFonts w:eastAsia="LMRoman12-Regular"/>
        </w:rPr>
        <w:t xml:space="preserve"> </w:t>
      </w:r>
      <w:r w:rsidRPr="00D24FD7">
        <w:rPr>
          <w:rFonts w:eastAsia="LMRoman12-Regular"/>
        </w:rPr>
        <w:t>bezpiecze</w:t>
      </w:r>
      <w:r>
        <w:rPr>
          <w:rFonts w:eastAsia="LMRoman12-Regular"/>
        </w:rPr>
        <w:t>ństwa pożarowego w inny sposób niż okreś</w:t>
      </w:r>
      <w:r w:rsidRPr="00D24FD7">
        <w:rPr>
          <w:rFonts w:eastAsia="LMRoman12-Regular"/>
        </w:rPr>
        <w:t>lono w przepisach</w:t>
      </w:r>
      <w:r>
        <w:rPr>
          <w:rFonts w:eastAsia="LMRoman12-Regular"/>
        </w:rPr>
        <w:t xml:space="preserve"> techniczno </w:t>
      </w:r>
      <w:r w:rsidRPr="00677F68">
        <w:rPr>
          <w:rFonts w:eastAsia="LMRoman12-Regular"/>
        </w:rPr>
        <w:t>–</w:t>
      </w:r>
      <w:r>
        <w:rPr>
          <w:rFonts w:eastAsia="LMRoman12-Regular"/>
        </w:rPr>
        <w:t xml:space="preserve"> </w:t>
      </w:r>
      <w:r w:rsidRPr="00D24FD7">
        <w:rPr>
          <w:rFonts w:eastAsia="LMRoman12-Regular"/>
        </w:rPr>
        <w:t>budowlanych</w:t>
      </w:r>
      <w:r w:rsidR="00DB5884">
        <w:rPr>
          <w:rFonts w:eastAsia="LMRoman12-Regular"/>
        </w:rPr>
        <w:t>.</w:t>
      </w:r>
    </w:p>
    <w:p w:rsidR="004A4B2B" w:rsidRDefault="004A4B2B" w:rsidP="00542F19">
      <w:pPr>
        <w:pStyle w:val="Nagwek2"/>
      </w:pPr>
    </w:p>
    <w:p w:rsidR="004A4B2B" w:rsidRPr="004A4B2B" w:rsidRDefault="004A4B2B" w:rsidP="004A4B2B"/>
    <w:p w:rsidR="00F03427" w:rsidRDefault="005D222F" w:rsidP="00542F19">
      <w:pPr>
        <w:pStyle w:val="Nagwek2"/>
      </w:pPr>
      <w:bookmarkStart w:id="2" w:name="_Toc287549975"/>
      <w:r>
        <w:t xml:space="preserve">1.1. </w:t>
      </w:r>
      <w:r w:rsidR="00F03427" w:rsidRPr="007C51C9">
        <w:t>Podstawy prawne</w:t>
      </w:r>
      <w:bookmarkEnd w:id="2"/>
    </w:p>
    <w:p w:rsidR="00A6310F" w:rsidRDefault="00A6310F" w:rsidP="005D222F">
      <w:pPr>
        <w:rPr>
          <w:b/>
        </w:rPr>
      </w:pPr>
    </w:p>
    <w:p w:rsidR="00A6310F" w:rsidRDefault="00A6310F" w:rsidP="002F6478">
      <w:pPr>
        <w:pStyle w:val="Akapitzlist"/>
        <w:numPr>
          <w:ilvl w:val="0"/>
          <w:numId w:val="2"/>
        </w:numPr>
        <w:ind w:left="0" w:firstLine="0"/>
      </w:pPr>
      <w:r w:rsidRPr="00D37C89">
        <w:lastRenderedPageBreak/>
        <w:t xml:space="preserve">Ustawa z dnia 24 sierpnia 1991 roku o ochronie przeciwpożarowej </w:t>
      </w:r>
      <w:r>
        <w:t xml:space="preserve">                             </w:t>
      </w:r>
      <w:r>
        <w:tab/>
        <w:t>(Dz. U.</w:t>
      </w:r>
      <w:r w:rsidRPr="00D37C89">
        <w:t xml:space="preserve"> </w:t>
      </w:r>
      <w:r w:rsidRPr="00CE2B28">
        <w:t>z</w:t>
      </w:r>
      <w:r>
        <w:t xml:space="preserve"> </w:t>
      </w:r>
      <w:r w:rsidRPr="00CE2B28">
        <w:t>1991 r. nr 81 poz. 351 z późniejszymi zmianami).</w:t>
      </w:r>
    </w:p>
    <w:p w:rsidR="00A6310F" w:rsidRDefault="00A6310F" w:rsidP="002F6478">
      <w:pPr>
        <w:pStyle w:val="Akapitzlist"/>
        <w:numPr>
          <w:ilvl w:val="0"/>
          <w:numId w:val="2"/>
        </w:numPr>
        <w:ind w:left="0" w:firstLine="0"/>
      </w:pPr>
      <w:r w:rsidRPr="00D37C89">
        <w:t>Rozporządzenie Ministra Infrastruk</w:t>
      </w:r>
      <w:r>
        <w:t xml:space="preserve">tury z dnia 12 kwietnia 2002 r. </w:t>
      </w:r>
      <w:r w:rsidRPr="00D37C89">
        <w:t xml:space="preserve">w sprawie </w:t>
      </w:r>
      <w:r>
        <w:tab/>
      </w:r>
      <w:r w:rsidRPr="00D37C89">
        <w:t>warunków technicznych, j</w:t>
      </w:r>
      <w:r>
        <w:t xml:space="preserve">akim powinny odpowiadać budynki </w:t>
      </w:r>
      <w:r w:rsidRPr="00D37C89">
        <w:t xml:space="preserve">i ich usytuowanie </w:t>
      </w:r>
      <w:r>
        <w:t xml:space="preserve">               </w:t>
      </w:r>
      <w:r>
        <w:tab/>
      </w:r>
      <w:r w:rsidRPr="00D37C89">
        <w:t>(Dz. U. z 2002 r. nr 75, po</w:t>
      </w:r>
      <w:r>
        <w:t>z. 690 z późniejszymi zmianami)</w:t>
      </w:r>
    </w:p>
    <w:p w:rsidR="00A6310F" w:rsidRDefault="00A6310F" w:rsidP="002F6478">
      <w:pPr>
        <w:pStyle w:val="Akapitzlist"/>
        <w:numPr>
          <w:ilvl w:val="0"/>
          <w:numId w:val="2"/>
        </w:numPr>
        <w:ind w:left="0" w:firstLine="0"/>
      </w:pPr>
      <w:r w:rsidRPr="00D37C89">
        <w:t>Rozporządzenie Ministra Spraw Wewn</w:t>
      </w:r>
      <w:r>
        <w:t xml:space="preserve">ętrznych i Administracji z dnia                              </w:t>
      </w:r>
      <w:r>
        <w:tab/>
      </w:r>
      <w:r w:rsidRPr="00D37C89">
        <w:t>16 czerwca 2003 roku w sprawie u</w:t>
      </w:r>
      <w:r>
        <w:t>zgadniania projektu budowlanego</w:t>
      </w:r>
      <w:r w:rsidRPr="00D37C89">
        <w:t xml:space="preserve"> pod </w:t>
      </w:r>
      <w:r>
        <w:tab/>
      </w:r>
      <w:r w:rsidRPr="00D37C89">
        <w:t>względem ochrony przeciwpoża</w:t>
      </w:r>
      <w:r>
        <w:t xml:space="preserve">rowej (Dz. U. z 2003 r. nr 121, </w:t>
      </w:r>
      <w:r w:rsidRPr="00D37C89">
        <w:t>poz. 1137</w:t>
      </w:r>
      <w:r w:rsidRPr="00A6310F">
        <w:rPr>
          <w:rFonts w:eastAsia="Calibri"/>
        </w:rPr>
        <w:t xml:space="preserve"> </w:t>
      </w:r>
      <w:r>
        <w:rPr>
          <w:rFonts w:eastAsia="Calibri"/>
        </w:rPr>
        <w:t xml:space="preserve">                         </w:t>
      </w:r>
      <w:r>
        <w:rPr>
          <w:rFonts w:eastAsia="Calibri"/>
        </w:rPr>
        <w:tab/>
      </w:r>
      <w:r w:rsidRPr="00A6310F">
        <w:rPr>
          <w:rFonts w:eastAsia="Calibri"/>
          <w:color w:val="000000"/>
        </w:rPr>
        <w:t>z późniejszymi zmianami</w:t>
      </w:r>
      <w:r w:rsidRPr="00D37C89">
        <w:t>).</w:t>
      </w:r>
    </w:p>
    <w:p w:rsidR="00A6310F" w:rsidRDefault="00A6310F" w:rsidP="002F6478">
      <w:pPr>
        <w:pStyle w:val="Akapitzlist"/>
        <w:numPr>
          <w:ilvl w:val="0"/>
          <w:numId w:val="2"/>
        </w:numPr>
        <w:ind w:left="0" w:firstLine="0"/>
      </w:pPr>
      <w:r w:rsidRPr="00D37C89">
        <w:t xml:space="preserve">Rozporządzenie Ministra Spraw Wewnętrznych i Administracji z dnia                   </w:t>
      </w:r>
      <w:r>
        <w:tab/>
      </w:r>
      <w:r w:rsidRPr="00D37C89">
        <w:t xml:space="preserve">24 lipca 2009 roku w sprawie przeciwpożarowego zaopatrzenia w wodę                  </w:t>
      </w:r>
      <w:r>
        <w:t xml:space="preserve">                </w:t>
      </w:r>
      <w:r>
        <w:tab/>
      </w:r>
      <w:r w:rsidRPr="00D37C89">
        <w:t>oraz dróg pożarowych (Dz. U. z 2009 r. nr 124, poz. 1030).</w:t>
      </w:r>
    </w:p>
    <w:p w:rsidR="00A6310F" w:rsidRDefault="00A6310F" w:rsidP="002F6478">
      <w:pPr>
        <w:pStyle w:val="Akapitzlist"/>
        <w:numPr>
          <w:ilvl w:val="0"/>
          <w:numId w:val="2"/>
        </w:numPr>
        <w:ind w:left="0" w:firstLine="0"/>
      </w:pPr>
      <w:r w:rsidRPr="00D37C89">
        <w:t xml:space="preserve">Rozporządzenie Ministra Spraw Wewnętrznych i Administracji z dnia                    </w:t>
      </w:r>
      <w:r>
        <w:t xml:space="preserve"> </w:t>
      </w:r>
      <w:r>
        <w:tab/>
      </w:r>
      <w:r w:rsidRPr="00D37C89">
        <w:t xml:space="preserve">7 czerwca 2010 roku w sprawie ochrony przeciwpożarowej budynków, innych </w:t>
      </w:r>
      <w:r>
        <w:tab/>
      </w:r>
      <w:r w:rsidRPr="00D37C89">
        <w:t>obiektów budowlanych i terenów (Dz. U. z 201</w:t>
      </w:r>
      <w:r>
        <w:t xml:space="preserve">0 r. nr 109, </w:t>
      </w:r>
      <w:r w:rsidRPr="00D37C89">
        <w:t>poz. 719).</w:t>
      </w:r>
    </w:p>
    <w:p w:rsidR="00A6310F" w:rsidRDefault="00A6310F" w:rsidP="002F6478">
      <w:pPr>
        <w:pStyle w:val="Akapitzlist"/>
        <w:numPr>
          <w:ilvl w:val="0"/>
          <w:numId w:val="2"/>
        </w:numPr>
        <w:ind w:left="0" w:firstLine="0"/>
      </w:pPr>
      <w:r w:rsidRPr="00D37C89">
        <w:t xml:space="preserve">PN-B-02852 Ochrona przeciwpożarowa budynków. Obliczanie gęstości obciążenia </w:t>
      </w:r>
      <w:r>
        <w:tab/>
      </w:r>
      <w:r w:rsidRPr="00D37C89">
        <w:t xml:space="preserve">ogniowego oraz wyznaczanie </w:t>
      </w:r>
      <w:r>
        <w:t>względnego czasu trwania pożaru.</w:t>
      </w:r>
    </w:p>
    <w:p w:rsidR="00A6310F" w:rsidRDefault="00A6310F" w:rsidP="002F6478">
      <w:pPr>
        <w:pStyle w:val="Akapitzlist"/>
        <w:numPr>
          <w:ilvl w:val="0"/>
          <w:numId w:val="2"/>
        </w:numPr>
        <w:ind w:left="0" w:firstLine="0"/>
      </w:pPr>
      <w:r w:rsidRPr="00CE2B28">
        <w:t>VdS 2221:2001-08 (01) Rich</w:t>
      </w:r>
      <w:r>
        <w:t>tlinien für Entrauchungsanlagen i</w:t>
      </w:r>
      <w:r w:rsidRPr="00CE2B28">
        <w:t xml:space="preserve">n Treppenräumen </w:t>
      </w:r>
      <w:r>
        <w:tab/>
      </w:r>
      <w:r w:rsidRPr="00CE2B28">
        <w:t>(EAT). Planung und Einbau.</w:t>
      </w:r>
    </w:p>
    <w:p w:rsidR="00A6310F" w:rsidRDefault="00A6310F" w:rsidP="002F6478">
      <w:pPr>
        <w:pStyle w:val="Akapitzlist"/>
        <w:numPr>
          <w:ilvl w:val="0"/>
          <w:numId w:val="2"/>
        </w:numPr>
        <w:ind w:left="0" w:firstLine="0"/>
      </w:pPr>
      <w:r w:rsidRPr="00EF6AB1">
        <w:t xml:space="preserve">BS PD 7974-6:2004 The application of fire safety engineering principles </w:t>
      </w:r>
      <w:r>
        <w:t xml:space="preserve">                  </w:t>
      </w:r>
      <w:r>
        <w:tab/>
      </w:r>
      <w:r w:rsidRPr="00EF6AB1">
        <w:t xml:space="preserve">to fire safety design of buildings – Part 6: Human factors: Life safety strategies – </w:t>
      </w:r>
      <w:r>
        <w:tab/>
      </w:r>
      <w:r w:rsidRPr="00EF6AB1">
        <w:t>Occupant evacuation.</w:t>
      </w:r>
    </w:p>
    <w:p w:rsidR="00A6310F" w:rsidRDefault="00A6310F" w:rsidP="002F6478">
      <w:pPr>
        <w:pStyle w:val="Akapitzlist"/>
        <w:numPr>
          <w:ilvl w:val="0"/>
          <w:numId w:val="2"/>
        </w:numPr>
        <w:ind w:left="0" w:firstLine="0"/>
      </w:pPr>
      <w:r w:rsidRPr="00D37C89">
        <w:t xml:space="preserve">Instrukcji ITB nr 221. Wytyczne oceny odporności ogniowej elementów konstrukcji </w:t>
      </w:r>
      <w:r>
        <w:tab/>
      </w:r>
      <w:r w:rsidRPr="00D37C89">
        <w:t>budowlanych.</w:t>
      </w:r>
    </w:p>
    <w:p w:rsidR="00A6310F" w:rsidRDefault="00A6310F" w:rsidP="002F6478">
      <w:pPr>
        <w:pStyle w:val="Akapitzlist"/>
        <w:numPr>
          <w:ilvl w:val="0"/>
          <w:numId w:val="2"/>
        </w:numPr>
        <w:ind w:left="0" w:firstLine="0"/>
      </w:pPr>
      <w:r w:rsidRPr="00D37C89">
        <w:t>Biuro Rozpoznawania Zagrożeń KG PSP</w:t>
      </w:r>
      <w:r>
        <w:t>:</w:t>
      </w:r>
      <w:r w:rsidRPr="00D37C89">
        <w:t xml:space="preserve"> Pro</w:t>
      </w:r>
      <w:r>
        <w:t xml:space="preserve">cedury organizacyjno-techniczne                  </w:t>
      </w:r>
      <w:r>
        <w:tab/>
      </w:r>
      <w:r w:rsidRPr="00D37C89">
        <w:t>w sprawie spełnienia wymagań w zak</w:t>
      </w:r>
      <w:r>
        <w:t xml:space="preserve">resie bezpieczeństwa pożarowego </w:t>
      </w:r>
      <w:r w:rsidRPr="00D37C89">
        <w:t xml:space="preserve">w inny </w:t>
      </w:r>
      <w:r>
        <w:tab/>
      </w:r>
      <w:r w:rsidRPr="00D37C89">
        <w:t>sposób niż to określono w prz</w:t>
      </w:r>
      <w:r>
        <w:t xml:space="preserve">episach techniczno-budowlanych, </w:t>
      </w:r>
      <w:r w:rsidRPr="00D37C89">
        <w:t>w przypadkac</w:t>
      </w:r>
      <w:r>
        <w:t xml:space="preserve">h </w:t>
      </w:r>
      <w:r>
        <w:tab/>
        <w:t xml:space="preserve">wskazanych w tych przepisach, </w:t>
      </w:r>
      <w:r w:rsidRPr="00D37C89">
        <w:t xml:space="preserve">oraz stosowania rozwiązań zamiennych, </w:t>
      </w:r>
      <w:r>
        <w:tab/>
      </w:r>
      <w:r w:rsidRPr="00D37C89">
        <w:t xml:space="preserve">zapewniających niepogorszenie warunków ochrony przeciwpożarowej </w:t>
      </w:r>
      <w:r>
        <w:t xml:space="preserve">                         </w:t>
      </w:r>
      <w:r>
        <w:tab/>
        <w:t>w przypadkach wskazanych w przepisach przec</w:t>
      </w:r>
      <w:r w:rsidRPr="00D37C89">
        <w:t>iwpożarowych</w:t>
      </w:r>
      <w:r w:rsidRPr="00A6310F">
        <w:rPr>
          <w:spacing w:val="-26"/>
        </w:rPr>
        <w:t xml:space="preserve">, </w:t>
      </w:r>
      <w:r>
        <w:t>Warszawa, 2008</w:t>
      </w:r>
      <w:r w:rsidRPr="00D37C89">
        <w:t>r.</w:t>
      </w:r>
    </w:p>
    <w:p w:rsidR="00F03427" w:rsidRDefault="00F03427" w:rsidP="00F03427">
      <w:pPr>
        <w:pStyle w:val="Akapitzlist"/>
        <w:ind w:left="792"/>
        <w:rPr>
          <w:b/>
        </w:rPr>
      </w:pPr>
    </w:p>
    <w:p w:rsidR="00183082" w:rsidRDefault="00183082" w:rsidP="00F03427">
      <w:pPr>
        <w:pStyle w:val="Akapitzlist"/>
        <w:ind w:left="792"/>
        <w:rPr>
          <w:b/>
        </w:rPr>
      </w:pPr>
    </w:p>
    <w:p w:rsidR="00183082" w:rsidRDefault="00183082" w:rsidP="00F03427">
      <w:pPr>
        <w:pStyle w:val="Akapitzlist"/>
        <w:ind w:left="792"/>
        <w:rPr>
          <w:b/>
        </w:rPr>
      </w:pPr>
    </w:p>
    <w:p w:rsidR="00183082" w:rsidRDefault="00183082" w:rsidP="00F03427">
      <w:pPr>
        <w:pStyle w:val="Akapitzlist"/>
        <w:ind w:left="792"/>
        <w:rPr>
          <w:b/>
        </w:rPr>
      </w:pPr>
    </w:p>
    <w:p w:rsidR="00F03427" w:rsidRDefault="00F03427" w:rsidP="002F6478">
      <w:pPr>
        <w:pStyle w:val="Nagwek1"/>
        <w:numPr>
          <w:ilvl w:val="0"/>
          <w:numId w:val="1"/>
        </w:numPr>
      </w:pPr>
      <w:bookmarkStart w:id="3" w:name="_Toc287549976"/>
      <w:r>
        <w:t>Warunki ochrony przeciwpożarowej</w:t>
      </w:r>
      <w:bookmarkEnd w:id="3"/>
    </w:p>
    <w:p w:rsidR="007712A6" w:rsidRPr="007712A6" w:rsidRDefault="007712A6" w:rsidP="007712A6"/>
    <w:p w:rsidR="00F03427" w:rsidRDefault="005D222F" w:rsidP="00542F19">
      <w:pPr>
        <w:pStyle w:val="Nagwek2"/>
      </w:pPr>
      <w:bookmarkStart w:id="4" w:name="_Toc287549977"/>
      <w:r>
        <w:lastRenderedPageBreak/>
        <w:t xml:space="preserve">2.1. </w:t>
      </w:r>
      <w:r w:rsidR="00F03427" w:rsidRPr="007C51C9">
        <w:t>Ogólne informacje o budynku</w:t>
      </w:r>
      <w:bookmarkEnd w:id="4"/>
    </w:p>
    <w:p w:rsidR="005D222F" w:rsidRDefault="005D222F" w:rsidP="007C51C9">
      <w:pPr>
        <w:ind w:left="360"/>
        <w:rPr>
          <w:b/>
        </w:rPr>
      </w:pPr>
    </w:p>
    <w:p w:rsidR="005D222F" w:rsidRDefault="005D222F" w:rsidP="005D222F">
      <w:r>
        <w:tab/>
        <w:t>Budynek Wydziału Biologii i Nauk o Ziemi jest obiektem wolnostojącym, który składa się z dwóch części: „starej”, która powstała w latach sześćdziesiątych XX w.                 oraz „nowej”, wybudowanej i oddanej do użytku w latach dziewięćdziesiątych XX w. Zarówno wejście główne, jak i wjazd na teren obiektu znajdują się od strony                          ul. Akademickiej. Teren wokół budynku jest utwardzony (drogi pokryte asfaltem, chodniki               z płyt betonowych). Część stara składa się z trzech segmentów. Segment A – siedmiokondygnacyjna usytuowana od strony zachodniej część z dwiema klatkami schodowymi i jednym dźwigiem osobowym. Od strony północnej częściowo zagłębiona              w skarpie. Segment B – pięciokondygnacyjny łącznik między segmentem A i C oraz nową czę</w:t>
      </w:r>
      <w:r w:rsidR="002100F4">
        <w:t>ścią budynku. Segment C – cztero</w:t>
      </w:r>
      <w:r>
        <w:t xml:space="preserve">kondygnacyjna część budynku Wydziału Biologii        </w:t>
      </w:r>
      <w:r w:rsidR="00250C28">
        <w:t xml:space="preserve">          i Nauk o Ziemi z dwiema klatkami schodowymi </w:t>
      </w:r>
      <w:r>
        <w:t>połączona od strony wschodniej z nową częścią wydziału, zaś od strony północnej również częściowo zagłębiona w skarpie. Nowe skrzydło usytuowane od strony wschodniej stanowi pięciokondygnacyjna część powiązaną funkcjonalnie z resztą wydziału, posiada jedną klatkę schodową oraz dwa dźwigi osobowe.</w:t>
      </w:r>
    </w:p>
    <w:p w:rsidR="005D222F" w:rsidRDefault="005D222F" w:rsidP="005D222F">
      <w:r>
        <w:tab/>
      </w:r>
      <w:r w:rsidR="00C22EC6">
        <w:t xml:space="preserve">Budynek ma przeznaczenie biurowo-dydaktyczne. </w:t>
      </w:r>
      <w:r w:rsidR="00BC77B3">
        <w:t xml:space="preserve">Bryła obiektu jest rozczłonkowana. Budynek został wykonany w technologii tradycyjnej murowano-monolitycznej, szkielet żelbetowy monolityczny. </w:t>
      </w:r>
      <w:r>
        <w:t xml:space="preserve">Pomieszczenia techniczne </w:t>
      </w:r>
      <w:r w:rsidR="00BC77B3">
        <w:t xml:space="preserve">                              </w:t>
      </w:r>
      <w:r w:rsidR="00250C28">
        <w:t>oraz magazynowe zlokalizowane są w piwnicy, wentylatornie na ostatnich kondygnacjach.</w:t>
      </w:r>
      <w:r>
        <w:t xml:space="preserve"> Parter zajmuje administracja budynku, szatnia oraz portiernie. Na wszystkich kondygnacjach rozlokowano pomieszczenia dydaktyczne i są to sale wykładowe,</w:t>
      </w:r>
      <w:r w:rsidR="00BC77B3">
        <w:t xml:space="preserve"> ćwiczeniowe</w:t>
      </w:r>
      <w:r>
        <w:t xml:space="preserve"> oraz laboratoria.</w:t>
      </w:r>
    </w:p>
    <w:p w:rsidR="005D222F" w:rsidRDefault="005D222F" w:rsidP="005D222F"/>
    <w:p w:rsidR="005D222F" w:rsidRDefault="005D222F" w:rsidP="00542F19">
      <w:pPr>
        <w:pStyle w:val="Nagwek2"/>
      </w:pPr>
      <w:bookmarkStart w:id="5" w:name="_Toc287549978"/>
      <w:r w:rsidRPr="005D222F">
        <w:t>2.2. Powierzchnia, wysokość i liczba kondygnacji</w:t>
      </w:r>
      <w:bookmarkEnd w:id="5"/>
    </w:p>
    <w:p w:rsidR="00BC77B3" w:rsidRPr="005D222F" w:rsidRDefault="00BC77B3" w:rsidP="005D222F">
      <w:pPr>
        <w:rPr>
          <w:b/>
        </w:rPr>
      </w:pPr>
    </w:p>
    <w:p w:rsidR="005D222F" w:rsidRDefault="00BC77B3" w:rsidP="002F6478">
      <w:pPr>
        <w:pStyle w:val="Akapitzlist"/>
        <w:numPr>
          <w:ilvl w:val="0"/>
          <w:numId w:val="3"/>
        </w:numPr>
      </w:pPr>
      <w:r>
        <w:t>Powierzchnia zabudowy obiektu 2</w:t>
      </w:r>
      <w:r w:rsidR="00183082">
        <w:t xml:space="preserve"> </w:t>
      </w:r>
      <w:r>
        <w:t>730 m</w:t>
      </w:r>
      <w:r>
        <w:rPr>
          <w:vertAlign w:val="superscript"/>
        </w:rPr>
        <w:t>2</w:t>
      </w:r>
      <w:r>
        <w:t>;</w:t>
      </w:r>
    </w:p>
    <w:p w:rsidR="00BC77B3" w:rsidRDefault="00BC77B3" w:rsidP="002F6478">
      <w:pPr>
        <w:pStyle w:val="Akapitzlist"/>
        <w:numPr>
          <w:ilvl w:val="0"/>
          <w:numId w:val="3"/>
        </w:numPr>
      </w:pPr>
      <w:r>
        <w:t>Powierzchnia użytkowa:</w:t>
      </w:r>
    </w:p>
    <w:p w:rsidR="00557AE4" w:rsidRDefault="00557AE4" w:rsidP="002F6478">
      <w:pPr>
        <w:pStyle w:val="Akapitzlist"/>
        <w:numPr>
          <w:ilvl w:val="0"/>
          <w:numId w:val="4"/>
        </w:numPr>
      </w:pPr>
      <w:r>
        <w:t>powierzchnia użytkowa części starej 7</w:t>
      </w:r>
      <w:r w:rsidR="00183082">
        <w:t xml:space="preserve"> </w:t>
      </w:r>
      <w:r>
        <w:t>998 m</w:t>
      </w:r>
      <w:r>
        <w:rPr>
          <w:vertAlign w:val="superscript"/>
        </w:rPr>
        <w:t>2</w:t>
      </w:r>
      <w:r>
        <w:t>;</w:t>
      </w:r>
    </w:p>
    <w:p w:rsidR="00BC77B3" w:rsidRDefault="00557AE4" w:rsidP="002F6478">
      <w:pPr>
        <w:pStyle w:val="Akapitzlist"/>
        <w:numPr>
          <w:ilvl w:val="0"/>
          <w:numId w:val="4"/>
        </w:numPr>
      </w:pPr>
      <w:r>
        <w:t>powierzchnia użytkowa części nowej 4</w:t>
      </w:r>
      <w:r w:rsidR="00183082">
        <w:t xml:space="preserve"> </w:t>
      </w:r>
      <w:r>
        <w:t>290 m</w:t>
      </w:r>
      <w:r>
        <w:rPr>
          <w:vertAlign w:val="superscript"/>
        </w:rPr>
        <w:t>2</w:t>
      </w:r>
      <w:r>
        <w:t>;</w:t>
      </w:r>
    </w:p>
    <w:p w:rsidR="00557AE4" w:rsidRDefault="00F34490" w:rsidP="002F6478">
      <w:pPr>
        <w:pStyle w:val="Akapitzlist"/>
        <w:numPr>
          <w:ilvl w:val="0"/>
          <w:numId w:val="3"/>
        </w:numPr>
      </w:pPr>
      <w:r>
        <w:t>Kubatura obiektu 50</w:t>
      </w:r>
      <w:r w:rsidR="00183082">
        <w:t xml:space="preserve"> </w:t>
      </w:r>
      <w:r>
        <w:t>033 m</w:t>
      </w:r>
      <w:r>
        <w:rPr>
          <w:vertAlign w:val="superscript"/>
        </w:rPr>
        <w:t>3</w:t>
      </w:r>
      <w:r>
        <w:t>:</w:t>
      </w:r>
    </w:p>
    <w:p w:rsidR="00F34490" w:rsidRDefault="00F34490" w:rsidP="002F6478">
      <w:pPr>
        <w:pStyle w:val="Akapitzlist"/>
        <w:numPr>
          <w:ilvl w:val="0"/>
          <w:numId w:val="5"/>
        </w:numPr>
      </w:pPr>
      <w:r>
        <w:t>kubatura części starej 39</w:t>
      </w:r>
      <w:r w:rsidR="00183082">
        <w:t xml:space="preserve"> </w:t>
      </w:r>
      <w:r>
        <w:t>183 m</w:t>
      </w:r>
      <w:r>
        <w:rPr>
          <w:vertAlign w:val="superscript"/>
        </w:rPr>
        <w:t>3</w:t>
      </w:r>
      <w:r>
        <w:t>;</w:t>
      </w:r>
    </w:p>
    <w:p w:rsidR="00F34490" w:rsidRDefault="00F34490" w:rsidP="002F6478">
      <w:pPr>
        <w:pStyle w:val="Akapitzlist"/>
        <w:numPr>
          <w:ilvl w:val="0"/>
          <w:numId w:val="5"/>
        </w:numPr>
      </w:pPr>
      <w:r>
        <w:t>kubatura części nowej 15</w:t>
      </w:r>
      <w:r w:rsidR="00183082">
        <w:t xml:space="preserve"> </w:t>
      </w:r>
      <w:r>
        <w:t>850 m</w:t>
      </w:r>
      <w:r>
        <w:rPr>
          <w:vertAlign w:val="superscript"/>
        </w:rPr>
        <w:t>3</w:t>
      </w:r>
      <w:r>
        <w:t>;</w:t>
      </w:r>
    </w:p>
    <w:p w:rsidR="00183082" w:rsidRDefault="00183082" w:rsidP="00183082"/>
    <w:p w:rsidR="00F34490" w:rsidRDefault="00F34490" w:rsidP="002F6478">
      <w:pPr>
        <w:pStyle w:val="Akapitzlist"/>
        <w:numPr>
          <w:ilvl w:val="0"/>
          <w:numId w:val="3"/>
        </w:numPr>
      </w:pPr>
      <w:r>
        <w:t>Wysokość budynku:</w:t>
      </w:r>
    </w:p>
    <w:p w:rsidR="00F34490" w:rsidRDefault="00D41AF3" w:rsidP="002F6478">
      <w:pPr>
        <w:pStyle w:val="Akapitzlist"/>
        <w:numPr>
          <w:ilvl w:val="0"/>
          <w:numId w:val="6"/>
        </w:numPr>
      </w:pPr>
      <w:r>
        <w:t>części starej 17</w:t>
      </w:r>
      <w:r w:rsidR="00F34490">
        <w:t xml:space="preserve"> m;</w:t>
      </w:r>
    </w:p>
    <w:p w:rsidR="00F34490" w:rsidRDefault="00D41AF3" w:rsidP="002F6478">
      <w:pPr>
        <w:pStyle w:val="Akapitzlist"/>
        <w:numPr>
          <w:ilvl w:val="0"/>
          <w:numId w:val="6"/>
        </w:numPr>
      </w:pPr>
      <w:r>
        <w:t>części nowej 18</w:t>
      </w:r>
      <w:r w:rsidR="00F34490">
        <w:t xml:space="preserve"> m;</w:t>
      </w:r>
    </w:p>
    <w:p w:rsidR="00F34490" w:rsidRDefault="00F34490" w:rsidP="002F6478">
      <w:pPr>
        <w:pStyle w:val="Akapitzlist"/>
        <w:numPr>
          <w:ilvl w:val="0"/>
          <w:numId w:val="3"/>
        </w:numPr>
      </w:pPr>
      <w:r>
        <w:t>Liczba kondygnacji nadziemnych:</w:t>
      </w:r>
    </w:p>
    <w:p w:rsidR="00F34490" w:rsidRDefault="00F34490" w:rsidP="002F6478">
      <w:pPr>
        <w:pStyle w:val="Akapitzlist"/>
        <w:numPr>
          <w:ilvl w:val="0"/>
          <w:numId w:val="7"/>
        </w:numPr>
      </w:pPr>
      <w:r>
        <w:t>w części starej</w:t>
      </w:r>
    </w:p>
    <w:p w:rsidR="00F34490" w:rsidRDefault="00F34490" w:rsidP="00F34490">
      <w:pPr>
        <w:pStyle w:val="Akapitzlist"/>
        <w:ind w:left="1440"/>
      </w:pPr>
      <w:r>
        <w:t>- segment A – 5 (w tym parter);</w:t>
      </w:r>
    </w:p>
    <w:p w:rsidR="00F34490" w:rsidRDefault="00F34490" w:rsidP="00F34490">
      <w:pPr>
        <w:pStyle w:val="Akapitzlist"/>
        <w:ind w:left="1440"/>
      </w:pPr>
      <w:r>
        <w:t>- segment B – 3 (w tym parter);</w:t>
      </w:r>
    </w:p>
    <w:p w:rsidR="00F34490" w:rsidRDefault="00F34490" w:rsidP="00F34490">
      <w:pPr>
        <w:pStyle w:val="Akapitzlist"/>
        <w:ind w:left="1440"/>
      </w:pPr>
      <w:r>
        <w:t>- segment C – 3 (w tym parter);</w:t>
      </w:r>
    </w:p>
    <w:p w:rsidR="00F34490" w:rsidRDefault="00F34490" w:rsidP="002F6478">
      <w:pPr>
        <w:pStyle w:val="Akapitzlist"/>
        <w:numPr>
          <w:ilvl w:val="0"/>
          <w:numId w:val="7"/>
        </w:numPr>
      </w:pPr>
      <w:r>
        <w:t>w części nowej  4 (w tym parter i przyziemie);</w:t>
      </w:r>
    </w:p>
    <w:p w:rsidR="00F34490" w:rsidRDefault="00F34490" w:rsidP="002F6478">
      <w:pPr>
        <w:pStyle w:val="Akapitzlist"/>
        <w:numPr>
          <w:ilvl w:val="0"/>
          <w:numId w:val="3"/>
        </w:numPr>
        <w:ind w:left="714" w:hanging="357"/>
      </w:pPr>
      <w:r>
        <w:t>Liczba kondygnacji podziemnych:</w:t>
      </w:r>
    </w:p>
    <w:p w:rsidR="00F34490" w:rsidRDefault="00F34490" w:rsidP="002F6478">
      <w:pPr>
        <w:pStyle w:val="Akapitzlist"/>
        <w:numPr>
          <w:ilvl w:val="0"/>
          <w:numId w:val="7"/>
        </w:numPr>
      </w:pPr>
      <w:r>
        <w:t>w</w:t>
      </w:r>
      <w:r w:rsidR="002100F4">
        <w:t xml:space="preserve"> części starej 2 (poza segmentem C)</w:t>
      </w:r>
    </w:p>
    <w:p w:rsidR="00E715B9" w:rsidRDefault="00E715B9" w:rsidP="002F6478">
      <w:pPr>
        <w:pStyle w:val="Akapitzlist"/>
        <w:numPr>
          <w:ilvl w:val="0"/>
          <w:numId w:val="7"/>
        </w:numPr>
      </w:pPr>
      <w:r>
        <w:t>w części nowej  1;</w:t>
      </w:r>
    </w:p>
    <w:p w:rsidR="00E715B9" w:rsidRDefault="00866ABD" w:rsidP="00866ABD">
      <w:r>
        <w:tab/>
        <w:t>Budynek Wydziału Biologii i Nauk o Ziemi jest zaliczany do obiektów średniowysokich (SW).</w:t>
      </w:r>
    </w:p>
    <w:p w:rsidR="00866ABD" w:rsidRPr="00BC77B3" w:rsidRDefault="00866ABD" w:rsidP="00866ABD"/>
    <w:p w:rsidR="007712A6" w:rsidRPr="00E715B9" w:rsidRDefault="00E715B9" w:rsidP="00542F19">
      <w:pPr>
        <w:pStyle w:val="Nagwek2"/>
      </w:pPr>
      <w:bookmarkStart w:id="6" w:name="_Toc287549979"/>
      <w:r>
        <w:t>2.3. Odległość od obiektów sąsiadujących</w:t>
      </w:r>
      <w:bookmarkEnd w:id="6"/>
    </w:p>
    <w:p w:rsidR="007712A6" w:rsidRDefault="007712A6" w:rsidP="007712A6">
      <w:pPr>
        <w:rPr>
          <w:b/>
        </w:rPr>
      </w:pPr>
    </w:p>
    <w:p w:rsidR="00E715B9" w:rsidRDefault="00034751" w:rsidP="00034751">
      <w:r>
        <w:tab/>
        <w:t>Budynek Wydziału Biologii i Nauk o Ziemi usytuowany jest na obszarze kampusu UMCS w Lublinie, w zabudowie śródmiejskiej. Odległość do najbliższych budynków wynosi około 20 m. Usytuowanie obiektu z uwagi na bezpieczeństwo pożarowe prawidłowe.</w:t>
      </w:r>
    </w:p>
    <w:p w:rsidR="00034751" w:rsidRDefault="00034751" w:rsidP="00034751"/>
    <w:p w:rsidR="00034751" w:rsidRDefault="00034751" w:rsidP="00542F19">
      <w:pPr>
        <w:pStyle w:val="Nagwek2"/>
      </w:pPr>
      <w:bookmarkStart w:id="7" w:name="_Toc287549980"/>
      <w:r>
        <w:t>2.4. Parametry pożarowe występujących substancji palnych</w:t>
      </w:r>
      <w:bookmarkEnd w:id="7"/>
    </w:p>
    <w:p w:rsidR="00FD0600" w:rsidRDefault="00FD0600" w:rsidP="00034751">
      <w:pPr>
        <w:rPr>
          <w:b/>
        </w:rPr>
      </w:pPr>
    </w:p>
    <w:p w:rsidR="00B44227" w:rsidRDefault="00FD0600" w:rsidP="00B44227">
      <w:r>
        <w:rPr>
          <w:b/>
        </w:rPr>
        <w:tab/>
      </w:r>
      <w:r>
        <w:t xml:space="preserve">Z charakteru i przeznaczenia rozpatrywanego obiektu wynika, że nie przewiduje się w nim składowania materiałów palnych, poza niewielkimi ilościami służącymi                       do celów dydaktycznych w salach laboratoryjnych, np. gliceryna. </w:t>
      </w:r>
      <w:r w:rsidR="00B44227">
        <w:t>Wykorzystywane w tych samych celach gazy techniczne (dwutlenek węgla, azot, freon), przechowywane                         w zbiornikach ciśnieniowych, mogą w warunkach pożarowych stwarzać zagrożenie wybuchem fizycznym. Jako odczynniki w laboratoriach stosuje się również niewielkie ilości stężonych kwasów, jak np. kwas azotowy V, kwas siarkowy VI.</w:t>
      </w:r>
    </w:p>
    <w:p w:rsidR="00034751" w:rsidRDefault="00034751" w:rsidP="00034751">
      <w:pPr>
        <w:rPr>
          <w:b/>
        </w:rPr>
      </w:pPr>
    </w:p>
    <w:p w:rsidR="00D643F6" w:rsidRDefault="00D643F6" w:rsidP="00034751">
      <w:pPr>
        <w:rPr>
          <w:b/>
        </w:rPr>
      </w:pPr>
    </w:p>
    <w:p w:rsidR="00D643F6" w:rsidRDefault="00D643F6" w:rsidP="00034751">
      <w:pPr>
        <w:rPr>
          <w:b/>
        </w:rPr>
      </w:pPr>
    </w:p>
    <w:p w:rsidR="00D643F6" w:rsidRDefault="00D643F6" w:rsidP="00034751">
      <w:pPr>
        <w:rPr>
          <w:b/>
        </w:rPr>
      </w:pPr>
    </w:p>
    <w:p w:rsidR="00034751" w:rsidRDefault="007261FE" w:rsidP="00542F19">
      <w:pPr>
        <w:pStyle w:val="Nagwek2"/>
      </w:pPr>
      <w:bookmarkStart w:id="8" w:name="_Toc287549981"/>
      <w:r>
        <w:t>2.5. Elementy wystroju i wyposażenia wnętrz</w:t>
      </w:r>
      <w:bookmarkEnd w:id="8"/>
    </w:p>
    <w:p w:rsidR="007261FE" w:rsidRDefault="007261FE" w:rsidP="00034751">
      <w:pPr>
        <w:rPr>
          <w:b/>
        </w:rPr>
      </w:pPr>
    </w:p>
    <w:p w:rsidR="007261FE" w:rsidRDefault="00D63DE8" w:rsidP="00034751">
      <w:r>
        <w:rPr>
          <w:b/>
        </w:rPr>
        <w:tab/>
      </w:r>
      <w:r>
        <w:t>Na korytarzach stanowiących poziome drogi ewakuacyjne na parterze oraz poziomie „-1” w starej części budynku w segmencie A znajdują się drewniane szafy, niespełniające wymogów co najmniej trudno zapalności. Na drogach ewakuacyjnych zabrania się stosowania materiałów łatwo zapalnych.</w:t>
      </w:r>
      <w:r w:rsidR="00A75BAC">
        <w:t xml:space="preserve"> W pomieszczeniach                                 w rozpatrywanym budynku występują wykładziny z PCW o nieznanym stopniu palności.</w:t>
      </w:r>
      <w:r>
        <w:t xml:space="preserve"> </w:t>
      </w:r>
      <w:r w:rsidR="00A75BAC">
        <w:t xml:space="preserve">                         </w:t>
      </w:r>
      <w:r>
        <w:t>W strefach pożarowych ZL</w:t>
      </w:r>
      <w:r w:rsidR="00B00784">
        <w:t xml:space="preserve"> </w:t>
      </w:r>
      <w:r>
        <w:t>III zabrania się stosowania materiałów łatwo zapalnych, których produkty rozkładu termicznego są bardzo toksyczne lub intensywnie drażniące.</w:t>
      </w:r>
    </w:p>
    <w:p w:rsidR="00D63DE8" w:rsidRDefault="00D63DE8" w:rsidP="00034751"/>
    <w:p w:rsidR="00D63DE8" w:rsidRDefault="00D63DE8" w:rsidP="00542F19">
      <w:pPr>
        <w:pStyle w:val="Nagwek2"/>
      </w:pPr>
      <w:bookmarkStart w:id="9" w:name="_Toc287549982"/>
      <w:r>
        <w:t>2.6. Gęstość obciążenia ogniowego</w:t>
      </w:r>
      <w:bookmarkEnd w:id="9"/>
    </w:p>
    <w:p w:rsidR="00340CB3" w:rsidRDefault="00340CB3" w:rsidP="00034751">
      <w:pPr>
        <w:rPr>
          <w:b/>
        </w:rPr>
      </w:pPr>
    </w:p>
    <w:p w:rsidR="00340CB3" w:rsidRDefault="00340CB3" w:rsidP="00034751">
      <w:r>
        <w:rPr>
          <w:b/>
        </w:rPr>
        <w:tab/>
      </w:r>
      <w:r>
        <w:t xml:space="preserve">Dla budynku dydaktyczno-biurowego nie określa się gęstości obciążenia ogniowego. W pomieszczeniach technicznych, gospodarczych oraz archiwach, w których przechowywana jest dokumentacja, przewidywana gęstość obciążenia ogniowego </w:t>
      </w:r>
      <w:r w:rsidR="00B44227">
        <w:t xml:space="preserve">                   </w:t>
      </w:r>
      <w:r>
        <w:t>nie przekracza 500 MJ/m</w:t>
      </w:r>
      <w:r>
        <w:rPr>
          <w:vertAlign w:val="superscript"/>
        </w:rPr>
        <w:t>2</w:t>
      </w:r>
      <w:r>
        <w:t>.</w:t>
      </w:r>
    </w:p>
    <w:p w:rsidR="00866ABD" w:rsidRDefault="00866ABD" w:rsidP="00034751"/>
    <w:p w:rsidR="00340CB3" w:rsidRDefault="00340CB3" w:rsidP="00542F19">
      <w:pPr>
        <w:pStyle w:val="Nagwek2"/>
      </w:pPr>
      <w:bookmarkStart w:id="10" w:name="_Toc287549983"/>
      <w:r>
        <w:t>2.7. Kategoria zagrożenia ludzi</w:t>
      </w:r>
      <w:bookmarkEnd w:id="10"/>
    </w:p>
    <w:p w:rsidR="00866ABD" w:rsidRDefault="00866ABD" w:rsidP="00034751">
      <w:pPr>
        <w:rPr>
          <w:b/>
        </w:rPr>
      </w:pPr>
    </w:p>
    <w:p w:rsidR="00D643F6" w:rsidRDefault="00866ABD" w:rsidP="00034751">
      <w:r>
        <w:rPr>
          <w:b/>
        </w:rPr>
        <w:tab/>
      </w:r>
      <w:r>
        <w:t>Przedmiotowy budynek ma przeznaczenie dydaktyczno-biurowe i jest zaliczany               do kategorii ZL</w:t>
      </w:r>
      <w:r w:rsidR="00D643F6">
        <w:t xml:space="preserve"> </w:t>
      </w:r>
      <w:r>
        <w:t xml:space="preserve">III zagrożenia ludzi. Maksymalnie w obiekcie może przebywać około 2000 osób, w tym porze nocnej 1-2 osoby. </w:t>
      </w:r>
      <w:r w:rsidR="008B52B2">
        <w:t>Budynek wydz</w:t>
      </w:r>
      <w:r w:rsidR="00D643F6">
        <w:t>iału posiada jedno pomieszczenie</w:t>
      </w:r>
      <w:r w:rsidR="008B52B2">
        <w:t xml:space="preserve"> przeznaczone do jednoczesnego przebywania ponad 50 osób. Na poziomie niskiego parteru w segmencie A znajduje się aula wykładowa przeznaczona do jednoczesnego przebywania ponad 50 osób, wyposażona w dwa wyjścia ewakuacyjne</w:t>
      </w:r>
      <w:r w:rsidR="00D643F6">
        <w:t>.</w:t>
      </w:r>
    </w:p>
    <w:p w:rsidR="00D643F6" w:rsidRDefault="00D643F6" w:rsidP="00034751"/>
    <w:p w:rsidR="008B52B2" w:rsidRDefault="008B52B2" w:rsidP="00542F19">
      <w:pPr>
        <w:pStyle w:val="Nagwek2"/>
      </w:pPr>
      <w:bookmarkStart w:id="11" w:name="_Toc287549984"/>
      <w:r>
        <w:t>2.8. Zagrożenie wybuchem pomieszczeń oraz przestrzeni zewnętrznych</w:t>
      </w:r>
      <w:bookmarkEnd w:id="11"/>
    </w:p>
    <w:p w:rsidR="008B52B2" w:rsidRDefault="008B52B2" w:rsidP="00034751">
      <w:pPr>
        <w:rPr>
          <w:b/>
        </w:rPr>
      </w:pPr>
    </w:p>
    <w:p w:rsidR="008B52B2" w:rsidRDefault="008B52B2" w:rsidP="00034751">
      <w:r>
        <w:rPr>
          <w:b/>
        </w:rPr>
        <w:tab/>
      </w:r>
      <w:r>
        <w:t xml:space="preserve">W budynku Wydziału Biologii i Nauk o Ziemi nie występują pomieszczenia zagrożone wybuchem, jak również przestrzenie </w:t>
      </w:r>
      <w:r w:rsidR="00467443">
        <w:t>zewnętrzne zagrożone wybuchem.                       W obiekcie znajduje się instalacja gazowa</w:t>
      </w:r>
      <w:r>
        <w:rPr>
          <w:b/>
        </w:rPr>
        <w:t xml:space="preserve"> </w:t>
      </w:r>
      <w:r w:rsidR="00467443">
        <w:t>połączona z miejską siecią gazową. Niewielkie ilości palnych sub</w:t>
      </w:r>
      <w:r w:rsidR="00B44227">
        <w:t>stancji, jak np. gliceryna, są wykorzystywane</w:t>
      </w:r>
      <w:r w:rsidR="00467443">
        <w:t xml:space="preserve"> w laboratoriach do celów dydaktycznych. Wykorzystywane w identycznych celach gazy techniczne (dwutlenek węgla, azot, freon), przechowywane w zbiornikach ciśnieniowych, mogą w warunkach pożarowych stwarzać zagrożenie wybuchem fizycznym.</w:t>
      </w:r>
    </w:p>
    <w:p w:rsidR="00D643F6" w:rsidRDefault="00D643F6" w:rsidP="00034751"/>
    <w:p w:rsidR="00467443" w:rsidRDefault="00467443" w:rsidP="00542F19">
      <w:pPr>
        <w:pStyle w:val="Nagwek2"/>
      </w:pPr>
      <w:bookmarkStart w:id="12" w:name="_Toc287549985"/>
      <w:r>
        <w:t>2.9. Podział obiektu na strefy pożarowe</w:t>
      </w:r>
      <w:bookmarkEnd w:id="12"/>
    </w:p>
    <w:p w:rsidR="00467443" w:rsidRDefault="00467443" w:rsidP="00034751">
      <w:pPr>
        <w:rPr>
          <w:b/>
        </w:rPr>
      </w:pPr>
    </w:p>
    <w:p w:rsidR="00467443" w:rsidRDefault="00467443" w:rsidP="00034751">
      <w:r>
        <w:rPr>
          <w:b/>
        </w:rPr>
        <w:tab/>
      </w:r>
      <w:r>
        <w:t xml:space="preserve">Przedmiotowy budynek stanowi obecnie jedną strefę pożarową o powierzchni </w:t>
      </w:r>
      <w:r w:rsidR="00D643F6">
        <w:t xml:space="preserve">              </w:t>
      </w:r>
      <w:r>
        <w:t>12</w:t>
      </w:r>
      <w:r w:rsidR="00D643F6">
        <w:t xml:space="preserve"> </w:t>
      </w:r>
      <w:r>
        <w:t>288 m</w:t>
      </w:r>
      <w:r>
        <w:rPr>
          <w:vertAlign w:val="superscript"/>
        </w:rPr>
        <w:t>2</w:t>
      </w:r>
      <w:r>
        <w:t>. Dopuszczalna powierzchnia strefy pożarowej dla budynku średniowysokiego              i kategorii ZLIII zagrożenia ludzi</w:t>
      </w:r>
      <w:r w:rsidR="007A2A79">
        <w:t xml:space="preserve"> wynosi 5000 m</w:t>
      </w:r>
      <w:r w:rsidR="007A2A79">
        <w:rPr>
          <w:vertAlign w:val="superscript"/>
        </w:rPr>
        <w:t>2</w:t>
      </w:r>
      <w:r w:rsidR="007A2A79">
        <w:t>, zatem obecna strefa pożarowa stanowi około 245% wartości wskazanej w warunkach technicznych [2].</w:t>
      </w:r>
    </w:p>
    <w:p w:rsidR="007A2A79" w:rsidRDefault="007A2A79" w:rsidP="00034751"/>
    <w:p w:rsidR="007A2A79" w:rsidRDefault="007A2A79" w:rsidP="00542F19">
      <w:pPr>
        <w:pStyle w:val="Nagwek2"/>
      </w:pPr>
      <w:bookmarkStart w:id="13" w:name="_Toc287549986"/>
      <w:r>
        <w:t>2.10. Klasa odporności pożarowej budynku</w:t>
      </w:r>
      <w:bookmarkEnd w:id="13"/>
    </w:p>
    <w:p w:rsidR="00B00784" w:rsidRDefault="00B00784" w:rsidP="00542F19">
      <w:pPr>
        <w:pStyle w:val="Nagwek2"/>
      </w:pPr>
    </w:p>
    <w:p w:rsidR="00711808" w:rsidRDefault="00711808" w:rsidP="00034751">
      <w:r>
        <w:rPr>
          <w:b/>
        </w:rPr>
        <w:tab/>
      </w:r>
      <w:r>
        <w:t>Charakterystyka konstrukcyjna budynku przedstawia się następująco:</w:t>
      </w:r>
    </w:p>
    <w:p w:rsidR="00711808" w:rsidRDefault="00711808" w:rsidP="002F6478">
      <w:pPr>
        <w:pStyle w:val="Akapitzlist"/>
        <w:numPr>
          <w:ilvl w:val="0"/>
          <w:numId w:val="8"/>
        </w:numPr>
      </w:pPr>
      <w:r>
        <w:t>segment A:</w:t>
      </w:r>
    </w:p>
    <w:p w:rsidR="00711808" w:rsidRDefault="00711808" w:rsidP="002F6478">
      <w:pPr>
        <w:pStyle w:val="Akapitzlist"/>
        <w:numPr>
          <w:ilvl w:val="0"/>
          <w:numId w:val="9"/>
        </w:numPr>
        <w:ind w:left="1077" w:hanging="357"/>
      </w:pPr>
      <w:r>
        <w:t>konstrukcja nośna – żelbetowo słupkowo ryglowa;</w:t>
      </w:r>
    </w:p>
    <w:p w:rsidR="00711808" w:rsidRDefault="00711808" w:rsidP="002F6478">
      <w:pPr>
        <w:pStyle w:val="Akapitzlist"/>
        <w:numPr>
          <w:ilvl w:val="0"/>
          <w:numId w:val="9"/>
        </w:numPr>
      </w:pPr>
      <w:r>
        <w:t>stropy – płyty kanałowe żelbetowe prefabrykowane;</w:t>
      </w:r>
    </w:p>
    <w:p w:rsidR="00711808" w:rsidRDefault="00711808" w:rsidP="002F6478">
      <w:pPr>
        <w:pStyle w:val="Akapitzlist"/>
        <w:numPr>
          <w:ilvl w:val="0"/>
          <w:numId w:val="9"/>
        </w:numPr>
      </w:pPr>
      <w:r>
        <w:t>ściany osłonowe – prefabrykowane żelbetowe;</w:t>
      </w:r>
    </w:p>
    <w:p w:rsidR="00711808" w:rsidRDefault="00711808" w:rsidP="002F6478">
      <w:pPr>
        <w:pStyle w:val="Akapitzlist"/>
        <w:numPr>
          <w:ilvl w:val="0"/>
          <w:numId w:val="9"/>
        </w:numPr>
      </w:pPr>
      <w:r>
        <w:t>ściany działowe – cegła dziurawka i pełna;</w:t>
      </w:r>
    </w:p>
    <w:p w:rsidR="00711808" w:rsidRDefault="00711808" w:rsidP="002F6478">
      <w:pPr>
        <w:pStyle w:val="Akapitzlist"/>
        <w:numPr>
          <w:ilvl w:val="0"/>
          <w:numId w:val="9"/>
        </w:numPr>
      </w:pPr>
      <w:r>
        <w:t>szyb dźwigu osobowego – żelbetowy monolityczny;</w:t>
      </w:r>
    </w:p>
    <w:p w:rsidR="00711808" w:rsidRDefault="00711808" w:rsidP="002F6478">
      <w:pPr>
        <w:pStyle w:val="Akapitzlist"/>
        <w:numPr>
          <w:ilvl w:val="0"/>
          <w:numId w:val="9"/>
        </w:numPr>
      </w:pPr>
      <w:r>
        <w:t>dach – stropodach wentylowany z płyt dachowych korytkowych pokryty papą;</w:t>
      </w:r>
    </w:p>
    <w:p w:rsidR="00711808" w:rsidRDefault="0018632B" w:rsidP="002F6478">
      <w:pPr>
        <w:pStyle w:val="Akapitzlist"/>
        <w:numPr>
          <w:ilvl w:val="0"/>
          <w:numId w:val="10"/>
        </w:numPr>
        <w:ind w:left="357" w:hanging="357"/>
      </w:pPr>
      <w:r>
        <w:t>segment B:</w:t>
      </w:r>
    </w:p>
    <w:p w:rsidR="0018632B" w:rsidRDefault="0018632B" w:rsidP="002F6478">
      <w:pPr>
        <w:pStyle w:val="Akapitzlist"/>
        <w:numPr>
          <w:ilvl w:val="0"/>
          <w:numId w:val="11"/>
        </w:numPr>
      </w:pPr>
      <w:r>
        <w:t>konstrukcja nośna – stalowa ramowa;</w:t>
      </w:r>
    </w:p>
    <w:p w:rsidR="0018632B" w:rsidRDefault="0018632B" w:rsidP="002F6478">
      <w:pPr>
        <w:pStyle w:val="Akapitzlist"/>
        <w:numPr>
          <w:ilvl w:val="0"/>
          <w:numId w:val="11"/>
        </w:numPr>
      </w:pPr>
      <w:r>
        <w:t>stropy – żelbetowe płytowe monolityczne na belkach stalowych;</w:t>
      </w:r>
    </w:p>
    <w:p w:rsidR="0018632B" w:rsidRDefault="0018632B" w:rsidP="002F6478">
      <w:pPr>
        <w:pStyle w:val="Akapitzlist"/>
        <w:numPr>
          <w:ilvl w:val="0"/>
          <w:numId w:val="11"/>
        </w:numPr>
      </w:pPr>
      <w:r>
        <w:t>ściany osłonowe – konstrukcja stalowa z wypełnieniem elementami aluminiowymi stałymi;</w:t>
      </w:r>
    </w:p>
    <w:p w:rsidR="00711808" w:rsidRDefault="0018632B" w:rsidP="002F6478">
      <w:pPr>
        <w:pStyle w:val="Akapitzlist"/>
        <w:numPr>
          <w:ilvl w:val="0"/>
          <w:numId w:val="11"/>
        </w:numPr>
      </w:pPr>
      <w:r>
        <w:t>ściany działowe – cegła dziurawka i pełna;</w:t>
      </w:r>
    </w:p>
    <w:p w:rsidR="0018632B" w:rsidRDefault="0018632B" w:rsidP="002F6478">
      <w:pPr>
        <w:pStyle w:val="Akapitzlist"/>
        <w:numPr>
          <w:ilvl w:val="0"/>
          <w:numId w:val="11"/>
        </w:numPr>
      </w:pPr>
      <w:r>
        <w:t>dach – stropodach o konstrukcji stalowej kryty blachą falowaną, pokryty papą;</w:t>
      </w:r>
    </w:p>
    <w:p w:rsidR="0018632B" w:rsidRDefault="0018632B" w:rsidP="002F6478">
      <w:pPr>
        <w:pStyle w:val="Akapitzlist"/>
        <w:numPr>
          <w:ilvl w:val="0"/>
          <w:numId w:val="12"/>
        </w:numPr>
        <w:ind w:left="357" w:hanging="357"/>
      </w:pPr>
      <w:r>
        <w:t>segment C:</w:t>
      </w:r>
    </w:p>
    <w:p w:rsidR="0018632B" w:rsidRDefault="0018632B" w:rsidP="002F6478">
      <w:pPr>
        <w:pStyle w:val="Akapitzlist"/>
        <w:numPr>
          <w:ilvl w:val="0"/>
          <w:numId w:val="13"/>
        </w:numPr>
      </w:pPr>
      <w:r>
        <w:t>konstrukcja nośna – w dolnych kondygnacjach żelbetowa, murowana z cegły,  w górnych kondygnacjach stalowy układ ramowy;</w:t>
      </w:r>
    </w:p>
    <w:p w:rsidR="0018632B" w:rsidRDefault="0018632B" w:rsidP="002F6478">
      <w:pPr>
        <w:pStyle w:val="Akapitzlist"/>
        <w:numPr>
          <w:ilvl w:val="0"/>
          <w:numId w:val="13"/>
        </w:numPr>
      </w:pPr>
      <w:r>
        <w:t>stropy – płyty żelbetowe;</w:t>
      </w:r>
    </w:p>
    <w:p w:rsidR="0018632B" w:rsidRDefault="0018632B" w:rsidP="002F6478">
      <w:pPr>
        <w:pStyle w:val="Akapitzlist"/>
        <w:numPr>
          <w:ilvl w:val="0"/>
          <w:numId w:val="13"/>
        </w:numPr>
      </w:pPr>
      <w:r>
        <w:t>ściany osłonowe – murowane z cegły;</w:t>
      </w:r>
    </w:p>
    <w:p w:rsidR="0018632B" w:rsidRDefault="0018632B" w:rsidP="002F6478">
      <w:pPr>
        <w:pStyle w:val="Akapitzlist"/>
        <w:numPr>
          <w:ilvl w:val="0"/>
          <w:numId w:val="13"/>
        </w:numPr>
      </w:pPr>
      <w:r>
        <w:t>ściany działowe – cegła dziurawka i pełna;</w:t>
      </w:r>
    </w:p>
    <w:p w:rsidR="0018632B" w:rsidRPr="00711808" w:rsidRDefault="0018632B" w:rsidP="002F6478">
      <w:pPr>
        <w:pStyle w:val="Akapitzlist"/>
        <w:numPr>
          <w:ilvl w:val="0"/>
          <w:numId w:val="13"/>
        </w:numPr>
      </w:pPr>
      <w:r>
        <w:t>dach – stropodach lekki o konstrukcji stalowej pokryty papą;</w:t>
      </w:r>
    </w:p>
    <w:p w:rsidR="0018632B" w:rsidRPr="0018632B" w:rsidRDefault="0018632B" w:rsidP="002F6478">
      <w:pPr>
        <w:pStyle w:val="Akapitzlist"/>
        <w:numPr>
          <w:ilvl w:val="0"/>
          <w:numId w:val="20"/>
        </w:numPr>
        <w:ind w:left="357" w:hanging="357"/>
        <w:rPr>
          <w:b/>
        </w:rPr>
      </w:pPr>
      <w:r>
        <w:t>„nowa’” część budynku:</w:t>
      </w:r>
    </w:p>
    <w:p w:rsidR="0018632B" w:rsidRPr="0018632B" w:rsidRDefault="0018632B" w:rsidP="002F6478">
      <w:pPr>
        <w:pStyle w:val="Akapitzlist"/>
        <w:numPr>
          <w:ilvl w:val="0"/>
          <w:numId w:val="14"/>
        </w:numPr>
      </w:pPr>
      <w:r w:rsidRPr="0018632B">
        <w:t xml:space="preserve">stropy – </w:t>
      </w:r>
      <w:r>
        <w:t>żelbetowe</w:t>
      </w:r>
      <w:r w:rsidR="00FE189C">
        <w:t>;</w:t>
      </w:r>
    </w:p>
    <w:p w:rsidR="0018632B" w:rsidRPr="0018632B" w:rsidRDefault="00FE189C" w:rsidP="002F6478">
      <w:pPr>
        <w:pStyle w:val="Akapitzlist"/>
        <w:numPr>
          <w:ilvl w:val="0"/>
          <w:numId w:val="14"/>
        </w:numPr>
      </w:pPr>
      <w:r>
        <w:t>ściany nośne</w:t>
      </w:r>
      <w:r w:rsidR="0018632B" w:rsidRPr="0018632B">
        <w:t xml:space="preserve"> –</w:t>
      </w:r>
      <w:r>
        <w:t xml:space="preserve"> płyta żelbetowa;</w:t>
      </w:r>
      <w:r w:rsidR="0018632B" w:rsidRPr="0018632B">
        <w:t xml:space="preserve"> </w:t>
      </w:r>
    </w:p>
    <w:p w:rsidR="0018632B" w:rsidRPr="0018632B" w:rsidRDefault="0018632B" w:rsidP="002F6478">
      <w:pPr>
        <w:pStyle w:val="Akapitzlist"/>
        <w:numPr>
          <w:ilvl w:val="0"/>
          <w:numId w:val="14"/>
        </w:numPr>
      </w:pPr>
      <w:r w:rsidRPr="0018632B">
        <w:t xml:space="preserve">ściany działowe – </w:t>
      </w:r>
      <w:r w:rsidR="00FE189C">
        <w:t>murowane (belit);</w:t>
      </w:r>
    </w:p>
    <w:p w:rsidR="0018632B" w:rsidRPr="0018632B" w:rsidRDefault="0018632B" w:rsidP="002F6478">
      <w:pPr>
        <w:pStyle w:val="Akapitzlist"/>
        <w:numPr>
          <w:ilvl w:val="0"/>
          <w:numId w:val="14"/>
        </w:numPr>
      </w:pPr>
      <w:r w:rsidRPr="0018632B">
        <w:t xml:space="preserve">szyb dźwigu osobowego – </w:t>
      </w:r>
      <w:r w:rsidR="00FE189C">
        <w:t>żelbetowy monolityczny;</w:t>
      </w:r>
    </w:p>
    <w:p w:rsidR="00AC0043" w:rsidRDefault="0018632B" w:rsidP="002F6478">
      <w:pPr>
        <w:pStyle w:val="Akapitzlist"/>
        <w:numPr>
          <w:ilvl w:val="0"/>
          <w:numId w:val="14"/>
        </w:numPr>
      </w:pPr>
      <w:r w:rsidRPr="0018632B">
        <w:t xml:space="preserve">dach </w:t>
      </w:r>
      <w:r w:rsidR="00FE189C">
        <w:t>–</w:t>
      </w:r>
      <w:r w:rsidRPr="0018632B">
        <w:t xml:space="preserve"> </w:t>
      </w:r>
      <w:r w:rsidR="00FE189C">
        <w:t>stropodach żelbetowy pokryty papą.</w:t>
      </w:r>
    </w:p>
    <w:p w:rsidR="00D643F6" w:rsidRDefault="00D643F6" w:rsidP="00D643F6">
      <w:pPr>
        <w:pStyle w:val="Akapitzlist"/>
        <w:ind w:left="1077"/>
      </w:pPr>
    </w:p>
    <w:p w:rsidR="00AC0043" w:rsidRDefault="00AC0043" w:rsidP="00FE189C">
      <w:r>
        <w:t>Wymaganą klasą odporności pożarowej dla budynku jest klasa B.</w:t>
      </w:r>
    </w:p>
    <w:p w:rsidR="00AC0043" w:rsidRDefault="00AC0043" w:rsidP="00FE189C"/>
    <w:p w:rsidR="00AC0043" w:rsidRPr="00AC0043" w:rsidRDefault="00AC0043" w:rsidP="00AC0043">
      <w:pPr>
        <w:pStyle w:val="Legenda"/>
        <w:keepNext/>
        <w:rPr>
          <w:color w:val="auto"/>
          <w:sz w:val="20"/>
          <w:szCs w:val="20"/>
        </w:rPr>
      </w:pPr>
      <w:r w:rsidRPr="00AC0043">
        <w:rPr>
          <w:color w:val="auto"/>
          <w:sz w:val="20"/>
          <w:szCs w:val="20"/>
        </w:rPr>
        <w:t xml:space="preserve">Tabela </w:t>
      </w:r>
      <w:r w:rsidR="00B77461" w:rsidRPr="00AC0043">
        <w:rPr>
          <w:color w:val="auto"/>
          <w:sz w:val="20"/>
          <w:szCs w:val="20"/>
        </w:rPr>
        <w:fldChar w:fldCharType="begin"/>
      </w:r>
      <w:r w:rsidRPr="00AC0043">
        <w:rPr>
          <w:color w:val="auto"/>
          <w:sz w:val="20"/>
          <w:szCs w:val="20"/>
        </w:rPr>
        <w:instrText xml:space="preserve"> SEQ Tabela \* ARABIC </w:instrText>
      </w:r>
      <w:r w:rsidR="00B77461" w:rsidRPr="00AC0043">
        <w:rPr>
          <w:color w:val="auto"/>
          <w:sz w:val="20"/>
          <w:szCs w:val="20"/>
        </w:rPr>
        <w:fldChar w:fldCharType="separate"/>
      </w:r>
      <w:r w:rsidR="00E136B5">
        <w:rPr>
          <w:noProof/>
          <w:color w:val="auto"/>
          <w:sz w:val="20"/>
          <w:szCs w:val="20"/>
        </w:rPr>
        <w:t>1</w:t>
      </w:r>
      <w:r w:rsidR="00B77461" w:rsidRPr="00AC0043">
        <w:rPr>
          <w:color w:val="auto"/>
          <w:sz w:val="20"/>
          <w:szCs w:val="20"/>
        </w:rPr>
        <w:fldChar w:fldCharType="end"/>
      </w:r>
      <w:r w:rsidRPr="00AC0043">
        <w:rPr>
          <w:color w:val="auto"/>
          <w:sz w:val="20"/>
          <w:szCs w:val="20"/>
        </w:rPr>
        <w:t>. Odporność ogniowa</w:t>
      </w:r>
      <w:r>
        <w:rPr>
          <w:color w:val="auto"/>
          <w:sz w:val="20"/>
          <w:szCs w:val="20"/>
        </w:rPr>
        <w:t xml:space="preserve"> elementów budynków</w:t>
      </w:r>
    </w:p>
    <w:tbl>
      <w:tblPr>
        <w:tblW w:w="8931" w:type="dxa"/>
        <w:jc w:val="center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276"/>
        <w:gridCol w:w="1275"/>
        <w:gridCol w:w="1134"/>
        <w:gridCol w:w="1134"/>
        <w:gridCol w:w="1276"/>
        <w:gridCol w:w="1276"/>
      </w:tblGrid>
      <w:tr w:rsidR="00AC0043" w:rsidRPr="00FC6FAD" w:rsidTr="00E136B5">
        <w:trPr>
          <w:cantSplit/>
          <w:jc w:val="center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0043" w:rsidRPr="003F4D9F" w:rsidRDefault="00AC0043" w:rsidP="00E136B5">
            <w:pPr>
              <w:pStyle w:val="Tabela"/>
              <w:spacing w:before="120" w:after="120" w:line="240" w:lineRule="exact"/>
              <w:jc w:val="center"/>
              <w:rPr>
                <w:rFonts w:ascii="DejaVu Serif Condensed" w:hAnsi="DejaVu Serif Condensed" w:cs="Arial"/>
                <w:b/>
                <w:bCs/>
                <w:sz w:val="22"/>
                <w:szCs w:val="22"/>
              </w:rPr>
            </w:pPr>
            <w:r w:rsidRPr="003F4D9F">
              <w:rPr>
                <w:rFonts w:ascii="DejaVu Serif Condensed" w:hAnsi="DejaVu Serif Condensed" w:cs="Arial"/>
                <w:b/>
                <w:bCs/>
                <w:sz w:val="22"/>
                <w:szCs w:val="22"/>
              </w:rPr>
              <w:t>Klasa</w:t>
            </w:r>
          </w:p>
          <w:p w:rsidR="00AC0043" w:rsidRPr="003F4D9F" w:rsidRDefault="00AC0043" w:rsidP="00E136B5">
            <w:pPr>
              <w:pStyle w:val="Tabela"/>
              <w:spacing w:before="120" w:after="120" w:line="240" w:lineRule="exact"/>
              <w:jc w:val="center"/>
              <w:rPr>
                <w:rFonts w:ascii="DejaVu Serif Condensed" w:hAnsi="DejaVu Serif Condensed" w:cs="Arial"/>
                <w:b/>
                <w:bCs/>
                <w:sz w:val="22"/>
                <w:szCs w:val="22"/>
              </w:rPr>
            </w:pPr>
            <w:r w:rsidRPr="003F4D9F">
              <w:rPr>
                <w:rFonts w:ascii="DejaVu Serif Condensed" w:hAnsi="DejaVu Serif Condensed" w:cs="Arial"/>
                <w:b/>
                <w:bCs/>
                <w:sz w:val="22"/>
                <w:szCs w:val="22"/>
              </w:rPr>
              <w:t>odporności</w:t>
            </w:r>
          </w:p>
          <w:p w:rsidR="00AC0043" w:rsidRPr="003F4D9F" w:rsidRDefault="00AC0043" w:rsidP="00E136B5">
            <w:pPr>
              <w:pStyle w:val="Tabela"/>
              <w:spacing w:before="120" w:after="120" w:line="240" w:lineRule="exact"/>
              <w:jc w:val="center"/>
              <w:rPr>
                <w:rFonts w:ascii="DejaVu Serif Condensed" w:hAnsi="DejaVu Serif Condensed" w:cs="Arial"/>
                <w:b/>
                <w:bCs/>
                <w:sz w:val="22"/>
                <w:szCs w:val="22"/>
              </w:rPr>
            </w:pPr>
            <w:r w:rsidRPr="003F4D9F">
              <w:rPr>
                <w:rFonts w:ascii="DejaVu Serif Condensed" w:hAnsi="DejaVu Serif Condensed" w:cs="Arial"/>
                <w:b/>
                <w:bCs/>
                <w:sz w:val="22"/>
                <w:szCs w:val="22"/>
              </w:rPr>
              <w:t>pożarowej</w:t>
            </w:r>
          </w:p>
          <w:p w:rsidR="00AC0043" w:rsidRPr="003F4D9F" w:rsidRDefault="00AC0043" w:rsidP="00E136B5">
            <w:pPr>
              <w:pStyle w:val="Tabela"/>
              <w:spacing w:before="120" w:after="120" w:line="240" w:lineRule="exact"/>
              <w:jc w:val="center"/>
              <w:rPr>
                <w:rFonts w:ascii="DejaVu Serif Condensed" w:hAnsi="DejaVu Serif Condensed" w:cs="Arial"/>
                <w:b/>
                <w:bCs/>
                <w:sz w:val="22"/>
                <w:szCs w:val="22"/>
              </w:rPr>
            </w:pPr>
            <w:r w:rsidRPr="003F4D9F">
              <w:rPr>
                <w:rFonts w:ascii="DejaVu Serif Condensed" w:hAnsi="DejaVu Serif Condensed" w:cs="Arial"/>
                <w:b/>
                <w:bCs/>
                <w:sz w:val="22"/>
                <w:szCs w:val="22"/>
              </w:rPr>
              <w:t>budynku</w:t>
            </w:r>
          </w:p>
          <w:p w:rsidR="00AC0043" w:rsidRPr="003F4D9F" w:rsidRDefault="00AC0043" w:rsidP="00E136B5">
            <w:pPr>
              <w:pStyle w:val="Tabela"/>
              <w:spacing w:before="120" w:after="120" w:line="240" w:lineRule="exact"/>
              <w:jc w:val="center"/>
              <w:rPr>
                <w:rFonts w:ascii="DejaVu Serif Condensed" w:hAnsi="DejaVu Serif Condensed" w:cs="Arial"/>
                <w:sz w:val="22"/>
                <w:szCs w:val="22"/>
              </w:rPr>
            </w:pPr>
          </w:p>
        </w:tc>
        <w:tc>
          <w:tcPr>
            <w:tcW w:w="73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043" w:rsidRPr="003F4D9F" w:rsidRDefault="00AC0043" w:rsidP="00E136B5">
            <w:pPr>
              <w:pStyle w:val="Tabela"/>
              <w:spacing w:before="120" w:after="120" w:line="240" w:lineRule="exact"/>
              <w:jc w:val="center"/>
              <w:rPr>
                <w:rFonts w:ascii="DejaVu Serif Condensed" w:hAnsi="DejaVu Serif Condensed" w:cs="Arial"/>
                <w:sz w:val="22"/>
                <w:szCs w:val="22"/>
              </w:rPr>
            </w:pPr>
          </w:p>
          <w:p w:rsidR="00AC0043" w:rsidRPr="003F4D9F" w:rsidRDefault="00AC0043" w:rsidP="00E136B5">
            <w:pPr>
              <w:pStyle w:val="Tabela"/>
              <w:spacing w:before="120" w:after="120" w:line="240" w:lineRule="exact"/>
              <w:jc w:val="center"/>
              <w:rPr>
                <w:rFonts w:ascii="DejaVu Serif Condensed" w:hAnsi="DejaVu Serif Condensed" w:cs="Arial"/>
                <w:sz w:val="22"/>
                <w:szCs w:val="22"/>
              </w:rPr>
            </w:pPr>
            <w:r w:rsidRPr="003F4D9F">
              <w:rPr>
                <w:rFonts w:ascii="DejaVu Serif Condensed" w:hAnsi="DejaVu Serif Condensed" w:cs="Arial"/>
                <w:sz w:val="22"/>
                <w:szCs w:val="22"/>
              </w:rPr>
              <w:t>Klasa odporności ogniowej elementów budynku</w:t>
            </w:r>
          </w:p>
          <w:p w:rsidR="00AC0043" w:rsidRPr="003F4D9F" w:rsidRDefault="00AC0043" w:rsidP="00E136B5">
            <w:pPr>
              <w:pStyle w:val="Tabela"/>
              <w:spacing w:before="120" w:after="120" w:line="240" w:lineRule="exact"/>
              <w:jc w:val="center"/>
              <w:rPr>
                <w:rFonts w:ascii="DejaVu Serif Condensed" w:hAnsi="DejaVu Serif Condensed" w:cs="Arial"/>
                <w:sz w:val="22"/>
                <w:szCs w:val="22"/>
              </w:rPr>
            </w:pPr>
          </w:p>
          <w:p w:rsidR="00AC0043" w:rsidRPr="003F4D9F" w:rsidRDefault="00AC0043" w:rsidP="00E136B5">
            <w:pPr>
              <w:pStyle w:val="Tabela"/>
              <w:spacing w:before="120" w:after="120" w:line="240" w:lineRule="exact"/>
              <w:jc w:val="center"/>
              <w:rPr>
                <w:rFonts w:ascii="DejaVu Serif Condensed" w:hAnsi="DejaVu Serif Condensed" w:cs="Arial"/>
                <w:sz w:val="22"/>
                <w:szCs w:val="22"/>
              </w:rPr>
            </w:pPr>
          </w:p>
        </w:tc>
      </w:tr>
      <w:tr w:rsidR="00AC0043" w:rsidRPr="00FC6FAD" w:rsidTr="00E136B5">
        <w:trPr>
          <w:cantSplit/>
          <w:trHeight w:val="859"/>
          <w:jc w:val="center"/>
        </w:trPr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043" w:rsidRPr="003F4D9F" w:rsidRDefault="00AC0043" w:rsidP="00E136B5">
            <w:pPr>
              <w:pStyle w:val="Tabela"/>
              <w:spacing w:before="120" w:after="120" w:line="240" w:lineRule="exact"/>
              <w:jc w:val="center"/>
              <w:rPr>
                <w:rFonts w:ascii="DejaVu Serif Condensed" w:hAnsi="DejaVu Serif Condensed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043" w:rsidRPr="00C5453D" w:rsidRDefault="00AC0043" w:rsidP="00E136B5">
            <w:pPr>
              <w:pStyle w:val="Tabela"/>
              <w:spacing w:before="120" w:after="120" w:line="240" w:lineRule="exact"/>
              <w:jc w:val="center"/>
              <w:rPr>
                <w:rFonts w:ascii="DejaVu Serif Condensed" w:hAnsi="DejaVu Serif Condensed" w:cs="Arial"/>
                <w:sz w:val="18"/>
                <w:szCs w:val="18"/>
              </w:rPr>
            </w:pPr>
            <w:r w:rsidRPr="00C5453D">
              <w:rPr>
                <w:rFonts w:ascii="DejaVu Serif Condensed" w:hAnsi="DejaVu Serif Condensed" w:cs="Arial"/>
                <w:sz w:val="18"/>
                <w:szCs w:val="18"/>
              </w:rPr>
              <w:t>Główna</w:t>
            </w:r>
          </w:p>
          <w:p w:rsidR="00AC0043" w:rsidRPr="00C5453D" w:rsidRDefault="00AC0043" w:rsidP="00E136B5">
            <w:pPr>
              <w:pStyle w:val="Tabela"/>
              <w:spacing w:before="120" w:after="120" w:line="240" w:lineRule="exact"/>
              <w:jc w:val="center"/>
              <w:rPr>
                <w:rFonts w:ascii="DejaVu Serif Condensed" w:hAnsi="DejaVu Serif Condensed" w:cs="Arial"/>
                <w:sz w:val="18"/>
                <w:szCs w:val="18"/>
              </w:rPr>
            </w:pPr>
            <w:r w:rsidRPr="00C5453D">
              <w:rPr>
                <w:rFonts w:ascii="DejaVu Serif Condensed" w:hAnsi="DejaVu Serif Condensed" w:cs="Arial"/>
                <w:sz w:val="18"/>
                <w:szCs w:val="18"/>
              </w:rPr>
              <w:t>konstrukcja</w:t>
            </w:r>
          </w:p>
          <w:p w:rsidR="00AC0043" w:rsidRPr="00C5453D" w:rsidRDefault="00AC0043" w:rsidP="00E136B5">
            <w:pPr>
              <w:pStyle w:val="Tabela"/>
              <w:spacing w:before="120" w:after="120" w:line="240" w:lineRule="exact"/>
              <w:jc w:val="center"/>
              <w:rPr>
                <w:rFonts w:ascii="DejaVu Serif Condensed" w:hAnsi="DejaVu Serif Condensed" w:cs="Arial"/>
                <w:sz w:val="18"/>
                <w:szCs w:val="18"/>
              </w:rPr>
            </w:pPr>
            <w:r w:rsidRPr="00C5453D">
              <w:rPr>
                <w:rFonts w:ascii="DejaVu Serif Condensed" w:hAnsi="DejaVu Serif Condensed" w:cs="Arial"/>
                <w:sz w:val="18"/>
                <w:szCs w:val="18"/>
              </w:rPr>
              <w:t>nośna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043" w:rsidRPr="00C5453D" w:rsidRDefault="00AC0043" w:rsidP="00E136B5">
            <w:pPr>
              <w:pStyle w:val="Tabela"/>
              <w:spacing w:before="120" w:after="120" w:line="240" w:lineRule="exact"/>
              <w:jc w:val="center"/>
              <w:rPr>
                <w:rFonts w:ascii="DejaVu Serif Condensed" w:hAnsi="DejaVu Serif Condensed" w:cs="Arial"/>
                <w:sz w:val="18"/>
                <w:szCs w:val="18"/>
              </w:rPr>
            </w:pPr>
            <w:r w:rsidRPr="00C5453D">
              <w:rPr>
                <w:rFonts w:ascii="DejaVu Serif Condensed" w:hAnsi="DejaVu Serif Condensed" w:cs="Arial"/>
                <w:sz w:val="18"/>
                <w:szCs w:val="18"/>
              </w:rPr>
              <w:t>konstrukcja</w:t>
            </w:r>
          </w:p>
          <w:p w:rsidR="00AC0043" w:rsidRPr="00C5453D" w:rsidRDefault="00AC0043" w:rsidP="00E136B5">
            <w:pPr>
              <w:pStyle w:val="Tabela"/>
              <w:spacing w:before="120" w:after="120" w:line="240" w:lineRule="exact"/>
              <w:jc w:val="center"/>
              <w:rPr>
                <w:rFonts w:ascii="DejaVu Serif Condensed" w:hAnsi="DejaVu Serif Condensed" w:cs="Arial"/>
                <w:sz w:val="18"/>
                <w:szCs w:val="18"/>
              </w:rPr>
            </w:pPr>
            <w:r w:rsidRPr="00C5453D">
              <w:rPr>
                <w:rFonts w:ascii="DejaVu Serif Condensed" w:hAnsi="DejaVu Serif Condensed" w:cs="Arial"/>
                <w:sz w:val="18"/>
                <w:szCs w:val="18"/>
              </w:rPr>
              <w:t>dachu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043" w:rsidRPr="00C5453D" w:rsidRDefault="00AC0043" w:rsidP="00E136B5">
            <w:pPr>
              <w:pStyle w:val="Tabela"/>
              <w:spacing w:before="120" w:after="120" w:line="240" w:lineRule="exact"/>
              <w:jc w:val="center"/>
              <w:rPr>
                <w:rFonts w:ascii="DejaVu Serif Condensed" w:hAnsi="DejaVu Serif Condensed" w:cs="Arial"/>
                <w:sz w:val="18"/>
                <w:szCs w:val="18"/>
              </w:rPr>
            </w:pPr>
          </w:p>
          <w:p w:rsidR="00AC0043" w:rsidRPr="00C5453D" w:rsidRDefault="00AC0043" w:rsidP="00E136B5">
            <w:pPr>
              <w:pStyle w:val="Tabela"/>
              <w:spacing w:before="120" w:after="120" w:line="240" w:lineRule="exact"/>
              <w:jc w:val="center"/>
              <w:rPr>
                <w:rFonts w:ascii="DejaVu Serif Condensed" w:hAnsi="DejaVu Serif Condensed" w:cs="Arial"/>
                <w:sz w:val="18"/>
                <w:szCs w:val="18"/>
              </w:rPr>
            </w:pPr>
            <w:r w:rsidRPr="00C5453D">
              <w:rPr>
                <w:rFonts w:ascii="DejaVu Serif Condensed" w:hAnsi="DejaVu Serif Condensed" w:cs="Arial"/>
                <w:sz w:val="18"/>
                <w:szCs w:val="18"/>
              </w:rPr>
              <w:t>strop</w:t>
            </w:r>
          </w:p>
          <w:p w:rsidR="00AC0043" w:rsidRPr="00C5453D" w:rsidRDefault="00AC0043" w:rsidP="00E136B5">
            <w:pPr>
              <w:pStyle w:val="Tabela"/>
              <w:spacing w:before="120" w:after="120" w:line="240" w:lineRule="exact"/>
              <w:jc w:val="center"/>
              <w:rPr>
                <w:rFonts w:ascii="DejaVu Serif Condensed" w:hAnsi="DejaVu Serif Condensed" w:cs="Arial"/>
                <w:sz w:val="18"/>
                <w:szCs w:val="18"/>
              </w:rPr>
            </w:pPr>
          </w:p>
          <w:p w:rsidR="00AC0043" w:rsidRPr="00C5453D" w:rsidRDefault="00AC0043" w:rsidP="00E136B5">
            <w:pPr>
              <w:pStyle w:val="Tabela"/>
              <w:spacing w:before="120" w:after="120" w:line="240" w:lineRule="exact"/>
              <w:jc w:val="center"/>
              <w:rPr>
                <w:rFonts w:ascii="DejaVu Serif Condensed" w:hAnsi="DejaVu Serif Condensed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043" w:rsidRPr="00C5453D" w:rsidRDefault="00AC0043" w:rsidP="00E136B5">
            <w:pPr>
              <w:pStyle w:val="Tabela"/>
              <w:spacing w:before="120" w:after="120" w:line="240" w:lineRule="exact"/>
              <w:jc w:val="center"/>
              <w:rPr>
                <w:rFonts w:ascii="DejaVu Serif Condensed" w:hAnsi="DejaVu Serif Condensed" w:cs="Arial"/>
                <w:sz w:val="18"/>
                <w:szCs w:val="18"/>
              </w:rPr>
            </w:pPr>
            <w:r w:rsidRPr="00C5453D">
              <w:rPr>
                <w:rFonts w:ascii="DejaVu Serif Condensed" w:hAnsi="DejaVu Serif Condensed" w:cs="Arial"/>
                <w:sz w:val="18"/>
                <w:szCs w:val="18"/>
              </w:rPr>
              <w:t>ściana</w:t>
            </w:r>
          </w:p>
          <w:p w:rsidR="00AC0043" w:rsidRPr="00C5453D" w:rsidRDefault="00AC0043" w:rsidP="00E136B5">
            <w:pPr>
              <w:pStyle w:val="Tabela"/>
              <w:spacing w:before="120" w:after="120" w:line="240" w:lineRule="exact"/>
              <w:jc w:val="center"/>
              <w:rPr>
                <w:rFonts w:ascii="DejaVu Serif Condensed" w:hAnsi="DejaVu Serif Condensed" w:cs="Arial"/>
                <w:sz w:val="18"/>
                <w:szCs w:val="18"/>
              </w:rPr>
            </w:pPr>
            <w:r w:rsidRPr="00C5453D">
              <w:rPr>
                <w:rFonts w:ascii="DejaVu Serif Condensed" w:hAnsi="DejaVu Serif Condensed" w:cs="Arial"/>
                <w:sz w:val="18"/>
                <w:szCs w:val="18"/>
              </w:rPr>
              <w:t>zewnętrzna</w:t>
            </w:r>
          </w:p>
          <w:p w:rsidR="00AC0043" w:rsidRPr="00C5453D" w:rsidRDefault="00AC0043" w:rsidP="00E136B5">
            <w:pPr>
              <w:pStyle w:val="Tabela"/>
              <w:spacing w:before="120" w:after="120" w:line="240" w:lineRule="exact"/>
              <w:jc w:val="center"/>
              <w:rPr>
                <w:rFonts w:ascii="DejaVu Serif Condensed" w:hAnsi="DejaVu Serif Condensed" w:cs="Arial"/>
                <w:sz w:val="18"/>
                <w:szCs w:val="18"/>
              </w:rPr>
            </w:pPr>
          </w:p>
          <w:p w:rsidR="00AC0043" w:rsidRPr="00C5453D" w:rsidRDefault="00AC0043" w:rsidP="00E136B5">
            <w:pPr>
              <w:pStyle w:val="Tabela"/>
              <w:spacing w:before="120" w:after="120" w:line="240" w:lineRule="exact"/>
              <w:jc w:val="center"/>
              <w:rPr>
                <w:rFonts w:ascii="DejaVu Serif Condensed" w:hAnsi="DejaVu Serif Condensed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043" w:rsidRPr="00C5453D" w:rsidRDefault="00AC0043" w:rsidP="00E136B5">
            <w:pPr>
              <w:pStyle w:val="Tabela"/>
              <w:spacing w:before="120" w:after="120" w:line="240" w:lineRule="exact"/>
              <w:jc w:val="center"/>
              <w:rPr>
                <w:rFonts w:ascii="DejaVu Serif Condensed" w:hAnsi="DejaVu Serif Condensed" w:cs="Arial"/>
                <w:sz w:val="18"/>
                <w:szCs w:val="18"/>
              </w:rPr>
            </w:pPr>
            <w:r w:rsidRPr="00C5453D">
              <w:rPr>
                <w:rFonts w:ascii="DejaVu Serif Condensed" w:hAnsi="DejaVu Serif Condensed" w:cs="Arial"/>
                <w:sz w:val="18"/>
                <w:szCs w:val="18"/>
              </w:rPr>
              <w:t>ściana</w:t>
            </w:r>
          </w:p>
          <w:p w:rsidR="00AC0043" w:rsidRPr="00C5453D" w:rsidRDefault="00AC0043" w:rsidP="00E136B5">
            <w:pPr>
              <w:pStyle w:val="Tabela"/>
              <w:spacing w:before="120" w:after="120" w:line="240" w:lineRule="exact"/>
              <w:jc w:val="center"/>
              <w:rPr>
                <w:rFonts w:ascii="DejaVu Serif Condensed" w:hAnsi="DejaVu Serif Condensed" w:cs="Arial"/>
                <w:sz w:val="18"/>
                <w:szCs w:val="18"/>
              </w:rPr>
            </w:pPr>
            <w:r w:rsidRPr="00C5453D">
              <w:rPr>
                <w:rFonts w:ascii="DejaVu Serif Condensed" w:hAnsi="DejaVu Serif Condensed" w:cs="Arial"/>
                <w:sz w:val="18"/>
                <w:szCs w:val="18"/>
              </w:rPr>
              <w:t>wewnętrzna</w:t>
            </w:r>
          </w:p>
          <w:p w:rsidR="00AC0043" w:rsidRPr="00C5453D" w:rsidRDefault="00AC0043" w:rsidP="00E136B5">
            <w:pPr>
              <w:pStyle w:val="Tabela"/>
              <w:spacing w:before="120" w:after="120" w:line="240" w:lineRule="exact"/>
              <w:jc w:val="center"/>
              <w:rPr>
                <w:rFonts w:ascii="DejaVu Serif Condensed" w:hAnsi="DejaVu Serif Condensed" w:cs="Arial"/>
                <w:sz w:val="18"/>
                <w:szCs w:val="18"/>
              </w:rPr>
            </w:pPr>
          </w:p>
          <w:p w:rsidR="00AC0043" w:rsidRPr="00C5453D" w:rsidRDefault="00AC0043" w:rsidP="00E136B5">
            <w:pPr>
              <w:pStyle w:val="Tabela"/>
              <w:spacing w:before="120" w:after="120" w:line="240" w:lineRule="exact"/>
              <w:jc w:val="center"/>
              <w:rPr>
                <w:rFonts w:ascii="DejaVu Serif Condensed" w:hAnsi="DejaVu Serif Condensed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043" w:rsidRPr="00C5453D" w:rsidRDefault="00AC0043" w:rsidP="00E136B5">
            <w:pPr>
              <w:pStyle w:val="Tabela"/>
              <w:tabs>
                <w:tab w:val="left" w:pos="1136"/>
              </w:tabs>
              <w:spacing w:before="120" w:after="120" w:line="240" w:lineRule="exact"/>
              <w:ind w:left="-70" w:right="-70"/>
              <w:jc w:val="center"/>
              <w:rPr>
                <w:rFonts w:ascii="DejaVu Serif Condensed" w:hAnsi="DejaVu Serif Condensed" w:cs="Arial"/>
                <w:sz w:val="18"/>
                <w:szCs w:val="18"/>
              </w:rPr>
            </w:pPr>
            <w:r w:rsidRPr="00C5453D">
              <w:rPr>
                <w:rFonts w:ascii="DejaVu Serif Condensed" w:hAnsi="DejaVu Serif Condensed" w:cs="Arial"/>
                <w:sz w:val="18"/>
                <w:szCs w:val="18"/>
              </w:rPr>
              <w:t>przekrycie</w:t>
            </w:r>
          </w:p>
          <w:p w:rsidR="00AC0043" w:rsidRPr="00C5453D" w:rsidRDefault="00AC0043" w:rsidP="00E136B5">
            <w:pPr>
              <w:pStyle w:val="Tabela"/>
              <w:tabs>
                <w:tab w:val="left" w:pos="1136"/>
              </w:tabs>
              <w:spacing w:before="120" w:after="120" w:line="240" w:lineRule="exact"/>
              <w:ind w:left="-70" w:right="-70"/>
              <w:jc w:val="center"/>
              <w:rPr>
                <w:rFonts w:ascii="DejaVu Serif Condensed" w:hAnsi="DejaVu Serif Condensed" w:cs="Arial"/>
                <w:sz w:val="18"/>
                <w:szCs w:val="18"/>
              </w:rPr>
            </w:pPr>
            <w:r w:rsidRPr="00C5453D">
              <w:rPr>
                <w:rFonts w:ascii="DejaVu Serif Condensed" w:hAnsi="DejaVu Serif Condensed" w:cs="Arial"/>
                <w:sz w:val="18"/>
                <w:szCs w:val="18"/>
              </w:rPr>
              <w:t>dachu</w:t>
            </w:r>
          </w:p>
          <w:p w:rsidR="00AC0043" w:rsidRPr="00C5453D" w:rsidRDefault="00AC0043" w:rsidP="00E136B5">
            <w:pPr>
              <w:pStyle w:val="Tabela"/>
              <w:spacing w:before="120" w:after="120" w:line="240" w:lineRule="exact"/>
              <w:ind w:left="-354" w:right="213"/>
              <w:jc w:val="center"/>
              <w:rPr>
                <w:rFonts w:ascii="DejaVu Serif Condensed" w:hAnsi="DejaVu Serif Condensed" w:cs="Arial"/>
                <w:sz w:val="18"/>
                <w:szCs w:val="18"/>
              </w:rPr>
            </w:pPr>
          </w:p>
          <w:p w:rsidR="00AC0043" w:rsidRPr="00C5453D" w:rsidRDefault="00AC0043" w:rsidP="00E136B5">
            <w:pPr>
              <w:pStyle w:val="Tabela"/>
              <w:spacing w:before="120" w:after="120" w:line="240" w:lineRule="exact"/>
              <w:ind w:left="-354" w:right="213"/>
              <w:jc w:val="center"/>
              <w:rPr>
                <w:rFonts w:ascii="DejaVu Serif Condensed" w:hAnsi="DejaVu Serif Condensed" w:cs="Arial"/>
                <w:sz w:val="18"/>
                <w:szCs w:val="18"/>
              </w:rPr>
            </w:pPr>
          </w:p>
        </w:tc>
      </w:tr>
      <w:tr w:rsidR="00AC0043" w:rsidRPr="00FC6FAD" w:rsidTr="00E136B5">
        <w:trPr>
          <w:jc w:val="center"/>
        </w:trPr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043" w:rsidRPr="003F4D9F" w:rsidRDefault="00AC0043" w:rsidP="00E136B5">
            <w:pPr>
              <w:pStyle w:val="Tabela"/>
              <w:spacing w:before="120" w:after="120" w:line="240" w:lineRule="exact"/>
              <w:jc w:val="center"/>
              <w:rPr>
                <w:rFonts w:ascii="DejaVu Serif Condensed" w:hAnsi="DejaVu Serif Condensed" w:cs="Arial"/>
                <w:b/>
                <w:bCs/>
                <w:sz w:val="22"/>
                <w:szCs w:val="22"/>
              </w:rPr>
            </w:pPr>
            <w:r>
              <w:rPr>
                <w:rFonts w:ascii="DejaVu Serif Condensed" w:hAnsi="DejaVu Serif Condensed" w:cs="Arial"/>
                <w:b/>
                <w:bCs/>
                <w:sz w:val="22"/>
                <w:szCs w:val="22"/>
              </w:rPr>
              <w:t>"B</w:t>
            </w:r>
            <w:r w:rsidRPr="003F4D9F">
              <w:rPr>
                <w:rFonts w:ascii="DejaVu Serif Condensed" w:hAnsi="DejaVu Serif Condensed" w:cs="Arial"/>
                <w:b/>
                <w:bCs/>
                <w:sz w:val="22"/>
                <w:szCs w:val="22"/>
              </w:rPr>
              <w:t>"</w:t>
            </w:r>
          </w:p>
          <w:p w:rsidR="00AC0043" w:rsidRPr="003F4D9F" w:rsidRDefault="00AC0043" w:rsidP="00E136B5">
            <w:pPr>
              <w:pStyle w:val="Tabela"/>
              <w:spacing w:before="120" w:after="120" w:line="240" w:lineRule="exact"/>
              <w:jc w:val="center"/>
              <w:rPr>
                <w:rFonts w:ascii="DejaVu Serif Condensed" w:hAnsi="DejaVu Serif Condensed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043" w:rsidRPr="003F4D9F" w:rsidRDefault="00AC0043" w:rsidP="00E136B5">
            <w:pPr>
              <w:pStyle w:val="Tabela"/>
              <w:spacing w:before="120" w:after="120" w:line="240" w:lineRule="exact"/>
              <w:jc w:val="center"/>
              <w:rPr>
                <w:rFonts w:ascii="DejaVu Serif Condensed" w:hAnsi="DejaVu Serif Condensed" w:cs="Arial"/>
                <w:b/>
                <w:bCs/>
                <w:sz w:val="22"/>
                <w:szCs w:val="22"/>
                <w:vertAlign w:val="superscript"/>
              </w:rPr>
            </w:pPr>
            <w:r w:rsidRPr="003F4D9F">
              <w:rPr>
                <w:rFonts w:ascii="DejaVu Serif Condensed" w:hAnsi="DejaVu Serif Condensed" w:cs="Arial"/>
                <w:b/>
                <w:bCs/>
                <w:sz w:val="22"/>
                <w:szCs w:val="22"/>
              </w:rPr>
              <w:t xml:space="preserve">R </w:t>
            </w:r>
            <w:r>
              <w:rPr>
                <w:rFonts w:ascii="DejaVu Serif Condensed" w:hAnsi="DejaVu Serif Condensed" w:cs="Arial"/>
                <w:b/>
                <w:bCs/>
                <w:sz w:val="22"/>
                <w:szCs w:val="22"/>
              </w:rPr>
              <w:t>120</w:t>
            </w:r>
          </w:p>
          <w:p w:rsidR="00AC0043" w:rsidRPr="003F4D9F" w:rsidRDefault="00AC0043" w:rsidP="00E136B5">
            <w:pPr>
              <w:pStyle w:val="Tabela"/>
              <w:spacing w:before="120" w:after="120" w:line="240" w:lineRule="exact"/>
              <w:jc w:val="center"/>
              <w:rPr>
                <w:rFonts w:ascii="DejaVu Serif Condensed" w:hAnsi="DejaVu Serif Condensed" w:cs="Arial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043" w:rsidRPr="003F4D9F" w:rsidRDefault="00AC0043" w:rsidP="00E136B5">
            <w:pPr>
              <w:pStyle w:val="Tabela"/>
              <w:spacing w:before="120" w:after="120" w:line="240" w:lineRule="exact"/>
              <w:jc w:val="center"/>
              <w:rPr>
                <w:rFonts w:ascii="DejaVu Serif Condensed" w:hAnsi="DejaVu Serif Condensed" w:cs="Arial"/>
                <w:b/>
                <w:bCs/>
                <w:sz w:val="22"/>
                <w:szCs w:val="22"/>
              </w:rPr>
            </w:pPr>
            <w:r>
              <w:rPr>
                <w:rFonts w:ascii="DejaVu Serif Condensed" w:hAnsi="DejaVu Serif Condensed" w:cs="Arial"/>
                <w:b/>
                <w:bCs/>
                <w:sz w:val="22"/>
                <w:szCs w:val="22"/>
              </w:rPr>
              <w:t>R 30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043" w:rsidRPr="003F4D9F" w:rsidRDefault="00AC0043" w:rsidP="00E136B5">
            <w:pPr>
              <w:pStyle w:val="Tabela"/>
              <w:spacing w:before="120" w:after="120" w:line="240" w:lineRule="exact"/>
              <w:jc w:val="center"/>
              <w:rPr>
                <w:rFonts w:ascii="DejaVu Serif Condensed" w:hAnsi="DejaVu Serif Condensed" w:cs="Arial"/>
                <w:b/>
                <w:bCs/>
                <w:sz w:val="22"/>
                <w:szCs w:val="22"/>
                <w:vertAlign w:val="superscript"/>
              </w:rPr>
            </w:pPr>
            <w:r w:rsidRPr="003F4D9F">
              <w:rPr>
                <w:rFonts w:ascii="DejaVu Serif Condensed" w:hAnsi="DejaVu Serif Condensed" w:cs="Arial"/>
                <w:b/>
                <w:bCs/>
                <w:sz w:val="22"/>
                <w:szCs w:val="22"/>
              </w:rPr>
              <w:t>REI 60</w:t>
            </w:r>
          </w:p>
          <w:p w:rsidR="00AC0043" w:rsidRPr="003F4D9F" w:rsidRDefault="00AC0043" w:rsidP="00E136B5">
            <w:pPr>
              <w:pStyle w:val="Tabela"/>
              <w:spacing w:before="120" w:after="120" w:line="240" w:lineRule="exact"/>
              <w:jc w:val="center"/>
              <w:rPr>
                <w:rFonts w:ascii="DejaVu Serif Condensed" w:hAnsi="DejaVu Serif Condensed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043" w:rsidRPr="00AB0962" w:rsidRDefault="00AC0043" w:rsidP="00E136B5">
            <w:pPr>
              <w:pStyle w:val="Tabela"/>
              <w:spacing w:before="120" w:after="120" w:line="240" w:lineRule="exact"/>
              <w:jc w:val="center"/>
              <w:rPr>
                <w:rFonts w:ascii="DejaVu Serif Condensed" w:hAnsi="DejaVu Serif Condensed" w:cs="Arial"/>
                <w:b/>
                <w:bCs/>
                <w:sz w:val="22"/>
                <w:szCs w:val="22"/>
                <w:vertAlign w:val="superscript"/>
              </w:rPr>
            </w:pPr>
            <w:r w:rsidRPr="003F4D9F">
              <w:rPr>
                <w:rFonts w:ascii="DejaVu Serif Condensed" w:hAnsi="DejaVu Serif Condensed" w:cs="Arial"/>
                <w:b/>
                <w:bCs/>
                <w:sz w:val="22"/>
                <w:szCs w:val="22"/>
              </w:rPr>
              <w:t xml:space="preserve">EI </w:t>
            </w:r>
            <w:r>
              <w:rPr>
                <w:rFonts w:ascii="DejaVu Serif Condensed" w:hAnsi="DejaVu Serif Condensed" w:cs="Arial"/>
                <w:b/>
                <w:bCs/>
                <w:sz w:val="22"/>
                <w:szCs w:val="22"/>
              </w:rPr>
              <w:t>60</w:t>
            </w:r>
            <w:r>
              <w:rPr>
                <w:rFonts w:ascii="DejaVu Serif Condensed" w:hAnsi="DejaVu Serif Condensed" w:cs="Arial"/>
                <w:b/>
                <w:bCs/>
                <w:sz w:val="22"/>
                <w:szCs w:val="22"/>
                <w:vertAlign w:val="superscript"/>
              </w:rPr>
              <w:t>1</w:t>
            </w:r>
          </w:p>
          <w:p w:rsidR="00AC0043" w:rsidRPr="003F4D9F" w:rsidRDefault="00AC0043" w:rsidP="00E136B5">
            <w:pPr>
              <w:pStyle w:val="Tabela"/>
              <w:spacing w:before="120" w:after="120" w:line="240" w:lineRule="exact"/>
              <w:jc w:val="center"/>
              <w:rPr>
                <w:rFonts w:ascii="DejaVu Serif Condensed" w:hAnsi="DejaVu Serif Condensed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043" w:rsidRPr="003F4D9F" w:rsidRDefault="00AC0043" w:rsidP="00E136B5">
            <w:pPr>
              <w:pStyle w:val="Tabela"/>
              <w:spacing w:before="120" w:after="120" w:line="240" w:lineRule="exact"/>
              <w:jc w:val="center"/>
              <w:rPr>
                <w:rFonts w:ascii="DejaVu Serif Condensed" w:hAnsi="DejaVu Serif Condensed" w:cs="Arial"/>
                <w:b/>
                <w:bCs/>
                <w:sz w:val="22"/>
                <w:szCs w:val="22"/>
                <w:vertAlign w:val="superscript"/>
              </w:rPr>
            </w:pPr>
            <w:r w:rsidRPr="003F4D9F">
              <w:rPr>
                <w:rFonts w:ascii="DejaVu Serif Condensed" w:hAnsi="DejaVu Serif Condensed" w:cs="Arial"/>
                <w:b/>
                <w:bCs/>
                <w:sz w:val="22"/>
                <w:szCs w:val="22"/>
              </w:rPr>
              <w:t xml:space="preserve">EI </w:t>
            </w:r>
            <w:r>
              <w:rPr>
                <w:rFonts w:ascii="DejaVu Serif Condensed" w:hAnsi="DejaVu Serif Condensed" w:cs="Arial"/>
                <w:b/>
                <w:bCs/>
                <w:sz w:val="22"/>
                <w:szCs w:val="22"/>
              </w:rPr>
              <w:t>30</w:t>
            </w:r>
          </w:p>
          <w:p w:rsidR="00AC0043" w:rsidRPr="003F4D9F" w:rsidRDefault="00AC0043" w:rsidP="00E136B5">
            <w:pPr>
              <w:pStyle w:val="Tabela"/>
              <w:spacing w:before="120" w:after="120" w:line="240" w:lineRule="exact"/>
              <w:jc w:val="center"/>
              <w:rPr>
                <w:rFonts w:ascii="DejaVu Serif Condensed" w:hAnsi="DejaVu Serif Condensed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043" w:rsidRPr="003F4D9F" w:rsidRDefault="00AC0043" w:rsidP="00E136B5">
            <w:pPr>
              <w:pStyle w:val="Tabela"/>
              <w:spacing w:before="120" w:after="120" w:line="240" w:lineRule="exact"/>
              <w:jc w:val="center"/>
              <w:rPr>
                <w:rFonts w:ascii="DejaVu Serif Condensed" w:hAnsi="DejaVu Serif Condensed" w:cs="Arial"/>
                <w:b/>
                <w:bCs/>
                <w:sz w:val="22"/>
                <w:szCs w:val="22"/>
              </w:rPr>
            </w:pPr>
            <w:r>
              <w:rPr>
                <w:rFonts w:ascii="DejaVu Serif Condensed" w:hAnsi="DejaVu Serif Condensed" w:cs="Arial"/>
                <w:b/>
                <w:bCs/>
                <w:sz w:val="22"/>
                <w:szCs w:val="22"/>
              </w:rPr>
              <w:t>RE 30</w:t>
            </w:r>
          </w:p>
          <w:p w:rsidR="00AC0043" w:rsidRPr="003F4D9F" w:rsidRDefault="00AC0043" w:rsidP="00E136B5">
            <w:pPr>
              <w:pStyle w:val="Tabela"/>
              <w:spacing w:before="120" w:after="120" w:line="240" w:lineRule="exact"/>
              <w:jc w:val="center"/>
              <w:rPr>
                <w:rFonts w:ascii="DejaVu Serif Condensed" w:hAnsi="DejaVu Serif Condensed" w:cs="Arial"/>
                <w:b/>
                <w:bCs/>
                <w:sz w:val="22"/>
                <w:szCs w:val="22"/>
              </w:rPr>
            </w:pPr>
          </w:p>
        </w:tc>
      </w:tr>
    </w:tbl>
    <w:p w:rsidR="00AC0043" w:rsidRPr="00AB0962" w:rsidRDefault="00AC0043" w:rsidP="00AC0043">
      <w:pPr>
        <w:rPr>
          <w:i/>
        </w:rPr>
      </w:pPr>
      <w:r w:rsidRPr="00AB0962">
        <w:rPr>
          <w:i/>
        </w:rPr>
        <w:t>1) dotyczy pasa międzykondygnacyjnego o minimalnej szerokości 0,8m</w:t>
      </w:r>
    </w:p>
    <w:p w:rsidR="00AC0043" w:rsidRDefault="00AC0043" w:rsidP="00FE189C"/>
    <w:p w:rsidR="0018632B" w:rsidRPr="0018632B" w:rsidRDefault="00AC0043" w:rsidP="0018632B">
      <w:pPr>
        <w:rPr>
          <w:b/>
        </w:rPr>
      </w:pPr>
      <w:r>
        <w:t xml:space="preserve">Elementy budynku przedstawione w tabeli powinny być nierozprzestrzeniające ognia. </w:t>
      </w:r>
      <w:r w:rsidR="009941C4">
        <w:t>Budynek powstawał, gdy obowiązującą dla niego klasą odporności pożarowej, była klasa C. Przedstawiona dokumentacja budowlana, wizja lokalna, jak również „Ocena stanu dróg ewakuacyjnych” dokonana przez Zakład Ekspertyz Ochrony Przeciwpożarowej w lutym 2004r. potwierdzają, że budynek Wydziału Biologii i Nauk o Ziemi spełnia wymagania klasy B odporności pożarowej.</w:t>
      </w:r>
      <w:r w:rsidR="008210F2">
        <w:t xml:space="preserve"> </w:t>
      </w:r>
    </w:p>
    <w:p w:rsidR="004A4B2B" w:rsidRDefault="004A4B2B" w:rsidP="00542F19">
      <w:pPr>
        <w:pStyle w:val="Nagwek2"/>
      </w:pPr>
    </w:p>
    <w:p w:rsidR="007A2A79" w:rsidRDefault="007A2A79" w:rsidP="00542F19">
      <w:pPr>
        <w:pStyle w:val="Nagwek2"/>
      </w:pPr>
      <w:bookmarkStart w:id="14" w:name="_Toc287549987"/>
      <w:r>
        <w:t>2.11. Warunki ewakuacji</w:t>
      </w:r>
      <w:bookmarkEnd w:id="14"/>
    </w:p>
    <w:p w:rsidR="009941C4" w:rsidRDefault="009941C4" w:rsidP="00034751">
      <w:pPr>
        <w:rPr>
          <w:b/>
        </w:rPr>
      </w:pPr>
    </w:p>
    <w:p w:rsidR="008C5EB1" w:rsidRDefault="008C5EB1" w:rsidP="00034751">
      <w:r>
        <w:rPr>
          <w:b/>
        </w:rPr>
        <w:tab/>
      </w:r>
      <w:r>
        <w:t>Z każdego pomieszczenia przeznaczonego na pobyt ludzi w budynku powinny być zapewnione warunki ewakuacji pozwalające na szybkie opuszczenie strefy zagrożonej                lub objętej pożarem. Warunki ewakuacji to podstawowy element wpływający                           na bezpieczeństwo użytkowników obiektu.</w:t>
      </w:r>
    </w:p>
    <w:p w:rsidR="008C5EB1" w:rsidRDefault="008C5EB1" w:rsidP="00034751">
      <w:r>
        <w:tab/>
        <w:t>Budynek Wydziału B</w:t>
      </w:r>
      <w:r w:rsidR="008210F2">
        <w:t>iologii i Nauk o Ziemi posiada 9</w:t>
      </w:r>
      <w:r>
        <w:t xml:space="preserve"> wyjść ewakuacyjnych:</w:t>
      </w:r>
    </w:p>
    <w:p w:rsidR="008C5EB1" w:rsidRDefault="008210F2" w:rsidP="002F6478">
      <w:pPr>
        <w:pStyle w:val="Akapitzlist"/>
        <w:numPr>
          <w:ilvl w:val="0"/>
          <w:numId w:val="15"/>
        </w:numPr>
      </w:pPr>
      <w:r>
        <w:t>4</w:t>
      </w:r>
      <w:r w:rsidR="008C5EB1">
        <w:t xml:space="preserve"> wyjścia ewakuacyjne z poziomu „-2”;</w:t>
      </w:r>
    </w:p>
    <w:p w:rsidR="008C5EB1" w:rsidRDefault="008210F2" w:rsidP="002F6478">
      <w:pPr>
        <w:pStyle w:val="Akapitzlist"/>
        <w:numPr>
          <w:ilvl w:val="0"/>
          <w:numId w:val="15"/>
        </w:numPr>
      </w:pPr>
      <w:r>
        <w:t>2</w:t>
      </w:r>
      <w:r w:rsidR="00E64563">
        <w:t xml:space="preserve"> wyjście</w:t>
      </w:r>
      <w:r w:rsidR="008C5EB1">
        <w:t xml:space="preserve"> ewakuacyjne z poziomu „-1”;</w:t>
      </w:r>
    </w:p>
    <w:p w:rsidR="00D643F6" w:rsidRDefault="008C5EB1" w:rsidP="00034751">
      <w:pPr>
        <w:pStyle w:val="Akapitzlist"/>
        <w:numPr>
          <w:ilvl w:val="0"/>
          <w:numId w:val="15"/>
        </w:numPr>
      </w:pPr>
      <w:r>
        <w:t>3 wyjścia ewakuacyjne z poziomu „0”.</w:t>
      </w:r>
    </w:p>
    <w:p w:rsidR="004A4B2B" w:rsidRDefault="004A4B2B" w:rsidP="00034751"/>
    <w:p w:rsidR="00D643F6" w:rsidRDefault="0029642E" w:rsidP="00034751">
      <w:r>
        <w:t>Dwa w</w:t>
      </w:r>
      <w:r w:rsidR="009E53D0">
        <w:t>yjście ewakuacyjne z</w:t>
      </w:r>
      <w:r>
        <w:t xml:space="preserve"> poziomu „-2” w segmencie A są</w:t>
      </w:r>
      <w:r w:rsidR="009E53D0">
        <w:t xml:space="preserve"> zamykane drzwiami otwierającymi się do wewnątrz</w:t>
      </w:r>
      <w:r w:rsidR="004B6FD1">
        <w:t xml:space="preserve"> obiektu</w:t>
      </w:r>
      <w:r w:rsidR="009E53D0">
        <w:t xml:space="preserve">, podobnie wyjście ewakuacyjne z poziomu „0” </w:t>
      </w:r>
      <w:r w:rsidR="004B6FD1">
        <w:t xml:space="preserve">               </w:t>
      </w:r>
      <w:r w:rsidR="009E53D0">
        <w:t xml:space="preserve">w łączniku. </w:t>
      </w:r>
      <w:r w:rsidR="00D643F6">
        <w:t>Wielokrotnie na drogach ewakuacyjnych oraz w wyjściach ewakuacyjnych znajdują się drzwi dwuskrzydłowe, które nie posiadają nieblokowanego skrzydła                        o szerokości co najmniej 0,9 m.</w:t>
      </w:r>
    </w:p>
    <w:p w:rsidR="008C5EB1" w:rsidRDefault="004B6FD1" w:rsidP="00034751">
      <w:r>
        <w:tab/>
      </w:r>
      <w:r w:rsidR="00E64563">
        <w:t>Poziome drogi ewakuacyjne stanowią korytarze przebiegające w centralnej części obiektu o szerokości ok. 2,5 m.</w:t>
      </w:r>
      <w:r w:rsidR="0029642E">
        <w:t xml:space="preserve"> Występują lokalne przewężenia poziomych dróg ewakuacyjnych poniżej szerokości 1,4 m. Korytarze nie zostały podzielone przegrodami                z drzwiami dymoszczelnymi na odcinki o długości nie</w:t>
      </w:r>
      <w:r w:rsidR="009E53D0">
        <w:t xml:space="preserve"> przekraczającej 50 m.</w:t>
      </w:r>
      <w:r>
        <w:t xml:space="preserve"> Na poziomie „-</w:t>
      </w:r>
      <w:r w:rsidR="0029642E">
        <w:t>1” oraz parterze</w:t>
      </w:r>
      <w:r>
        <w:t xml:space="preserve"> na drogach ewakuacyjnych znajdują się drewniane szafy </w:t>
      </w:r>
      <w:r w:rsidR="0029642E">
        <w:t xml:space="preserve">                            </w:t>
      </w:r>
      <w:r>
        <w:t>nie spełniające kryterium trudno zapalności.</w:t>
      </w:r>
    </w:p>
    <w:p w:rsidR="004B6FD1" w:rsidRDefault="004B6FD1" w:rsidP="00034751">
      <w:r>
        <w:tab/>
        <w:t>Pionowe drogi ewakuacyjne stanowi 5 klatek schodowych:</w:t>
      </w:r>
    </w:p>
    <w:p w:rsidR="004B6FD1" w:rsidRDefault="001C1EE9" w:rsidP="002F6478">
      <w:pPr>
        <w:pStyle w:val="Akapitzlist"/>
        <w:numPr>
          <w:ilvl w:val="0"/>
          <w:numId w:val="16"/>
        </w:numPr>
      </w:pPr>
      <w:r>
        <w:t>Klatka K1 – położona w zachodniej części budynku w segmencie A, sięgająca                    od poziomu „-2” do poziomu „+4”. Z tej klatki prowadzi także wejście                          do obserwatorium na 5 piętrze.</w:t>
      </w:r>
    </w:p>
    <w:p w:rsidR="001C1EE9" w:rsidRDefault="001C1EE9" w:rsidP="002F6478">
      <w:pPr>
        <w:pStyle w:val="Akapitzlist"/>
        <w:numPr>
          <w:ilvl w:val="0"/>
          <w:numId w:val="16"/>
        </w:numPr>
      </w:pPr>
      <w:r>
        <w:t>Klatka K2 – położona w segmencie A w pobliżu łącznika. Przebiega od poziomu „-2” do poziomu „+4”.</w:t>
      </w:r>
    </w:p>
    <w:p w:rsidR="001C1EE9" w:rsidRDefault="001C1EE9" w:rsidP="002F6478">
      <w:pPr>
        <w:pStyle w:val="Akapitzlist"/>
        <w:numPr>
          <w:ilvl w:val="0"/>
          <w:numId w:val="16"/>
        </w:numPr>
      </w:pPr>
      <w:r>
        <w:t>Klatka K3 – położona w segmencie C przy łączniku. Łączy jedynie dwa piętra,                  1 z 2.</w:t>
      </w:r>
    </w:p>
    <w:p w:rsidR="001C1EE9" w:rsidRDefault="001C1EE9" w:rsidP="002F6478">
      <w:pPr>
        <w:pStyle w:val="Akapitzlist"/>
        <w:numPr>
          <w:ilvl w:val="0"/>
          <w:numId w:val="16"/>
        </w:numPr>
      </w:pPr>
      <w:r>
        <w:t>Klatka K4 – położona we wschodniej części segmentu C. Przebiega od poziomu”</w:t>
      </w:r>
      <w:r w:rsidR="00757756">
        <w:t>-1” do 3 piętra.</w:t>
      </w:r>
    </w:p>
    <w:p w:rsidR="00757756" w:rsidRDefault="00757756" w:rsidP="002F6478">
      <w:pPr>
        <w:pStyle w:val="Akapitzlist"/>
        <w:numPr>
          <w:ilvl w:val="0"/>
          <w:numId w:val="16"/>
        </w:numPr>
      </w:pPr>
      <w:r>
        <w:t>Klatka K5 – położona w „nowej” części budynku. Łączy kondygnacje od „-1”                  do „+4”.</w:t>
      </w:r>
    </w:p>
    <w:p w:rsidR="00757756" w:rsidRDefault="00757756" w:rsidP="00757756">
      <w:r>
        <w:t>Jedynie klatka K5 jest obudowana i zamykana, choć nie na wszystkich kondygnacjach, drzw</w:t>
      </w:r>
      <w:r w:rsidR="0029642E">
        <w:t>iami o wymaganej odporności ogniowej. Ż</w:t>
      </w:r>
      <w:r>
        <w:t>adna z klatek schodow</w:t>
      </w:r>
      <w:r w:rsidR="0029642E">
        <w:t xml:space="preserve">ych nie jest wyposażona </w:t>
      </w:r>
      <w:r>
        <w:t>w system zapobiegający zadymieniu lub służący do usuwania dymu.</w:t>
      </w:r>
    </w:p>
    <w:p w:rsidR="00314C85" w:rsidRDefault="00A95CDA" w:rsidP="00757756">
      <w:r>
        <w:tab/>
        <w:t>Dopuszczalna długość przejścia ewakuacyjnego, która dla przedmiotowego budynku wynosi 40 m, została zachowana.</w:t>
      </w:r>
    </w:p>
    <w:p w:rsidR="00A95CDA" w:rsidRDefault="00A95CDA" w:rsidP="00757756">
      <w:r>
        <w:tab/>
        <w:t>Długość dojścia ewakuacyjnego z kondygnacji „+4” dla klatki K2 przy jednym kierunku dojścia (dopuszczalna wynosi 30 m) przekroczona o ponad 100%.</w:t>
      </w:r>
    </w:p>
    <w:p w:rsidR="00A95CDA" w:rsidRDefault="00A95CDA" w:rsidP="00757756">
      <w:r>
        <w:tab/>
      </w:r>
      <w:r w:rsidR="00024671">
        <w:t>Przedmiotowy budynek nie został wyposażony w wymaganą instalację awaryjnego oświetlenia ewakuacyjnego</w:t>
      </w:r>
      <w:r w:rsidR="0029642E">
        <w:t xml:space="preserve"> na drogach ewakuacyjnych, która powinna</w:t>
      </w:r>
      <w:r w:rsidR="00024671">
        <w:t xml:space="preserve"> funkcjonować przez co najmniej godzinę od zaniku oświetlenia podstawowego.</w:t>
      </w:r>
    </w:p>
    <w:p w:rsidR="008210F2" w:rsidRPr="00FE01FB" w:rsidRDefault="00024671" w:rsidP="00034751">
      <w:r>
        <w:tab/>
        <w:t>Podsumowując należy stwierdzić, iż szereg nieprawidłowości, jakie występują                 w rozważanym obiekcie, może skutecznie utrudnić ewakuację w przypadku pożaru                   lub innego zagrożenia</w:t>
      </w:r>
      <w:r w:rsidR="00FE01FB">
        <w:t>.</w:t>
      </w:r>
    </w:p>
    <w:p w:rsidR="007A2A79" w:rsidRDefault="007A2A79" w:rsidP="00542F19">
      <w:pPr>
        <w:pStyle w:val="Nagwek2"/>
      </w:pPr>
      <w:bookmarkStart w:id="15" w:name="_Toc287549988"/>
      <w:r>
        <w:t>2.12. Zabezpieczenie przeciwpożarowe instalacji użytkowych</w:t>
      </w:r>
      <w:bookmarkEnd w:id="15"/>
    </w:p>
    <w:p w:rsidR="007A2A79" w:rsidRDefault="007A2A79" w:rsidP="00034751">
      <w:pPr>
        <w:rPr>
          <w:b/>
        </w:rPr>
      </w:pPr>
    </w:p>
    <w:p w:rsidR="00EC32B0" w:rsidRDefault="00EC32B0" w:rsidP="00034751">
      <w:r>
        <w:rPr>
          <w:b/>
        </w:rPr>
        <w:tab/>
      </w:r>
      <w:r>
        <w:t>W przedmiotowym budynku znajdują się następujące instalacje użytkowe:</w:t>
      </w:r>
    </w:p>
    <w:p w:rsidR="00EC32B0" w:rsidRDefault="00EC32B0" w:rsidP="002F6478">
      <w:pPr>
        <w:pStyle w:val="Akapitzlist"/>
        <w:numPr>
          <w:ilvl w:val="0"/>
          <w:numId w:val="18"/>
        </w:numPr>
        <w:ind w:left="714" w:hanging="357"/>
      </w:pPr>
      <w:r>
        <w:t>Elektryczna – budynek jest zasilany w energię elektryczną z sieci miejskiej. Przeciwpożarowy wyłącznik prądu zlokalizowany na parterze i oznakowany zgodnie z PN.</w:t>
      </w:r>
    </w:p>
    <w:p w:rsidR="00CF2E2A" w:rsidRDefault="00EC32B0" w:rsidP="002F6478">
      <w:pPr>
        <w:pStyle w:val="Akapitzlist"/>
        <w:numPr>
          <w:ilvl w:val="0"/>
          <w:numId w:val="18"/>
        </w:numPr>
      </w:pPr>
      <w:r>
        <w:t>Grzewcza – ogrzewanie budynku z sieci miejskiej.</w:t>
      </w:r>
    </w:p>
    <w:p w:rsidR="00CF2E2A" w:rsidRDefault="00CF2E2A" w:rsidP="002F6478">
      <w:pPr>
        <w:pStyle w:val="Akapitzlist"/>
        <w:numPr>
          <w:ilvl w:val="0"/>
          <w:numId w:val="18"/>
        </w:numPr>
      </w:pPr>
      <w:r>
        <w:t>Odgromowa – budynek posiada instalację odgromową wykonaną zgodnie z PN.</w:t>
      </w:r>
    </w:p>
    <w:p w:rsidR="00EC32B0" w:rsidRDefault="00CF2E2A" w:rsidP="002F6478">
      <w:pPr>
        <w:pStyle w:val="Akapitzlist"/>
        <w:numPr>
          <w:ilvl w:val="0"/>
          <w:numId w:val="18"/>
        </w:numPr>
      </w:pPr>
      <w:r>
        <w:t>Wentyla</w:t>
      </w:r>
      <w:r w:rsidR="00FE01FB">
        <w:t>cyjna – wentylacja grawitacyjna oraz mechaniczna, z czego obecnie funkcjonuje jedynie wentylacja grawitacyjna. Planowany remont wentylacji. P</w:t>
      </w:r>
      <w:r>
        <w:t>rzewody wentylacy</w:t>
      </w:r>
      <w:r w:rsidR="00FE01FB">
        <w:t xml:space="preserve">jne wykonane </w:t>
      </w:r>
      <w:r>
        <w:t>z materiałów niepalnych.</w:t>
      </w:r>
      <w:r w:rsidR="00EC32B0">
        <w:t xml:space="preserve"> </w:t>
      </w:r>
    </w:p>
    <w:p w:rsidR="00CF2E2A" w:rsidRDefault="00CF2E2A" w:rsidP="002F6478">
      <w:pPr>
        <w:pStyle w:val="Akapitzlist"/>
        <w:numPr>
          <w:ilvl w:val="0"/>
          <w:numId w:val="18"/>
        </w:numPr>
      </w:pPr>
      <w:r>
        <w:t>Teletechniczna – łączność wewnętrzna, telefon z łącznością ze Strażą Pożarną –  na portierni oraz u kierownika administracji.</w:t>
      </w:r>
    </w:p>
    <w:p w:rsidR="00CF2E2A" w:rsidRDefault="00CF2E2A" w:rsidP="002F6478">
      <w:pPr>
        <w:pStyle w:val="Akapitzlist"/>
        <w:numPr>
          <w:ilvl w:val="0"/>
          <w:numId w:val="18"/>
        </w:numPr>
      </w:pPr>
      <w:r>
        <w:t>Gazowa – budynek został wyposażony w instalację gazową z sieci miejskiej (pracownie dydaktyczno-naukowe).</w:t>
      </w:r>
    </w:p>
    <w:p w:rsidR="0099732D" w:rsidRDefault="0099732D" w:rsidP="002F6478">
      <w:pPr>
        <w:pStyle w:val="Akapitzlist"/>
        <w:numPr>
          <w:ilvl w:val="0"/>
          <w:numId w:val="18"/>
        </w:numPr>
      </w:pPr>
      <w:r>
        <w:t>Telewizja przemysłowa – instalacja monitoringowa.</w:t>
      </w:r>
    </w:p>
    <w:p w:rsidR="0099732D" w:rsidRPr="00EC32B0" w:rsidRDefault="0099732D" w:rsidP="002F6478">
      <w:pPr>
        <w:pStyle w:val="Akapitzlist"/>
        <w:numPr>
          <w:ilvl w:val="0"/>
          <w:numId w:val="18"/>
        </w:numPr>
      </w:pPr>
      <w:r>
        <w:t>Instalacja antywłamaniowa.</w:t>
      </w:r>
    </w:p>
    <w:p w:rsidR="00FB19BB" w:rsidRPr="00AA745F" w:rsidRDefault="00AA745F" w:rsidP="00034751">
      <w:r>
        <w:rPr>
          <w:b/>
        </w:rPr>
        <w:tab/>
      </w:r>
      <w:r>
        <w:t>W obiekcie znajdują się trzy dźwigi osobowe, 1 w segmencie A oraz 2 w nowej części bud</w:t>
      </w:r>
      <w:r w:rsidR="00A11007">
        <w:t>ynku. Winda w segmencie A łączy poziomy od „-2” do „3”, natomiast dwie pozostałe od „-1” do „3”. Szyby dźwigów osobowych wykonano jako żelbetowe monolityczne. Wyłączniki wind znajdują się w ich sąsiedztwie na parterze                                 i są odpowiednio oznakowane.</w:t>
      </w:r>
    </w:p>
    <w:p w:rsidR="008210F2" w:rsidRDefault="0099732D" w:rsidP="008210F2">
      <w:r>
        <w:rPr>
          <w:b/>
        </w:rPr>
        <w:tab/>
      </w:r>
      <w:r>
        <w:t>Przepusty instalacyjne o średnicy powyżej 0,04m w ścianach i stropach pomieszcze</w:t>
      </w:r>
      <w:r w:rsidR="003203C7">
        <w:t>ń zamkniętych o wymaganej odpor</w:t>
      </w:r>
      <w:r>
        <w:t xml:space="preserve">ności ogniowej nie niższej niż </w:t>
      </w:r>
      <w:r w:rsidR="003203C7">
        <w:t>EI 60                   lub REI 60, nie posiadają odporności ogniowej EI ścian i stropów tych pomieszczeń. Dopuszcza się niewykonywanie powyższych przepustów dla pojedynczych rur instalacji wodnych, kanalizacyjnych i ogrzewczych przechodzących przez ściany i stropy                        do pomieszczeń higieniczno-sanitarnych.</w:t>
      </w:r>
    </w:p>
    <w:p w:rsidR="008210F2" w:rsidRPr="008210F2" w:rsidRDefault="008210F2" w:rsidP="008210F2"/>
    <w:p w:rsidR="007A2A79" w:rsidRDefault="007A2A79" w:rsidP="00542F19">
      <w:pPr>
        <w:pStyle w:val="Nagwek2"/>
      </w:pPr>
      <w:bookmarkStart w:id="16" w:name="_Toc287549989"/>
      <w:r>
        <w:t>2.13. Przeciwpożarowe zaopatrzenie wodne</w:t>
      </w:r>
      <w:bookmarkEnd w:id="16"/>
    </w:p>
    <w:p w:rsidR="007A2A79" w:rsidRDefault="007A2A79" w:rsidP="00034751">
      <w:pPr>
        <w:rPr>
          <w:b/>
        </w:rPr>
      </w:pPr>
    </w:p>
    <w:p w:rsidR="0089577E" w:rsidRDefault="0089577E" w:rsidP="00034751">
      <w:r>
        <w:rPr>
          <w:b/>
        </w:rPr>
        <w:tab/>
      </w:r>
      <w:r>
        <w:t>Wymagana ilość wody do celów przeciwpożarowych do zewnętrznego gaszenia pożarów wynosi dla powyższego budynku 20 dm</w:t>
      </w:r>
      <w:r>
        <w:rPr>
          <w:vertAlign w:val="superscript"/>
        </w:rPr>
        <w:t>3</w:t>
      </w:r>
      <w:r>
        <w:t>/s łącznie z co najmniej dwóch hydrantów DN 80 lub 200 m</w:t>
      </w:r>
      <w:r>
        <w:rPr>
          <w:vertAlign w:val="superscript"/>
        </w:rPr>
        <w:t>3</w:t>
      </w:r>
      <w:r>
        <w:t xml:space="preserve"> zapasu wody w przeciwpożarowym zbiorniku wodnym [4</w:t>
      </w:r>
      <w:r w:rsidR="004A4B2B">
        <w:t>]. Budynek spełnia wymagania w zakresie zaopatrzenia w wodę do zewnętrznego gaszenia pożarów.</w:t>
      </w:r>
    </w:p>
    <w:p w:rsidR="0089577E" w:rsidRDefault="0089577E" w:rsidP="00542F19">
      <w:pPr>
        <w:pStyle w:val="Nagwek2"/>
      </w:pPr>
      <w:bookmarkStart w:id="17" w:name="_Toc287549990"/>
      <w:r>
        <w:t>2.14. Urządzenia przeciwpożarowe</w:t>
      </w:r>
      <w:bookmarkEnd w:id="17"/>
    </w:p>
    <w:p w:rsidR="00024671" w:rsidRDefault="00024671" w:rsidP="00034751">
      <w:pPr>
        <w:rPr>
          <w:b/>
        </w:rPr>
      </w:pPr>
    </w:p>
    <w:p w:rsidR="002C2B76" w:rsidRDefault="002C2B76" w:rsidP="002C2B76">
      <w:r>
        <w:t>Budynek został wyposażony w następujące urządzenia przeciwpożarowe:</w:t>
      </w:r>
    </w:p>
    <w:p w:rsidR="002C2B76" w:rsidRDefault="00B31B76" w:rsidP="002F6478">
      <w:pPr>
        <w:pStyle w:val="Akapitzlist"/>
        <w:numPr>
          <w:ilvl w:val="0"/>
          <w:numId w:val="17"/>
        </w:numPr>
        <w:ind w:left="714" w:hanging="357"/>
      </w:pPr>
      <w:r>
        <w:t>H</w:t>
      </w:r>
      <w:r w:rsidR="002C2B76">
        <w:t>ydranty wewnętrzne 52 z wężem płasko składanym. Hydranty rozmieszone prawidłowo przy klatkach schodowych, oznakowane zgodnie z PN.</w:t>
      </w:r>
      <w:r w:rsidR="002C2B76" w:rsidRPr="00795895">
        <w:t xml:space="preserve"> Inst</w:t>
      </w:r>
      <w:r w:rsidR="002C2B76">
        <w:t>alacja hydrantów wewnętrznych 52</w:t>
      </w:r>
      <w:r w:rsidR="002C2B76" w:rsidRPr="00795895">
        <w:t xml:space="preserve"> w obiekcie posiada aktualne badania techniczne. Minimalny wydatek poboru wod</w:t>
      </w:r>
      <w:r w:rsidR="002C2B76">
        <w:t>y na wylocie prądownicy wynosi 2,5</w:t>
      </w:r>
      <w:r w:rsidR="002C2B76" w:rsidRPr="00795895">
        <w:t xml:space="preserve"> dm</w:t>
      </w:r>
      <w:r w:rsidR="002C2B76" w:rsidRPr="00B31B76">
        <w:rPr>
          <w:vertAlign w:val="superscript"/>
        </w:rPr>
        <w:t>3</w:t>
      </w:r>
      <w:r w:rsidR="00FB19BB">
        <w:t>/s, możliwe jest</w:t>
      </w:r>
      <w:r w:rsidR="002C2B76">
        <w:t xml:space="preserve"> podawanie wody przez</w:t>
      </w:r>
      <w:r w:rsidR="002C2B76" w:rsidRPr="00795895">
        <w:t xml:space="preserve"> co najmniej godzinę. Zawory od</w:t>
      </w:r>
      <w:r>
        <w:t>cinające hydrantów wewnętrznych</w:t>
      </w:r>
      <w:r w:rsidR="002C2B76" w:rsidRPr="00795895">
        <w:t xml:space="preserve"> są umieszczone na wysokości </w:t>
      </w:r>
      <w:r w:rsidR="003203C7">
        <w:t>1,35±0,1</w:t>
      </w:r>
      <w:r w:rsidR="002C2B76" w:rsidRPr="00795895">
        <w:t xml:space="preserve">m </w:t>
      </w:r>
      <w:r>
        <w:t xml:space="preserve">                        </w:t>
      </w:r>
      <w:r w:rsidR="002C2B76" w:rsidRPr="00795895">
        <w:t xml:space="preserve">od poziomu podłogi. Hydranty są zasilane </w:t>
      </w:r>
      <w:r w:rsidR="002C2B76">
        <w:t>poprzez przewody zasilające DN50</w:t>
      </w:r>
      <w:r w:rsidR="002C2B76" w:rsidRPr="00795895">
        <w:t xml:space="preserve">. </w:t>
      </w:r>
    </w:p>
    <w:p w:rsidR="00B31B76" w:rsidRDefault="00B31B76" w:rsidP="002F6478">
      <w:pPr>
        <w:pStyle w:val="Akapitzlist"/>
        <w:numPr>
          <w:ilvl w:val="0"/>
          <w:numId w:val="17"/>
        </w:numPr>
        <w:ind w:left="714" w:hanging="357"/>
      </w:pPr>
      <w:r>
        <w:t>System sygnalizacji pożaru Polon Alfa Ignis 1000. Na parterze w portierni znajdują się dwie centralki Ignis 1240 – podział na „starą” i „nową” część obiektu. Każda centralka obejmuje 24 strefy dozorowe. System sygnalizacji pożaru jest połączony z Państwową Strażą Pożarną.</w:t>
      </w:r>
      <w:r w:rsidR="0099732D">
        <w:t xml:space="preserve"> </w:t>
      </w:r>
    </w:p>
    <w:p w:rsidR="002C2B76" w:rsidRDefault="00B31B76" w:rsidP="002F6478">
      <w:pPr>
        <w:pStyle w:val="Akapitzlist"/>
        <w:numPr>
          <w:ilvl w:val="0"/>
          <w:numId w:val="17"/>
        </w:numPr>
        <w:ind w:left="714" w:hanging="357"/>
      </w:pPr>
      <w:r>
        <w:t>P</w:t>
      </w:r>
      <w:r w:rsidR="002C2B76" w:rsidRPr="00795895">
        <w:t xml:space="preserve">rzeciwpożarowy wyłącznik prądu – umożliwia natychmiastowe odcięcie napięcia w budynku. </w:t>
      </w:r>
      <w:r w:rsidR="002C2B76">
        <w:t>Zlokalizowany jest n</w:t>
      </w:r>
      <w:r w:rsidR="000B7C8E">
        <w:t xml:space="preserve">a parterze i oznakowany zgodnie </w:t>
      </w:r>
      <w:r w:rsidR="002C2B76">
        <w:t>z PN.</w:t>
      </w:r>
    </w:p>
    <w:p w:rsidR="002C2B76" w:rsidRDefault="002C2B76" w:rsidP="00034751">
      <w:pPr>
        <w:rPr>
          <w:b/>
        </w:rPr>
      </w:pPr>
    </w:p>
    <w:p w:rsidR="0089577E" w:rsidRDefault="0089577E" w:rsidP="00542F19">
      <w:pPr>
        <w:pStyle w:val="Nagwek2"/>
      </w:pPr>
      <w:bookmarkStart w:id="18" w:name="_Toc287549991"/>
      <w:r>
        <w:t>2.15. Dobór sprzętu gaśniczego</w:t>
      </w:r>
      <w:bookmarkEnd w:id="18"/>
    </w:p>
    <w:p w:rsidR="00A63E7D" w:rsidRDefault="00A63E7D" w:rsidP="00034751">
      <w:pPr>
        <w:rPr>
          <w:b/>
        </w:rPr>
      </w:pPr>
    </w:p>
    <w:p w:rsidR="00A63E7D" w:rsidRDefault="00A63E7D" w:rsidP="00A63E7D">
      <w:r>
        <w:tab/>
        <w:t xml:space="preserve"> Rozmieszczenie podręcznego sprzętu gaśniczego prawidłowe. Liczba gaśnic wynika z zasady – jednostka masy środka gaśniczego 2 kg (3 </w:t>
      </w:r>
      <w:r w:rsidRPr="000F6657">
        <w:t>dm</w:t>
      </w:r>
      <w:r>
        <w:rPr>
          <w:vertAlign w:val="superscript"/>
        </w:rPr>
        <w:t>3</w:t>
      </w:r>
      <w:r>
        <w:t xml:space="preserve">) </w:t>
      </w:r>
      <w:r w:rsidRPr="000F6657">
        <w:t>na</w:t>
      </w:r>
      <w:r>
        <w:t xml:space="preserve"> 100 m</w:t>
      </w:r>
      <w:r>
        <w:rPr>
          <w:vertAlign w:val="superscript"/>
        </w:rPr>
        <w:t>2</w:t>
      </w:r>
      <w:r>
        <w:t xml:space="preserve"> powierzchni. Gaśnice rozmieszczone w pobliżu poziomych dróg ewakuacyjnych oraz klatek schodowych. Z każdego miejsca, w którym może przebywać człowiek, do gaśnicy odległość jest zdecydowanie mniejsza niż 30 m . Miejsca umieszczenia gaśnic                           są oznakowane zgodnie z PN i zapewniają dostęp o szerokości co najmniej 1 m. Gaśnice posiadają aktualne badania techniczne i przeglądy.</w:t>
      </w:r>
    </w:p>
    <w:p w:rsidR="00A63E7D" w:rsidRDefault="00A63E7D" w:rsidP="00034751">
      <w:pPr>
        <w:rPr>
          <w:b/>
        </w:rPr>
      </w:pPr>
    </w:p>
    <w:p w:rsidR="0089577E" w:rsidRDefault="0089577E" w:rsidP="00542F19">
      <w:pPr>
        <w:pStyle w:val="Nagwek2"/>
      </w:pPr>
      <w:bookmarkStart w:id="19" w:name="_Toc287549992"/>
      <w:r>
        <w:t>2.16. Drogi pożarowe</w:t>
      </w:r>
      <w:bookmarkEnd w:id="19"/>
    </w:p>
    <w:p w:rsidR="0089577E" w:rsidRDefault="0089577E" w:rsidP="00542F19">
      <w:pPr>
        <w:pStyle w:val="Nagwek2"/>
      </w:pPr>
    </w:p>
    <w:p w:rsidR="00015261" w:rsidRDefault="00015261" w:rsidP="00034751">
      <w:r>
        <w:rPr>
          <w:b/>
        </w:rPr>
        <w:tab/>
      </w:r>
      <w:r>
        <w:t>Dojazd jednostek ochrony przeciwpożarowej do budynku zapewnia droga pożarowa pokryta asfaltem o szerokości około 5m, przebiegająca wzdłuż dłuższego boku budynku. Między dojazdem pożarowym, a ścianą budynku, nie występują żadne elementy zagospodarowania terenu oraz drzewa i krzewy – zapewniony dostęp do elewacji budynku za pomocą drabin mechanicznych i podnośników. Droga pożarowa nie jest oznakowana zgodnie</w:t>
      </w:r>
      <w:r w:rsidR="009941C4">
        <w:t xml:space="preserve"> z PN.</w:t>
      </w:r>
    </w:p>
    <w:p w:rsidR="0089577E" w:rsidRDefault="0089577E" w:rsidP="00034751">
      <w:pPr>
        <w:rPr>
          <w:b/>
        </w:rPr>
      </w:pPr>
    </w:p>
    <w:p w:rsidR="0089577E" w:rsidRPr="0089577E" w:rsidRDefault="0089577E" w:rsidP="00542F19">
      <w:pPr>
        <w:pStyle w:val="Nagwek2"/>
      </w:pPr>
      <w:bookmarkStart w:id="20" w:name="_Toc287549993"/>
      <w:r>
        <w:t>2.17. Organizacja ochrony przeciwpożarowej</w:t>
      </w:r>
      <w:bookmarkEnd w:id="20"/>
    </w:p>
    <w:p w:rsidR="007A2A79" w:rsidRDefault="007A2A79" w:rsidP="00034751">
      <w:pPr>
        <w:rPr>
          <w:b/>
        </w:rPr>
      </w:pPr>
    </w:p>
    <w:p w:rsidR="00F03427" w:rsidRDefault="00B31B76" w:rsidP="00CF2E2A">
      <w:r>
        <w:rPr>
          <w:b/>
        </w:rPr>
        <w:tab/>
      </w:r>
      <w:r>
        <w:t>Budynek Wydziału Biologii i Nauk o Ziemi nie posiada aktualnej instrukcji bezpieczeństwa pożarowego. Przedstawiony najnowszy egzemplarz tego dokumentu pochodzi z września 2006 roku.</w:t>
      </w:r>
      <w:r w:rsidR="00EC32B0">
        <w:t xml:space="preserve"> Instrukcję bezpieczeństwa pożarowego należy poddawać okresowej aktualizacji, co najmniej raz na dwa lata, a także po zmianach sposobu użytkowania lub procesu technologicznego, które prowadzą do zmiany warunków ochrony przeciwpożarowej.</w:t>
      </w:r>
      <w:r w:rsidR="00B208A8">
        <w:t xml:space="preserve"> </w:t>
      </w:r>
    </w:p>
    <w:p w:rsidR="00FE01FB" w:rsidRDefault="00B208A8" w:rsidP="00CF2E2A">
      <w:r>
        <w:tab/>
        <w:t>Brak praktycznego sprawdzenia organizacji oraz warunków ewakuacji.                        W obiektach, w których cyklicznie zmienia się jednocześnie grupa powyżej 50 osób, takie działania należy przeprowadzać co najmniej raz na rok. Właściciel lub zarządca obiektu powinien powiadomić właściwego komendanta powiatowego (miejskiego) PSP o terminie przeprowadzenia powyższych działań nie później niż na tydzień przed ich przeprowadzeniem.</w:t>
      </w:r>
    </w:p>
    <w:p w:rsidR="009E45A4" w:rsidRDefault="009E45A4" w:rsidP="00CF2E2A"/>
    <w:p w:rsidR="00FB19BB" w:rsidRPr="00F03427" w:rsidRDefault="00FB19BB" w:rsidP="00CF2E2A"/>
    <w:p w:rsidR="00222795" w:rsidRDefault="007712A6" w:rsidP="002F6478">
      <w:pPr>
        <w:pStyle w:val="Nagwek1"/>
        <w:numPr>
          <w:ilvl w:val="0"/>
          <w:numId w:val="1"/>
        </w:numPr>
      </w:pPr>
      <w:bookmarkStart w:id="21" w:name="_Toc287549994"/>
      <w:r>
        <w:t>Zakres niezgodności z przepisami</w:t>
      </w:r>
      <w:bookmarkEnd w:id="21"/>
    </w:p>
    <w:p w:rsidR="00047253" w:rsidRDefault="00047253" w:rsidP="00222795"/>
    <w:p w:rsidR="00CF2E2A" w:rsidRDefault="00CF2E2A" w:rsidP="00542F19">
      <w:pPr>
        <w:pStyle w:val="Nagwek2"/>
      </w:pPr>
      <w:bookmarkStart w:id="22" w:name="_Toc287549995"/>
      <w:r>
        <w:t>3.1. Kwalifikacja budynku jako zagrażający życiu ludzi</w:t>
      </w:r>
      <w:bookmarkEnd w:id="22"/>
    </w:p>
    <w:p w:rsidR="00CF2E2A" w:rsidRDefault="00CF2E2A" w:rsidP="00222795">
      <w:pPr>
        <w:rPr>
          <w:b/>
        </w:rPr>
      </w:pPr>
    </w:p>
    <w:p w:rsidR="00CF2E2A" w:rsidRPr="00CF2E2A" w:rsidRDefault="00CF2E2A" w:rsidP="00CF2E2A">
      <w:r>
        <w:rPr>
          <w:b/>
        </w:rPr>
        <w:tab/>
      </w:r>
      <w:r w:rsidRPr="00CF2E2A">
        <w:t>Budynek był wznoszony w trakcie obowiązywania innych wymagań, zarówno w </w:t>
      </w:r>
      <w:r>
        <w:t xml:space="preserve">zakresie </w:t>
      </w:r>
      <w:r w:rsidRPr="00CF2E2A">
        <w:t xml:space="preserve">warunków techniczno-budowlanych, jak również przepisów przeciwpożarowych. Na podstawie dokonanej oceny warunków, których występowanie </w:t>
      </w:r>
      <w:r w:rsidR="00FB19BB">
        <w:t xml:space="preserve">                   </w:t>
      </w:r>
      <w:r w:rsidRPr="00CF2E2A">
        <w:t>w obiekcie powoduje, iż może być on zaliczony do zagrażających życiu ludzi, jednoznacznie stwierdzono, że stan taki występuje.</w:t>
      </w:r>
    </w:p>
    <w:p w:rsidR="00CF2E2A" w:rsidRPr="00CF2E2A" w:rsidRDefault="00CF2E2A" w:rsidP="00CF2E2A">
      <w:r w:rsidRPr="00CF2E2A">
        <w:tab/>
        <w:t>W świetle przepisów przeciwpożarowych, podstawę do uznania przedmiotowego obiektu za zagrażający życiu ludzi, stanowić będzie:</w:t>
      </w:r>
    </w:p>
    <w:p w:rsidR="00CF2E2A" w:rsidRDefault="00AA745F" w:rsidP="002F6478">
      <w:pPr>
        <w:pStyle w:val="Akapitzlist"/>
        <w:numPr>
          <w:ilvl w:val="0"/>
          <w:numId w:val="19"/>
        </w:numPr>
        <w:ind w:left="714" w:hanging="357"/>
        <w:rPr>
          <w:rFonts w:eastAsia="Times New Roman" w:cs="Times New Roman"/>
          <w:color w:val="auto"/>
          <w:lang w:bidi="en-US"/>
        </w:rPr>
      </w:pPr>
      <w:r>
        <w:rPr>
          <w:rFonts w:eastAsia="Times New Roman" w:cs="Times New Roman"/>
          <w:color w:val="auto"/>
          <w:lang w:bidi="en-US"/>
        </w:rPr>
        <w:t>długość dojścia ewakuacyjnego większa o ponad 100% od określonej                               w przepisach techniczno-budowlanych;</w:t>
      </w:r>
    </w:p>
    <w:p w:rsidR="00AA745F" w:rsidRDefault="00AA745F" w:rsidP="002F6478">
      <w:pPr>
        <w:pStyle w:val="Akapitzlist"/>
        <w:numPr>
          <w:ilvl w:val="0"/>
          <w:numId w:val="19"/>
        </w:numPr>
        <w:ind w:left="714" w:hanging="357"/>
        <w:rPr>
          <w:rFonts w:eastAsia="Times New Roman" w:cs="Times New Roman"/>
          <w:color w:val="auto"/>
          <w:lang w:bidi="en-US"/>
        </w:rPr>
      </w:pPr>
      <w:r>
        <w:rPr>
          <w:rFonts w:eastAsia="Times New Roman" w:cs="Times New Roman"/>
          <w:color w:val="auto"/>
          <w:lang w:bidi="en-US"/>
        </w:rPr>
        <w:t>występowanie na drogach ewakuacyjnych materiałów łatwo zapalnych;</w:t>
      </w:r>
    </w:p>
    <w:p w:rsidR="00AA745F" w:rsidRDefault="00AA745F" w:rsidP="002F6478">
      <w:pPr>
        <w:pStyle w:val="Akapitzlist"/>
        <w:numPr>
          <w:ilvl w:val="0"/>
          <w:numId w:val="19"/>
        </w:numPr>
        <w:ind w:left="714" w:hanging="357"/>
        <w:rPr>
          <w:rFonts w:eastAsia="Times New Roman" w:cs="Times New Roman"/>
          <w:color w:val="auto"/>
          <w:lang w:bidi="en-US"/>
        </w:rPr>
      </w:pPr>
      <w:r>
        <w:rPr>
          <w:rFonts w:eastAsia="Times New Roman" w:cs="Times New Roman"/>
          <w:color w:val="auto"/>
          <w:lang w:bidi="en-US"/>
        </w:rPr>
        <w:t>niezabezpieczenie przed zadymieniem dróg ewakuacyjnych wymienionych                     w przepisach techniczno-budowlanych, w sposób w nich określonych;</w:t>
      </w:r>
    </w:p>
    <w:p w:rsidR="00FE01FB" w:rsidRDefault="00FE01FB" w:rsidP="00FE01FB">
      <w:pPr>
        <w:rPr>
          <w:rFonts w:eastAsia="Times New Roman" w:cs="Times New Roman"/>
          <w:color w:val="auto"/>
          <w:lang w:bidi="en-US"/>
        </w:rPr>
      </w:pPr>
    </w:p>
    <w:p w:rsidR="00FE01FB" w:rsidRDefault="00FE01FB" w:rsidP="00FE01FB">
      <w:pPr>
        <w:rPr>
          <w:rFonts w:eastAsia="Times New Roman" w:cs="Times New Roman"/>
          <w:color w:val="auto"/>
          <w:lang w:bidi="en-US"/>
        </w:rPr>
      </w:pPr>
    </w:p>
    <w:p w:rsidR="00FE01FB" w:rsidRDefault="00FE01FB" w:rsidP="00FE01FB">
      <w:pPr>
        <w:rPr>
          <w:rFonts w:eastAsia="Times New Roman" w:cs="Times New Roman"/>
          <w:color w:val="auto"/>
          <w:lang w:bidi="en-US"/>
        </w:rPr>
      </w:pPr>
    </w:p>
    <w:p w:rsidR="00AA745F" w:rsidRDefault="00AA745F" w:rsidP="00AA745F">
      <w:pPr>
        <w:pStyle w:val="Akapitzlist"/>
        <w:ind w:left="754"/>
        <w:rPr>
          <w:rFonts w:eastAsia="Times New Roman" w:cs="Times New Roman"/>
          <w:color w:val="auto"/>
          <w:lang w:bidi="en-US"/>
        </w:rPr>
      </w:pPr>
    </w:p>
    <w:p w:rsidR="00AA745F" w:rsidRPr="00AA745F" w:rsidRDefault="00AA745F" w:rsidP="00542F19">
      <w:pPr>
        <w:pStyle w:val="Nagwek2"/>
        <w:rPr>
          <w:lang w:bidi="en-US"/>
        </w:rPr>
      </w:pPr>
      <w:bookmarkStart w:id="23" w:name="_Toc287549996"/>
      <w:r w:rsidRPr="00AA745F">
        <w:rPr>
          <w:lang w:bidi="en-US"/>
        </w:rPr>
        <w:t>3.2. Niezgodności w zakresie przepisów techniczno-budowlanych</w:t>
      </w:r>
      <w:bookmarkEnd w:id="23"/>
    </w:p>
    <w:p w:rsidR="00CF2E2A" w:rsidRPr="00AA745F" w:rsidRDefault="00CF2E2A" w:rsidP="00222795">
      <w:pPr>
        <w:rPr>
          <w:b/>
        </w:rPr>
      </w:pPr>
    </w:p>
    <w:p w:rsidR="00047253" w:rsidRDefault="00B208A8" w:rsidP="00222795">
      <w:r>
        <w:tab/>
        <w:t>W budynku występują następujące niezgodności z przepisami techniczno-budowlanymi:</w:t>
      </w:r>
    </w:p>
    <w:p w:rsidR="00B208A8" w:rsidRDefault="000B7C8E" w:rsidP="002F6478">
      <w:pPr>
        <w:pStyle w:val="Akapitzlist"/>
        <w:numPr>
          <w:ilvl w:val="0"/>
          <w:numId w:val="21"/>
        </w:numPr>
        <w:ind w:left="714" w:hanging="357"/>
      </w:pPr>
      <w:r>
        <w:t xml:space="preserve">przekroczenie długości dojścia ewakuacyjnego o ponad 100% </w:t>
      </w:r>
      <w:r w:rsidR="005D4FB2">
        <w:t>w stosunku                      do wartości określonej w przepisach techniczno-budowlanych;</w:t>
      </w:r>
    </w:p>
    <w:p w:rsidR="005D4FB2" w:rsidRDefault="005D4FB2" w:rsidP="002F6478">
      <w:pPr>
        <w:pStyle w:val="Akapitzlist"/>
        <w:numPr>
          <w:ilvl w:val="0"/>
          <w:numId w:val="21"/>
        </w:numPr>
        <w:ind w:left="714" w:hanging="357"/>
      </w:pPr>
      <w:r>
        <w:t>znaczne przekroczenie powierzchni strefy pożarowej w stosunku do wartości określonej w przepisach techniczno-budowlanych;</w:t>
      </w:r>
    </w:p>
    <w:p w:rsidR="005D4FB2" w:rsidRDefault="005D4FB2" w:rsidP="002F6478">
      <w:pPr>
        <w:pStyle w:val="Akapitzlist"/>
        <w:numPr>
          <w:ilvl w:val="0"/>
          <w:numId w:val="21"/>
        </w:numPr>
        <w:ind w:left="714" w:hanging="357"/>
      </w:pPr>
      <w:r>
        <w:t>niewydzielenie klatek schodowych w sposób określony w przepisach techniczno-budowlanych;</w:t>
      </w:r>
    </w:p>
    <w:p w:rsidR="005D4FB2" w:rsidRDefault="005D4FB2" w:rsidP="002F6478">
      <w:pPr>
        <w:pStyle w:val="Akapitzlist"/>
        <w:numPr>
          <w:ilvl w:val="0"/>
          <w:numId w:val="21"/>
        </w:numPr>
        <w:ind w:left="714" w:hanging="357"/>
      </w:pPr>
      <w:r>
        <w:t>niezabezpieczenie przed zadymieniem klatek schodowych w sposób określony                  w przepisach techniczno-budowlanych;</w:t>
      </w:r>
    </w:p>
    <w:p w:rsidR="005D4FB2" w:rsidRDefault="005D4FB2" w:rsidP="002F6478">
      <w:pPr>
        <w:pStyle w:val="Akapitzlist"/>
        <w:numPr>
          <w:ilvl w:val="0"/>
          <w:numId w:val="21"/>
        </w:numPr>
        <w:ind w:left="714" w:hanging="357"/>
      </w:pPr>
      <w:r>
        <w:t>brak awaryjnego oświetlenia ewakuacyjnego na drogach ewakuacyjnych;</w:t>
      </w:r>
    </w:p>
    <w:p w:rsidR="005D4FB2" w:rsidRDefault="00FB19BB" w:rsidP="002F6478">
      <w:pPr>
        <w:pStyle w:val="Akapitzlist"/>
        <w:numPr>
          <w:ilvl w:val="0"/>
          <w:numId w:val="21"/>
        </w:numPr>
        <w:ind w:left="714" w:hanging="357"/>
      </w:pPr>
      <w:r>
        <w:t>wyjście</w:t>
      </w:r>
      <w:r w:rsidR="005D4FB2">
        <w:t xml:space="preserve"> ewakuacyjne z budynku z poziomu „-2” w segmencie A zamykane drzwiami otwierającymi się do wewnątrz;</w:t>
      </w:r>
      <w:r w:rsidR="004F09B1">
        <w:t xml:space="preserve"> drugie wyjście z tego poziomu zamykane drzwiami dwuskrzydłowymi otwierającymi się do wewnątrz i nie posiadającymi nieblokowane skrzydło o minimalnej szerokości 0,9 m;</w:t>
      </w:r>
      <w:r w:rsidR="005033F2">
        <w:t xml:space="preserve"> wyjście z łącznika </w:t>
      </w:r>
      <w:r w:rsidR="00542F19">
        <w:t xml:space="preserve">                      </w:t>
      </w:r>
      <w:r w:rsidR="005033F2">
        <w:t xml:space="preserve">z poziomu „-2” zamykane podwójnymi drzwiami nie posiadającymi co najmniej </w:t>
      </w:r>
      <w:r w:rsidR="008210F2">
        <w:t xml:space="preserve">               </w:t>
      </w:r>
      <w:r w:rsidR="005033F2">
        <w:t>1 nieblokowane skrzydło o szerokości minimum 0,9 m;</w:t>
      </w:r>
    </w:p>
    <w:p w:rsidR="00B82200" w:rsidRDefault="00B82200" w:rsidP="00FB19BB">
      <w:pPr>
        <w:pStyle w:val="Akapitzlist"/>
        <w:numPr>
          <w:ilvl w:val="0"/>
          <w:numId w:val="21"/>
        </w:numPr>
        <w:ind w:left="714" w:hanging="357"/>
      </w:pPr>
      <w:r>
        <w:t>2 wyjścia</w:t>
      </w:r>
      <w:r w:rsidR="005D4FB2">
        <w:t xml:space="preserve"> ewakuacyjne z budynku z poziomu parteru w łączniku zamykane</w:t>
      </w:r>
      <w:r>
        <w:t xml:space="preserve"> podwójnymi drzwiami dwuskrzydłowymi otwierającymi się do wewnątrz;</w:t>
      </w:r>
    </w:p>
    <w:p w:rsidR="00FE01FB" w:rsidRDefault="00FE01FB" w:rsidP="002F6478">
      <w:pPr>
        <w:pStyle w:val="Akapitzlist"/>
        <w:numPr>
          <w:ilvl w:val="0"/>
          <w:numId w:val="21"/>
        </w:numPr>
        <w:ind w:left="714" w:hanging="357"/>
      </w:pPr>
      <w:r>
        <w:t>wielokrotnie na drogach ewakuacyjnych oraz w wyjściach ewakuacyjnych występują drzwi dwuskrzydłowe, które nie posiadają nieblokowane skrzydło                    o szerokości min. 0,9 m;</w:t>
      </w:r>
    </w:p>
    <w:p w:rsidR="00373B8E" w:rsidRDefault="00373B8E" w:rsidP="002F6478">
      <w:pPr>
        <w:pStyle w:val="Akapitzlist"/>
        <w:numPr>
          <w:ilvl w:val="0"/>
          <w:numId w:val="21"/>
        </w:numPr>
        <w:ind w:left="714" w:hanging="357"/>
      </w:pPr>
      <w:r>
        <w:t>długość dojścia ewakuacyjnego z pom</w:t>
      </w:r>
      <w:r w:rsidR="00B457E8">
        <w:t>ieszczenia 0247B na poziomie „-2</w:t>
      </w:r>
      <w:r>
        <w:t>” wynosząca 25 m wobec 20 m wymaganych przepisami;</w:t>
      </w:r>
    </w:p>
    <w:p w:rsidR="00B82200" w:rsidRDefault="00B82200" w:rsidP="002F6478">
      <w:pPr>
        <w:pStyle w:val="Akapitzlist"/>
        <w:numPr>
          <w:ilvl w:val="0"/>
          <w:numId w:val="21"/>
        </w:numPr>
        <w:ind w:left="714" w:hanging="357"/>
      </w:pPr>
      <w:r>
        <w:t>drewniane szafy znajdujące s</w:t>
      </w:r>
      <w:r w:rsidR="00C21884">
        <w:t>ię na drogach ewakuacyjnych nie</w:t>
      </w:r>
      <w:r>
        <w:t>spełniające wymogów co najmniej trudno zapalności;</w:t>
      </w:r>
    </w:p>
    <w:p w:rsidR="004F09B1" w:rsidRDefault="004F09B1" w:rsidP="002F6478">
      <w:pPr>
        <w:pStyle w:val="Akapitzlist"/>
        <w:numPr>
          <w:ilvl w:val="0"/>
          <w:numId w:val="21"/>
        </w:numPr>
        <w:ind w:left="714" w:hanging="357"/>
      </w:pPr>
      <w:r>
        <w:t>wykładzina z PCW o nieokreślonym stopniu palności stosowana                                    w pomieszczeniach;</w:t>
      </w:r>
    </w:p>
    <w:p w:rsidR="005D4FB2" w:rsidRDefault="00FB19BB" w:rsidP="002F6478">
      <w:pPr>
        <w:pStyle w:val="Akapitzlist"/>
        <w:numPr>
          <w:ilvl w:val="0"/>
          <w:numId w:val="21"/>
        </w:numPr>
        <w:ind w:left="714" w:hanging="357"/>
      </w:pPr>
      <w:r>
        <w:t>korytarze nie spełniają</w:t>
      </w:r>
      <w:r w:rsidR="00CD609D">
        <w:t xml:space="preserve"> kryterium podziału na maksymalne odcinki 50-metrowe</w:t>
      </w:r>
      <w:r w:rsidR="00E331B9">
        <w:t xml:space="preserve"> przy zastosowaniu przegród </w:t>
      </w:r>
      <w:r w:rsidR="00CD609D">
        <w:t>z drzwiami dymoszczelnymi</w:t>
      </w:r>
      <w:r w:rsidR="00E331B9">
        <w:t>;</w:t>
      </w:r>
    </w:p>
    <w:p w:rsidR="008E4E29" w:rsidRDefault="008E4E29" w:rsidP="002F6478">
      <w:pPr>
        <w:pStyle w:val="Akapitzlist"/>
        <w:numPr>
          <w:ilvl w:val="0"/>
          <w:numId w:val="21"/>
        </w:numPr>
        <w:ind w:left="714" w:hanging="357"/>
      </w:pPr>
      <w:r>
        <w:t>występują lokalne przewężenia poziomych dróg ewakuacyjnych poniżej szerokości 1,4 m;</w:t>
      </w:r>
    </w:p>
    <w:p w:rsidR="00E331B9" w:rsidRDefault="0099732D" w:rsidP="002F6478">
      <w:pPr>
        <w:pStyle w:val="Akapitzlist"/>
        <w:numPr>
          <w:ilvl w:val="0"/>
          <w:numId w:val="21"/>
        </w:numPr>
        <w:ind w:left="714" w:hanging="357"/>
      </w:pPr>
      <w:r>
        <w:t>drzwi na korytarzach stanowiących poziome drogi ewakuacyjne nie są drzwiami dymoszczelnymi;</w:t>
      </w:r>
    </w:p>
    <w:p w:rsidR="009E45A4" w:rsidRDefault="003203C7" w:rsidP="00542F19">
      <w:pPr>
        <w:pStyle w:val="Akapitzlist"/>
        <w:numPr>
          <w:ilvl w:val="0"/>
          <w:numId w:val="21"/>
        </w:numPr>
        <w:ind w:left="714" w:hanging="357"/>
      </w:pPr>
      <w:r>
        <w:t>przepusty instalacyjne przechodzące przez przegrody o odporności ogniowej EI 60 (REI 60) lub wyższej nie posiadaj</w:t>
      </w:r>
      <w:r w:rsidR="00F852B4">
        <w:t>ą wymaganej odporności ogniowej;</w:t>
      </w:r>
    </w:p>
    <w:p w:rsidR="00373B8E" w:rsidRDefault="00373B8E" w:rsidP="00542F19">
      <w:pPr>
        <w:pStyle w:val="Nagwek2"/>
      </w:pPr>
    </w:p>
    <w:p w:rsidR="0023141A" w:rsidRDefault="0023141A" w:rsidP="00542F19">
      <w:pPr>
        <w:pStyle w:val="Nagwek2"/>
      </w:pPr>
      <w:bookmarkStart w:id="24" w:name="_Toc287549997"/>
      <w:r>
        <w:t>3.3. Niezgodności w zakresie przepisów przeciwpożarowych</w:t>
      </w:r>
      <w:bookmarkEnd w:id="24"/>
    </w:p>
    <w:p w:rsidR="0023141A" w:rsidRDefault="0023141A" w:rsidP="00542F19">
      <w:pPr>
        <w:pStyle w:val="Nagwek2"/>
      </w:pPr>
    </w:p>
    <w:p w:rsidR="0023141A" w:rsidRDefault="0023141A" w:rsidP="0023141A">
      <w:r>
        <w:rPr>
          <w:b/>
        </w:rPr>
        <w:tab/>
      </w:r>
      <w:r>
        <w:t>W przypadku powyższego budynku występują następujące niezgodności w zakresie przepisów przeciwpożarowych:</w:t>
      </w:r>
    </w:p>
    <w:p w:rsidR="0023141A" w:rsidRDefault="0023141A" w:rsidP="002F6478">
      <w:pPr>
        <w:pStyle w:val="Akapitzlist"/>
        <w:numPr>
          <w:ilvl w:val="0"/>
          <w:numId w:val="22"/>
        </w:numPr>
      </w:pPr>
      <w:r>
        <w:t>brak aktualnej instrukcji bezpieczeństwa pożarowego;</w:t>
      </w:r>
    </w:p>
    <w:p w:rsidR="0023141A" w:rsidRDefault="0023141A" w:rsidP="002F6478">
      <w:pPr>
        <w:pStyle w:val="Akapitzlist"/>
        <w:numPr>
          <w:ilvl w:val="0"/>
          <w:numId w:val="22"/>
        </w:numPr>
      </w:pPr>
      <w:r>
        <w:t>brak praktycznego sprawdzenia organizacji oraz warunków ewakuacji;</w:t>
      </w:r>
    </w:p>
    <w:p w:rsidR="0023141A" w:rsidRDefault="0023141A" w:rsidP="00F6385B">
      <w:pPr>
        <w:pStyle w:val="Akapitzlist"/>
        <w:numPr>
          <w:ilvl w:val="0"/>
          <w:numId w:val="22"/>
        </w:numPr>
      </w:pPr>
      <w:r>
        <w:t>brak oznakowania drogi pożarowej</w:t>
      </w:r>
      <w:r w:rsidR="00C26EE3">
        <w:t xml:space="preserve"> według PN</w:t>
      </w:r>
      <w:r w:rsidR="004C4D0B">
        <w:t>;</w:t>
      </w:r>
    </w:p>
    <w:p w:rsidR="004C4D0B" w:rsidRDefault="004C4D0B" w:rsidP="002F6478">
      <w:pPr>
        <w:pStyle w:val="Akapitzlist"/>
        <w:numPr>
          <w:ilvl w:val="0"/>
          <w:numId w:val="22"/>
        </w:numPr>
      </w:pPr>
      <w:r>
        <w:t>instalacja hydrantów wewnętrznych 52, zamiast wymaganej przepisami przeciwpożarowymi instalacji hydrantów 25.</w:t>
      </w:r>
    </w:p>
    <w:p w:rsidR="00C26EE3" w:rsidRDefault="00C26EE3" w:rsidP="00C26EE3"/>
    <w:p w:rsidR="00C26EE3" w:rsidRDefault="00C26EE3" w:rsidP="00542F19">
      <w:pPr>
        <w:pStyle w:val="Nagwek2"/>
      </w:pPr>
      <w:bookmarkStart w:id="25" w:name="_Toc287549998"/>
      <w:r>
        <w:t xml:space="preserve">3.4. Wskazanie niezgodności w zakresie przepisów techniczno-budowlanych oraz przeciwpożarowych, które zostaną doprowadzone w budynku do stanu zgodnego </w:t>
      </w:r>
      <w:r w:rsidR="00FE01FB">
        <w:t xml:space="preserve">       </w:t>
      </w:r>
      <w:r>
        <w:t>z przepisami</w:t>
      </w:r>
      <w:bookmarkEnd w:id="25"/>
    </w:p>
    <w:p w:rsidR="00C26EE3" w:rsidRDefault="00C26EE3" w:rsidP="00C26EE3">
      <w:pPr>
        <w:rPr>
          <w:b/>
        </w:rPr>
      </w:pPr>
    </w:p>
    <w:p w:rsidR="00C26EE3" w:rsidRDefault="00C26EE3" w:rsidP="00542F19">
      <w:pPr>
        <w:pStyle w:val="Nagwek2"/>
      </w:pPr>
      <w:bookmarkStart w:id="26" w:name="_Toc287549999"/>
      <w:r>
        <w:t>3.4.1 W zakresie przepisów techniczno-budowlanych</w:t>
      </w:r>
      <w:bookmarkEnd w:id="26"/>
    </w:p>
    <w:p w:rsidR="00C26EE3" w:rsidRDefault="00C26EE3" w:rsidP="00C26EE3">
      <w:pPr>
        <w:rPr>
          <w:b/>
        </w:rPr>
      </w:pPr>
    </w:p>
    <w:p w:rsidR="00C26EE3" w:rsidRPr="00EE444C" w:rsidRDefault="00EE444C" w:rsidP="002F6478">
      <w:pPr>
        <w:pStyle w:val="Akapitzlist"/>
        <w:numPr>
          <w:ilvl w:val="0"/>
          <w:numId w:val="23"/>
        </w:numPr>
        <w:rPr>
          <w:b/>
        </w:rPr>
      </w:pPr>
      <w:r>
        <w:t>wykonanie instalacji awaryjnego oświetlenia ewakuacyjnego na drogach ewakuacyjnych;</w:t>
      </w:r>
    </w:p>
    <w:p w:rsidR="00EE444C" w:rsidRPr="00EE444C" w:rsidRDefault="00EE444C" w:rsidP="002F6478">
      <w:pPr>
        <w:pStyle w:val="Akapitzlist"/>
        <w:numPr>
          <w:ilvl w:val="0"/>
          <w:numId w:val="23"/>
        </w:numPr>
        <w:rPr>
          <w:b/>
        </w:rPr>
      </w:pPr>
      <w:r>
        <w:t>obudowanie istniejących w budynku klatek schodowych ścianami o odporności ogniowej REI 60 i zamknięcie ich drzw</w:t>
      </w:r>
      <w:r w:rsidR="00084A9E">
        <w:t>iami o odporności ogniowej EI 30</w:t>
      </w:r>
      <w:r>
        <w:t>;</w:t>
      </w:r>
    </w:p>
    <w:p w:rsidR="00F6385B" w:rsidRPr="00F6385B" w:rsidRDefault="00EE444C" w:rsidP="004A4B2B">
      <w:pPr>
        <w:pStyle w:val="Akapitzlist"/>
        <w:numPr>
          <w:ilvl w:val="0"/>
          <w:numId w:val="23"/>
        </w:numPr>
        <w:rPr>
          <w:b/>
        </w:rPr>
      </w:pPr>
      <w:r>
        <w:t>wykonanie na istniejących klatkach schodowych grawitacyjnego systemu                     do usuwania dymu</w:t>
      </w:r>
      <w:r w:rsidR="00241DD0">
        <w:t xml:space="preserve"> </w:t>
      </w:r>
      <w:r w:rsidR="00241DD0" w:rsidRPr="00D37C89">
        <w:t>w oparciu o normę VDS 2221:2001-08</w:t>
      </w:r>
      <w:r w:rsidR="00964E10">
        <w:t xml:space="preserve"> (za wyjątkiem klatki schodowej K3)</w:t>
      </w:r>
      <w:r w:rsidR="00241DD0">
        <w:t>;</w:t>
      </w:r>
      <w:r w:rsidR="00964E10">
        <w:t xml:space="preserve"> jako otwory oddymiające proponuje wykorzystać istniejące otwory okienne, a w razie ich braku wykonać takie otwory – zaznaczono w części rysunkowej</w:t>
      </w:r>
      <w:r w:rsidR="006E5C20">
        <w:t xml:space="preserve">. Należy pamiętać o tym, </w:t>
      </w:r>
      <w:r w:rsidR="006E5C20" w:rsidRPr="000B366D">
        <w:t>aby okno posiadało geometrycznie wolną powierzchnię oddymiania stanowiącą co najmniej 7,5%</w:t>
      </w:r>
      <w:r w:rsidR="006E5C20">
        <w:rPr>
          <w:rStyle w:val="Odwoanieprzypisudolnego"/>
        </w:rPr>
        <w:footnoteReference w:id="1"/>
      </w:r>
      <w:r w:rsidR="006E5C20" w:rsidRPr="000B366D">
        <w:t xml:space="preserve"> powierzchni podstawy</w:t>
      </w:r>
      <w:r w:rsidR="006E5C20">
        <w:t xml:space="preserve"> przynależnej</w:t>
      </w:r>
      <w:r w:rsidR="006E5C20" w:rsidRPr="000B366D">
        <w:t xml:space="preserve"> klatki schodowej</w:t>
      </w:r>
      <w:r w:rsidR="006E5C20">
        <w:t>,</w:t>
      </w:r>
      <w:r w:rsidR="006E5C20" w:rsidRPr="000B366D">
        <w:t xml:space="preserve"> lecz nie mniej</w:t>
      </w:r>
      <w:r w:rsidR="006E5C20">
        <w:t>szą</w:t>
      </w:r>
      <w:r w:rsidR="006E5C20" w:rsidRPr="000B366D">
        <w:t xml:space="preserve"> niż 1,5m</w:t>
      </w:r>
      <w:r w:rsidR="006E5C20" w:rsidRPr="006949D7">
        <w:rPr>
          <w:vertAlign w:val="superscript"/>
        </w:rPr>
        <w:t>2</w:t>
      </w:r>
      <w:r w:rsidR="006E5C20">
        <w:t xml:space="preserve">. Dolna krawędź otworów w ścianie powinna być na wysokości co najmniej 0,8 m, a górna                         na wysokości co najmniej 1,8 m powyżej górnego podestu schodów. Jako otwory kompensujące proponuję </w:t>
      </w:r>
      <w:r w:rsidR="00F6385B">
        <w:t xml:space="preserve">wykorzystanie otworów okiennych </w:t>
      </w:r>
      <w:r w:rsidR="006E5C20">
        <w:t>na pa</w:t>
      </w:r>
      <w:r w:rsidR="009E45A4">
        <w:t>rterze, zaś</w:t>
      </w:r>
      <w:r w:rsidR="00373B8E">
        <w:t xml:space="preserve"> </w:t>
      </w:r>
      <w:r w:rsidR="00F6385B">
        <w:t xml:space="preserve">                  </w:t>
      </w:r>
      <w:r w:rsidR="006E5C20">
        <w:t>w przypadku klatki K4 drzwi,</w:t>
      </w:r>
      <w:r w:rsidR="004A4B2B">
        <w:t xml:space="preserve"> które mają zostać wykonane</w:t>
      </w:r>
      <w:r w:rsidR="00F6385B">
        <w:t xml:space="preserve"> </w:t>
      </w:r>
      <w:r w:rsidR="006E5C20">
        <w:t xml:space="preserve">w trakcie przebudowy obiektu. </w:t>
      </w:r>
    </w:p>
    <w:p w:rsidR="00EE444C" w:rsidRPr="00F6385B" w:rsidRDefault="006E5C20" w:rsidP="00F6385B">
      <w:pPr>
        <w:pStyle w:val="Akapitzlist"/>
        <w:rPr>
          <w:b/>
        </w:rPr>
      </w:pPr>
      <w:r>
        <w:t xml:space="preserve">Powierzchnia otworów dolotowych powinna stanowić </w:t>
      </w:r>
      <w:r w:rsidR="00373B8E">
        <w:t xml:space="preserve">co najmniej </w:t>
      </w:r>
      <w:r>
        <w:t>1-krotność powierzchni otworów wylotowych.</w:t>
      </w:r>
      <w:r w:rsidR="009E45A4">
        <w:t xml:space="preserve"> </w:t>
      </w:r>
      <w:r>
        <w:t>Należy zapewnić takie rozwiązanie techniczne, aby w momencie alarmu pożar</w:t>
      </w:r>
      <w:r w:rsidR="004A4B2B">
        <w:t>owego</w:t>
      </w:r>
      <w:r w:rsidR="00373B8E">
        <w:t xml:space="preserve"> </w:t>
      </w:r>
      <w:r>
        <w:t>i zadziałania systemu sygnalizacji pożaru, następowało otwarcie okien oddymiających, jak również otworów kompensujących (okien i drzwi);</w:t>
      </w:r>
    </w:p>
    <w:p w:rsidR="00241DD0" w:rsidRPr="00947899" w:rsidRDefault="00241DD0" w:rsidP="002F6478">
      <w:pPr>
        <w:pStyle w:val="Akapitzlist"/>
        <w:numPr>
          <w:ilvl w:val="0"/>
          <w:numId w:val="23"/>
        </w:numPr>
        <w:rPr>
          <w:b/>
        </w:rPr>
      </w:pPr>
      <w:r>
        <w:t>wydzielenie szybów dźwigów osobowych poprzez wymianę</w:t>
      </w:r>
      <w:r w:rsidR="00947899">
        <w:t xml:space="preserve"> ich</w:t>
      </w:r>
      <w:r>
        <w:t xml:space="preserve"> drzwi na takie, które spełniają kryterium odporności ogniowej EI 30</w:t>
      </w:r>
      <w:r w:rsidR="00947899">
        <w:t>;</w:t>
      </w:r>
    </w:p>
    <w:p w:rsidR="00947899" w:rsidRPr="00947899" w:rsidRDefault="00947899" w:rsidP="002F6478">
      <w:pPr>
        <w:pStyle w:val="Akapitzlist"/>
        <w:numPr>
          <w:ilvl w:val="0"/>
          <w:numId w:val="23"/>
        </w:numPr>
        <w:rPr>
          <w:b/>
        </w:rPr>
      </w:pPr>
      <w:r>
        <w:t>w efekcie obudowania klatek schodowych oraz wykonania systemu do ich oddymiania, nastąpi zmniejszenie długości dojścia ewakuacyjnego do wartości dopuszczonych przepisami techniczno-budowlanymi;</w:t>
      </w:r>
    </w:p>
    <w:p w:rsidR="00947899" w:rsidRPr="00856EA6" w:rsidRDefault="00947899" w:rsidP="002F6478">
      <w:pPr>
        <w:pStyle w:val="Akapitzlist"/>
        <w:numPr>
          <w:ilvl w:val="0"/>
          <w:numId w:val="23"/>
        </w:numPr>
        <w:rPr>
          <w:b/>
        </w:rPr>
      </w:pPr>
      <w:r>
        <w:t>wydzielenie stref pożarowych w obiekcie w wyniku obudowania i wykonania systemu do usuwania dymu z klatek schodowych</w:t>
      </w:r>
      <w:r w:rsidR="00084A9E">
        <w:t xml:space="preserve"> (za wyjątkiem klatki K3, która będzie tylko obudowana)</w:t>
      </w:r>
      <w:r>
        <w:t xml:space="preserve"> oraz wydzielenia pożarowego szybów dźwigów osobowych. W efekcie tych działań każda kondygnacja staje się oddzielną strefą pożarową.</w:t>
      </w:r>
      <w:r w:rsidR="00856EA6">
        <w:t xml:space="preserve"> Każda strefa pożarowa, za wyjątkiem kondygnacji „-1”, będzie się cechowała powierzchnią znacznie mniejszą od wskazanej w warunkach technicznych (5000 m</w:t>
      </w:r>
      <w:r w:rsidR="00856EA6">
        <w:rPr>
          <w:vertAlign w:val="superscript"/>
        </w:rPr>
        <w:t>2</w:t>
      </w:r>
      <w:r w:rsidR="00856EA6">
        <w:t>). Kondygnacja „-1” posiada powierzchnię około 2</w:t>
      </w:r>
      <w:r w:rsidR="00FE01FB">
        <w:t xml:space="preserve"> </w:t>
      </w:r>
      <w:r w:rsidR="00856EA6">
        <w:t>700 m</w:t>
      </w:r>
      <w:r w:rsidR="00856EA6">
        <w:rPr>
          <w:vertAlign w:val="superscript"/>
        </w:rPr>
        <w:t>2</w:t>
      </w:r>
      <w:r w:rsidR="00856EA6">
        <w:t>, co stanowi ponad 50% wartości dopu</w:t>
      </w:r>
      <w:r w:rsidR="00186731">
        <w:t>szczalnej dla strefy pożarowej na</w:t>
      </w:r>
      <w:r w:rsidR="00856EA6">
        <w:t xml:space="preserve"> kondygnacji nadziemnej i jest w sprzeczności z warunkami-technicznymi.</w:t>
      </w:r>
    </w:p>
    <w:p w:rsidR="00856EA6" w:rsidRPr="00FE01FB" w:rsidRDefault="00856EA6" w:rsidP="002F6478">
      <w:pPr>
        <w:pStyle w:val="Akapitzlist"/>
        <w:numPr>
          <w:ilvl w:val="0"/>
          <w:numId w:val="23"/>
        </w:numPr>
        <w:rPr>
          <w:b/>
        </w:rPr>
      </w:pPr>
      <w:r>
        <w:t>wymiana drzwi stanowiących wyjścia ewakuacyjne z</w:t>
      </w:r>
      <w:r w:rsidR="004F09B1">
        <w:t xml:space="preserve"> poziomu parteru w łączniku oraz</w:t>
      </w:r>
      <w:r>
        <w:t xml:space="preserve"> z  poziomu „-2” w segmencie A na otwierające się na zewnątrz obiektu;</w:t>
      </w:r>
    </w:p>
    <w:p w:rsidR="00FE01FB" w:rsidRPr="00856EA6" w:rsidRDefault="00FE01FB" w:rsidP="002F6478">
      <w:pPr>
        <w:pStyle w:val="Akapitzlist"/>
        <w:numPr>
          <w:ilvl w:val="0"/>
          <w:numId w:val="23"/>
        </w:numPr>
        <w:rPr>
          <w:b/>
        </w:rPr>
      </w:pPr>
      <w:r>
        <w:t>wymiana drzwi dwuskrzydłowych</w:t>
      </w:r>
      <w:r w:rsidR="00084A9E">
        <w:t xml:space="preserve"> na poziomych drogach ewakuacyjnych oraz                 w wyjściach ewakuacyjnych</w:t>
      </w:r>
      <w:r>
        <w:t xml:space="preserve"> na takie, które posiadają co najmniej jedno nieblokowane skrzydło o szerokości min. 0,9m;</w:t>
      </w:r>
    </w:p>
    <w:p w:rsidR="00856EA6" w:rsidRPr="004F09B1" w:rsidRDefault="00C21884" w:rsidP="002F6478">
      <w:pPr>
        <w:pStyle w:val="Akapitzlist"/>
        <w:numPr>
          <w:ilvl w:val="0"/>
          <w:numId w:val="23"/>
        </w:numPr>
        <w:rPr>
          <w:b/>
        </w:rPr>
      </w:pPr>
      <w:r>
        <w:t>usuniecie drewnianych szaf niespełniających kryterium trudno zapalności;</w:t>
      </w:r>
    </w:p>
    <w:p w:rsidR="004F09B1" w:rsidRPr="00C21884" w:rsidRDefault="004F09B1" w:rsidP="002F6478">
      <w:pPr>
        <w:pStyle w:val="Akapitzlist"/>
        <w:numPr>
          <w:ilvl w:val="0"/>
          <w:numId w:val="23"/>
        </w:numPr>
        <w:rPr>
          <w:b/>
        </w:rPr>
      </w:pPr>
      <w:r>
        <w:t xml:space="preserve">udokumentowanie trudno zapalności wykładziny z PCW stosowanej                                w pomieszczeniach; w przypadku niespełnienia tego kryterium wymiana </w:t>
      </w:r>
      <w:r w:rsidR="008210F2">
        <w:t xml:space="preserve">                        </w:t>
      </w:r>
      <w:r>
        <w:t>na wykładzinę trudno zapalną (z PCW, bądź inną);</w:t>
      </w:r>
    </w:p>
    <w:p w:rsidR="00C21884" w:rsidRPr="00C21884" w:rsidRDefault="00084A9E" w:rsidP="002F6478">
      <w:pPr>
        <w:pStyle w:val="Akapitzlist"/>
        <w:numPr>
          <w:ilvl w:val="0"/>
          <w:numId w:val="23"/>
        </w:numPr>
        <w:rPr>
          <w:b/>
        </w:rPr>
      </w:pPr>
      <w:r>
        <w:t xml:space="preserve">podzielenie korytarzy </w:t>
      </w:r>
      <w:r w:rsidR="00C21884">
        <w:t>na odcinki nie dłuższe niż 50 m przy użyciu przegród                   z drzwiami dymoszczelnymi;</w:t>
      </w:r>
    </w:p>
    <w:p w:rsidR="00373B8E" w:rsidRPr="00F6385B" w:rsidRDefault="00084A9E" w:rsidP="00373B8E">
      <w:pPr>
        <w:pStyle w:val="Akapitzlist"/>
        <w:numPr>
          <w:ilvl w:val="0"/>
          <w:numId w:val="23"/>
        </w:numPr>
        <w:rPr>
          <w:b/>
        </w:rPr>
      </w:pPr>
      <w:r>
        <w:t>usunięcie lokalnych przewężeń poziomych dróg ewakuacyjnych poniżej szerokości 1.4 m;</w:t>
      </w:r>
    </w:p>
    <w:p w:rsidR="00F6385B" w:rsidRPr="00F6385B" w:rsidRDefault="00F17B9A" w:rsidP="00084A9E">
      <w:pPr>
        <w:pStyle w:val="Akapitzlist"/>
        <w:numPr>
          <w:ilvl w:val="0"/>
          <w:numId w:val="23"/>
        </w:numPr>
        <w:rPr>
          <w:b/>
        </w:rPr>
      </w:pPr>
      <w:r>
        <w:t xml:space="preserve">przepusty instalacyjne w elementach oddzielenia przeciwpożarowego (w tym przypadku w stropach) powinny mieć </w:t>
      </w:r>
      <w:r w:rsidRPr="006C3974">
        <w:t>klasę</w:t>
      </w:r>
      <w:r>
        <w:t xml:space="preserve"> odporności ogniowej EI(EI 60) wymaganą dla tych elementów. </w:t>
      </w:r>
    </w:p>
    <w:p w:rsidR="00C21884" w:rsidRPr="009004A6" w:rsidRDefault="00F17B9A" w:rsidP="009004A6">
      <w:pPr>
        <w:pStyle w:val="Akapitzlist"/>
        <w:rPr>
          <w:b/>
        </w:rPr>
      </w:pPr>
      <w:r>
        <w:t>P</w:t>
      </w:r>
      <w:r w:rsidR="00186731">
        <w:t>rzepusty instalacyjne o średnicy wi</w:t>
      </w:r>
      <w:r w:rsidR="00084A9E">
        <w:t>ększej</w:t>
      </w:r>
      <w:r>
        <w:t xml:space="preserve"> niż 0,04 m w przegrodach niebędących elementam</w:t>
      </w:r>
      <w:r w:rsidR="00F6385B">
        <w:t>i oddzielenia przeciwpożarowego</w:t>
      </w:r>
      <w:r w:rsidR="009004A6">
        <w:t xml:space="preserve"> </w:t>
      </w:r>
      <w:r>
        <w:t>o</w:t>
      </w:r>
      <w:r w:rsidR="00186731">
        <w:t xml:space="preserve"> odporności ogniowej EI 60 (REI 60) i większej należy wykonać w klasie odporności ognio</w:t>
      </w:r>
      <w:r w:rsidR="00084A9E">
        <w:t xml:space="preserve">wej EI tych przegród. </w:t>
      </w:r>
      <w:r w:rsidR="00F6385B">
        <w:t>D</w:t>
      </w:r>
      <w:r w:rsidR="00084A9E">
        <w:t xml:space="preserve">opuszcza </w:t>
      </w:r>
      <w:r w:rsidR="00186731">
        <w:t xml:space="preserve">się nieinstalowanie powyższych przepustów dla pojedynczych rur instalacji wodnych, kanalizacyjnych, ogrzewczych, wprowadzanych przez ściany </w:t>
      </w:r>
      <w:r w:rsidR="00084A9E">
        <w:t xml:space="preserve">                  i stropy</w:t>
      </w:r>
      <w:r>
        <w:t xml:space="preserve"> </w:t>
      </w:r>
      <w:r w:rsidR="00186731">
        <w:t>do pomieszczeń higieniczno-sanitarnych;</w:t>
      </w:r>
    </w:p>
    <w:p w:rsidR="00186731" w:rsidRPr="00F17B9A" w:rsidRDefault="00F17B9A" w:rsidP="002F6478">
      <w:pPr>
        <w:pStyle w:val="Akapitzlist"/>
        <w:numPr>
          <w:ilvl w:val="0"/>
          <w:numId w:val="23"/>
        </w:numPr>
        <w:rPr>
          <w:b/>
        </w:rPr>
      </w:pPr>
      <w:r>
        <w:t>przewody wentylacyjne w miejscu przejścia przez elementy oddzielenia przeciwpożarowego, w tym wypadku są to stropy, należy wyposażyć                              w przeciwpożarowe klapy odcinające o klasie odporności ogniowej EIS 60. Klapy mogą być uruchamiane przez instalacje sygnalizacyjno-alarmową, bądź zastosowanie wyzwalacza termicznego.</w:t>
      </w:r>
    </w:p>
    <w:p w:rsidR="00F17B9A" w:rsidRDefault="00F17B9A" w:rsidP="00F17B9A"/>
    <w:p w:rsidR="00F17B9A" w:rsidRDefault="00F17B9A" w:rsidP="00542F19">
      <w:pPr>
        <w:pStyle w:val="Nagwek2"/>
      </w:pPr>
      <w:bookmarkStart w:id="27" w:name="_Toc287550000"/>
      <w:r>
        <w:t>3.4.2. W zakresie przepisów przeciwpożarowych</w:t>
      </w:r>
      <w:bookmarkEnd w:id="27"/>
    </w:p>
    <w:p w:rsidR="00F17B9A" w:rsidRDefault="00F17B9A" w:rsidP="00F17B9A">
      <w:pPr>
        <w:rPr>
          <w:b/>
        </w:rPr>
      </w:pPr>
    </w:p>
    <w:p w:rsidR="00F17B9A" w:rsidRPr="00F17B9A" w:rsidRDefault="00F17B9A" w:rsidP="002F6478">
      <w:pPr>
        <w:pStyle w:val="Akapitzlist"/>
        <w:numPr>
          <w:ilvl w:val="0"/>
          <w:numId w:val="24"/>
        </w:numPr>
        <w:rPr>
          <w:b/>
        </w:rPr>
      </w:pPr>
      <w:r>
        <w:t>opracowanie aktualnej instrukcji bezpieczeństwa pożarowego dla obiektu;</w:t>
      </w:r>
    </w:p>
    <w:p w:rsidR="00F17B9A" w:rsidRPr="003D30E4" w:rsidRDefault="003D30E4" w:rsidP="002F6478">
      <w:pPr>
        <w:pStyle w:val="Akapitzlist"/>
        <w:numPr>
          <w:ilvl w:val="0"/>
          <w:numId w:val="24"/>
        </w:numPr>
        <w:rPr>
          <w:b/>
        </w:rPr>
      </w:pPr>
      <w:r>
        <w:t>przeprowadzenie wymaganego przepisami przeciwpożarowymi praktycznego sprawdzenia organizacji i warunków ewakuacji;</w:t>
      </w:r>
    </w:p>
    <w:p w:rsidR="003D30E4" w:rsidRPr="003D30E4" w:rsidRDefault="003D30E4" w:rsidP="002F6478">
      <w:pPr>
        <w:pStyle w:val="Akapitzlist"/>
        <w:numPr>
          <w:ilvl w:val="0"/>
          <w:numId w:val="24"/>
        </w:numPr>
        <w:rPr>
          <w:b/>
        </w:rPr>
      </w:pPr>
      <w:r>
        <w:t>oznakowanie drogi pożarowej w sposób zgodny z PN.</w:t>
      </w:r>
    </w:p>
    <w:p w:rsidR="003D30E4" w:rsidRDefault="003D30E4" w:rsidP="003D30E4">
      <w:pPr>
        <w:rPr>
          <w:b/>
        </w:rPr>
      </w:pPr>
    </w:p>
    <w:p w:rsidR="003D30E4" w:rsidRDefault="003D30E4" w:rsidP="00542F19">
      <w:pPr>
        <w:pStyle w:val="Nagwek2"/>
      </w:pPr>
      <w:bookmarkStart w:id="28" w:name="_Toc287550001"/>
      <w:r>
        <w:t>3.5. Wskazanie niezgodności w zakresie przepisów techniczno-budowlanych oraz przeciwpożarowych, które nie zostaną doprowadzone w budynku do stanu zgodnego z przepisami</w:t>
      </w:r>
      <w:bookmarkEnd w:id="28"/>
    </w:p>
    <w:p w:rsidR="003D30E4" w:rsidRDefault="003D30E4" w:rsidP="003D30E4">
      <w:pPr>
        <w:rPr>
          <w:b/>
        </w:rPr>
      </w:pPr>
    </w:p>
    <w:p w:rsidR="003D30E4" w:rsidRDefault="003D30E4" w:rsidP="00542F19">
      <w:pPr>
        <w:pStyle w:val="Nagwek2"/>
      </w:pPr>
      <w:bookmarkStart w:id="29" w:name="_Toc287550002"/>
      <w:r>
        <w:t>3.5.1. W zakresie przepisów techniczno-budowlanych</w:t>
      </w:r>
      <w:bookmarkEnd w:id="29"/>
    </w:p>
    <w:p w:rsidR="003D30E4" w:rsidRDefault="003D30E4" w:rsidP="003D30E4">
      <w:pPr>
        <w:rPr>
          <w:b/>
        </w:rPr>
      </w:pPr>
    </w:p>
    <w:p w:rsidR="003D30E4" w:rsidRPr="003D30E4" w:rsidRDefault="003D30E4" w:rsidP="002F6478">
      <w:pPr>
        <w:pStyle w:val="Akapitzlist"/>
        <w:numPr>
          <w:ilvl w:val="0"/>
          <w:numId w:val="25"/>
        </w:numPr>
        <w:rPr>
          <w:b/>
        </w:rPr>
      </w:pPr>
      <w:r>
        <w:t>przekroczenie dopuszczalnej powierzchni strefy pożarowej dla kondygnacji „-1”.</w:t>
      </w:r>
    </w:p>
    <w:p w:rsidR="003D30E4" w:rsidRDefault="003D30E4" w:rsidP="003D30E4">
      <w:pPr>
        <w:pStyle w:val="Akapitzlist"/>
      </w:pPr>
      <w:r>
        <w:t>Powierzchnia kondygnacji wynosi ok. 2700 m</w:t>
      </w:r>
      <w:r>
        <w:rPr>
          <w:vertAlign w:val="superscript"/>
        </w:rPr>
        <w:t>2</w:t>
      </w:r>
      <w:r>
        <w:t>, zaś dopuszczalna powierzchnia strefy pożarowej, w tym przypadku dla kondygnacji podziemnej ZL III, wynosi 2500 m</w:t>
      </w:r>
      <w:r>
        <w:rPr>
          <w:vertAlign w:val="superscript"/>
        </w:rPr>
        <w:t>2</w:t>
      </w:r>
      <w:r>
        <w:t>.</w:t>
      </w:r>
    </w:p>
    <w:p w:rsidR="005D301A" w:rsidRDefault="00084A9E" w:rsidP="00F6385B">
      <w:pPr>
        <w:pStyle w:val="Akapitzlist"/>
        <w:numPr>
          <w:ilvl w:val="0"/>
          <w:numId w:val="43"/>
        </w:numPr>
      </w:pPr>
      <w:r>
        <w:t>niezabezpieczenie przed zadymieniem klatki schodowej K3</w:t>
      </w:r>
      <w:r w:rsidR="005D301A">
        <w:t xml:space="preserve">, która łączy jedynie kondygnacje 1 i 2. Położenie klatki w obiekcie nastręcza trudności związane                    z wykonaniem na niej grawitacyjnego systemu do usuwania dymu. W części analityczno - ocennej dowiedziono, że ewakuacja prowadzona czterema klatkami, bez wykorzystania klatki K3, </w:t>
      </w:r>
      <w:r w:rsidR="002E43DD">
        <w:t>pozwala na zachowanie wymaganego czasu bezpiecznej ewakuacji z dużym marginesem bezpieczeństwa.</w:t>
      </w:r>
    </w:p>
    <w:p w:rsidR="00F6385B" w:rsidRDefault="00F6385B" w:rsidP="00F6385B"/>
    <w:p w:rsidR="00F6385B" w:rsidRDefault="00F6385B" w:rsidP="00F6385B">
      <w:pPr>
        <w:ind w:left="360"/>
      </w:pPr>
    </w:p>
    <w:p w:rsidR="00F6385B" w:rsidRDefault="00F6385B" w:rsidP="00F6385B">
      <w:pPr>
        <w:pStyle w:val="Akapitzlist"/>
        <w:numPr>
          <w:ilvl w:val="0"/>
          <w:numId w:val="47"/>
        </w:numPr>
      </w:pPr>
      <w:r>
        <w:t>długość dojścia ewakuacyjnego z pomieszczenia</w:t>
      </w:r>
      <w:r w:rsidR="00E9367E">
        <w:t xml:space="preserve"> 0247B na poziomie „-2</w:t>
      </w:r>
      <w:r>
        <w:t>” wynosząca 25 m wobec 20 m wymaganych przepisami;</w:t>
      </w:r>
    </w:p>
    <w:p w:rsidR="009004A6" w:rsidRDefault="009004A6" w:rsidP="003D30E4">
      <w:pPr>
        <w:pStyle w:val="Akapitzlist"/>
      </w:pPr>
    </w:p>
    <w:p w:rsidR="003D30E4" w:rsidRDefault="003D30E4" w:rsidP="00542F19">
      <w:pPr>
        <w:pStyle w:val="Nagwek2"/>
      </w:pPr>
      <w:bookmarkStart w:id="30" w:name="_Toc287550003"/>
      <w:r>
        <w:t>3.5.2. W zakresie przepisów przeciwpożarowych</w:t>
      </w:r>
      <w:bookmarkEnd w:id="30"/>
    </w:p>
    <w:p w:rsidR="003D30E4" w:rsidRDefault="003D30E4" w:rsidP="003D30E4">
      <w:pPr>
        <w:rPr>
          <w:b/>
        </w:rPr>
      </w:pPr>
    </w:p>
    <w:p w:rsidR="00BB1CC3" w:rsidRPr="003D30E4" w:rsidRDefault="00BB1CC3" w:rsidP="002F6478">
      <w:pPr>
        <w:pStyle w:val="Akapitzlist"/>
        <w:numPr>
          <w:ilvl w:val="0"/>
          <w:numId w:val="26"/>
        </w:numPr>
        <w:rPr>
          <w:b/>
        </w:rPr>
      </w:pPr>
      <w:r>
        <w:t>instalacja hydrantów wewnętrznych 52 zamiast wymaganej przepisami przeciwpożarowymi instalacji hydrantów 25;</w:t>
      </w:r>
    </w:p>
    <w:p w:rsidR="003D30E4" w:rsidRDefault="003D30E4" w:rsidP="003D30E4">
      <w:pPr>
        <w:rPr>
          <w:b/>
        </w:rPr>
      </w:pPr>
    </w:p>
    <w:p w:rsidR="003D30E4" w:rsidRDefault="004E5F9D" w:rsidP="002F6478">
      <w:pPr>
        <w:pStyle w:val="Nagwek1"/>
        <w:numPr>
          <w:ilvl w:val="0"/>
          <w:numId w:val="27"/>
        </w:numPr>
        <w:ind w:left="357" w:hanging="357"/>
      </w:pPr>
      <w:bookmarkStart w:id="31" w:name="_Toc287550004"/>
      <w:r>
        <w:t>Przyjęte rozwiązania (ponadstandardowe) zastępcze                     oraz zamienne</w:t>
      </w:r>
      <w:bookmarkEnd w:id="31"/>
    </w:p>
    <w:p w:rsidR="004E5F9D" w:rsidRDefault="004E5F9D" w:rsidP="004E5F9D"/>
    <w:p w:rsidR="004E5F9D" w:rsidRDefault="00716091" w:rsidP="00542F19">
      <w:pPr>
        <w:pStyle w:val="Nagwek2"/>
      </w:pPr>
      <w:bookmarkStart w:id="32" w:name="_Toc287550005"/>
      <w:r>
        <w:t xml:space="preserve">4.1. Rozwiązania </w:t>
      </w:r>
      <w:r w:rsidR="00115DDF">
        <w:t>zastępcze</w:t>
      </w:r>
      <w:bookmarkEnd w:id="32"/>
    </w:p>
    <w:p w:rsidR="00115DDF" w:rsidRDefault="00115DDF" w:rsidP="004E5F9D">
      <w:pPr>
        <w:rPr>
          <w:b/>
        </w:rPr>
      </w:pPr>
    </w:p>
    <w:p w:rsidR="00115DDF" w:rsidRPr="002E43DD" w:rsidRDefault="00115DDF" w:rsidP="00115DDF">
      <w:pPr>
        <w:pStyle w:val="Akapitzlist"/>
        <w:numPr>
          <w:ilvl w:val="0"/>
          <w:numId w:val="36"/>
        </w:numPr>
        <w:rPr>
          <w:b/>
        </w:rPr>
      </w:pPr>
      <w:r>
        <w:t>dodatkowy podręczny sprzęt gaśniczy w postaci dwóch gaśnic GP-2 ABC rozmieszczonych na poziomie „-1” z uwagi na przekroczoną o 200 m</w:t>
      </w:r>
      <w:r>
        <w:rPr>
          <w:vertAlign w:val="superscript"/>
        </w:rPr>
        <w:t>2</w:t>
      </w:r>
      <w:r>
        <w:t xml:space="preserve"> dopuszczalna powierzchnię strefy pożarowej;</w:t>
      </w:r>
    </w:p>
    <w:p w:rsidR="002E43DD" w:rsidRPr="00373B8E" w:rsidRDefault="002E43DD" w:rsidP="00115DDF">
      <w:pPr>
        <w:pStyle w:val="Akapitzlist"/>
        <w:numPr>
          <w:ilvl w:val="0"/>
          <w:numId w:val="36"/>
        </w:numPr>
        <w:rPr>
          <w:b/>
        </w:rPr>
      </w:pPr>
      <w:r>
        <w:t>uznanie klatki K3 za drogę komunikacji ogólnej nie służącą celom ewakuacji. Zaznaczenie powyższego stwierdzenia w instrukcji bezpieczeństwa pożarowego oraz planie ewakuacji obiektu.</w:t>
      </w:r>
    </w:p>
    <w:p w:rsidR="00115DDF" w:rsidRDefault="00115DDF" w:rsidP="00115DDF">
      <w:pPr>
        <w:rPr>
          <w:b/>
        </w:rPr>
      </w:pPr>
    </w:p>
    <w:p w:rsidR="00115DDF" w:rsidRDefault="00115DDF" w:rsidP="00542F19">
      <w:pPr>
        <w:pStyle w:val="Nagwek2"/>
      </w:pPr>
      <w:bookmarkStart w:id="33" w:name="_Toc287550006"/>
      <w:r>
        <w:t>4.2. Rozwiązania zamienne</w:t>
      </w:r>
      <w:bookmarkEnd w:id="33"/>
    </w:p>
    <w:p w:rsidR="00115DDF" w:rsidRDefault="00115DDF" w:rsidP="00542F19">
      <w:pPr>
        <w:pStyle w:val="Nagwek2"/>
      </w:pPr>
    </w:p>
    <w:p w:rsidR="007A24ED" w:rsidRDefault="00115DDF" w:rsidP="007A24ED">
      <w:pPr>
        <w:pStyle w:val="Akapitzlist"/>
        <w:numPr>
          <w:ilvl w:val="0"/>
          <w:numId w:val="38"/>
        </w:numPr>
        <w:ind w:left="714" w:hanging="357"/>
      </w:pPr>
      <w:r>
        <w:t xml:space="preserve">System sygnalizacji pożaru Polon Alfa Ignis 1000. Na parterze w portierni znajdują się dwie centralki Ignis 1240 – podział na „starą” i „nową” część obiektu. Każda centralka obejmuje 24 strefy dozorowe. System sygnalizacji pożaru jest połączony z Państwową Strażą Pożarną. </w:t>
      </w:r>
    </w:p>
    <w:p w:rsidR="002E43DD" w:rsidRDefault="002E43DD" w:rsidP="002E43DD">
      <w:pPr>
        <w:pStyle w:val="Akapitzlist"/>
        <w:ind w:left="714"/>
      </w:pPr>
    </w:p>
    <w:p w:rsidR="00373B8E" w:rsidRDefault="00373B8E" w:rsidP="002E43DD">
      <w:pPr>
        <w:pStyle w:val="Akapitzlist"/>
        <w:ind w:left="714"/>
      </w:pPr>
    </w:p>
    <w:p w:rsidR="00373B8E" w:rsidRDefault="00373B8E" w:rsidP="002E43DD">
      <w:pPr>
        <w:pStyle w:val="Akapitzlist"/>
        <w:ind w:left="714"/>
      </w:pPr>
    </w:p>
    <w:p w:rsidR="00F6385B" w:rsidRDefault="00F6385B" w:rsidP="002E43DD">
      <w:pPr>
        <w:pStyle w:val="Akapitzlist"/>
        <w:ind w:left="714"/>
      </w:pPr>
    </w:p>
    <w:p w:rsidR="00F6385B" w:rsidRDefault="00F6385B" w:rsidP="002E43DD">
      <w:pPr>
        <w:pStyle w:val="Akapitzlist"/>
        <w:ind w:left="714"/>
      </w:pPr>
    </w:p>
    <w:p w:rsidR="002E43DD" w:rsidRDefault="002E43DD" w:rsidP="002E43DD">
      <w:pPr>
        <w:pStyle w:val="Akapitzlist"/>
        <w:ind w:left="714"/>
      </w:pPr>
    </w:p>
    <w:p w:rsidR="007A24ED" w:rsidRDefault="007A24ED" w:rsidP="002F6478">
      <w:pPr>
        <w:pStyle w:val="Nagwek1"/>
        <w:numPr>
          <w:ilvl w:val="0"/>
          <w:numId w:val="30"/>
        </w:numPr>
        <w:ind w:left="357" w:hanging="357"/>
      </w:pPr>
      <w:bookmarkStart w:id="34" w:name="_Toc287550007"/>
      <w:r>
        <w:t>Analiza i ocena wpływu rozwiązań zastępczych i zamiennych na poziom bezpieczeństwa pożarowego</w:t>
      </w:r>
      <w:bookmarkEnd w:id="34"/>
    </w:p>
    <w:p w:rsidR="007A24ED" w:rsidRDefault="007A24ED" w:rsidP="007A24ED"/>
    <w:p w:rsidR="007A24ED" w:rsidRPr="00570A93" w:rsidRDefault="007A24ED" w:rsidP="007A24ED">
      <w:r>
        <w:tab/>
      </w:r>
      <w:r w:rsidRPr="00570A93">
        <w:t>Analizując poziom bezpieczeństwa w r</w:t>
      </w:r>
      <w:r w:rsidR="00A95703">
        <w:t>ozpatrywanym budynku</w:t>
      </w:r>
      <w:r w:rsidRPr="00570A93">
        <w:t xml:space="preserve"> należy wziąć pod uwagę przede wszystkim:</w:t>
      </w:r>
    </w:p>
    <w:p w:rsidR="007A24ED" w:rsidRPr="00570A93" w:rsidRDefault="007A24ED" w:rsidP="002F6478">
      <w:pPr>
        <w:pStyle w:val="Akapitzlist"/>
        <w:numPr>
          <w:ilvl w:val="0"/>
          <w:numId w:val="31"/>
        </w:numPr>
      </w:pPr>
      <w:r>
        <w:t>warunki bezpiecznej ewakuacji,</w:t>
      </w:r>
    </w:p>
    <w:p w:rsidR="007A24ED" w:rsidRPr="00D37C89" w:rsidRDefault="007A24ED" w:rsidP="002F6478">
      <w:pPr>
        <w:pStyle w:val="Akapitzlist"/>
        <w:numPr>
          <w:ilvl w:val="0"/>
          <w:numId w:val="31"/>
        </w:numPr>
      </w:pPr>
      <w:r w:rsidRPr="00D37C89">
        <w:t>warunki prowadzenia akcji ratowniczo-gaśniczej, z uwzględnieniem bezpieczeństwa ratowników,</w:t>
      </w:r>
    </w:p>
    <w:p w:rsidR="007A24ED" w:rsidRDefault="007A24ED" w:rsidP="002F6478">
      <w:pPr>
        <w:pStyle w:val="Akapitzlist"/>
        <w:numPr>
          <w:ilvl w:val="0"/>
          <w:numId w:val="31"/>
        </w:numPr>
      </w:pPr>
      <w:r w:rsidRPr="00570A93">
        <w:t>bezpieczeństwo konstrukcji.</w:t>
      </w:r>
    </w:p>
    <w:p w:rsidR="007A24ED" w:rsidRDefault="007A24ED" w:rsidP="007A24ED"/>
    <w:p w:rsidR="007A24ED" w:rsidRDefault="007A24ED" w:rsidP="00542F19">
      <w:pPr>
        <w:pStyle w:val="Nagwek2"/>
      </w:pPr>
      <w:bookmarkStart w:id="35" w:name="_Toc287550008"/>
      <w:r>
        <w:t>5.1. Warunki bezpiecznej ewakuacji</w:t>
      </w:r>
      <w:bookmarkEnd w:id="35"/>
    </w:p>
    <w:p w:rsidR="007A24ED" w:rsidRDefault="007A24ED" w:rsidP="00542F19">
      <w:pPr>
        <w:pStyle w:val="Nagwek2"/>
      </w:pPr>
    </w:p>
    <w:p w:rsidR="007A24ED" w:rsidRPr="000F6452" w:rsidRDefault="007A24ED" w:rsidP="007A24ED">
      <w:r>
        <w:tab/>
      </w:r>
      <w:r w:rsidRPr="000F6452">
        <w:t>Priorytetem ochrony osób przed oddziaływaniem zjawisk pożarowych jest zapewnienie użytkownikom budynków bezpiecznych warunków ewakuacji. Oddziaływanie pożaru na ewakuowanych ludzi wiążę się przede wszystkim z:</w:t>
      </w:r>
    </w:p>
    <w:p w:rsidR="007A24ED" w:rsidRPr="000F6452" w:rsidRDefault="007A24ED" w:rsidP="002F6478">
      <w:pPr>
        <w:pStyle w:val="Akapitzlist"/>
        <w:numPr>
          <w:ilvl w:val="0"/>
          <w:numId w:val="32"/>
        </w:numPr>
      </w:pPr>
      <w:r w:rsidRPr="000F6452">
        <w:t>zadymieniem powodującym zmniejszenie zasięgu widzialności,</w:t>
      </w:r>
    </w:p>
    <w:p w:rsidR="007A24ED" w:rsidRPr="000F6452" w:rsidRDefault="007A24ED" w:rsidP="002F6478">
      <w:pPr>
        <w:pStyle w:val="Akapitzlist"/>
        <w:numPr>
          <w:ilvl w:val="0"/>
          <w:numId w:val="32"/>
        </w:numPr>
      </w:pPr>
      <w:r w:rsidRPr="000F6452">
        <w:t>wydzielaniem toksycznych produktów rozkładu termicznego, a co za tym idzie zmniejsza</w:t>
      </w:r>
      <w:r>
        <w:t>niem stężenia tlenu,</w:t>
      </w:r>
    </w:p>
    <w:p w:rsidR="007A24ED" w:rsidRPr="000F6452" w:rsidRDefault="007A24ED" w:rsidP="002F6478">
      <w:pPr>
        <w:pStyle w:val="Akapitzlist"/>
        <w:numPr>
          <w:ilvl w:val="0"/>
          <w:numId w:val="32"/>
        </w:numPr>
      </w:pPr>
      <w:r w:rsidRPr="000F6452">
        <w:t>oddziaływaniem wysokich temperatur.</w:t>
      </w:r>
    </w:p>
    <w:p w:rsidR="007A24ED" w:rsidRDefault="007A24ED" w:rsidP="007A24ED">
      <w:r>
        <w:tab/>
        <w:t>Jedną z metod szacowania bezpieczeństwa w czasie ewakuacji jest metoda obliczeniowa przedstawiona w brytyjskim standardzie BS PD-7974-6:2004. Zakłada ona porównanie ze sobą dwóch parametrów:</w:t>
      </w:r>
    </w:p>
    <w:p w:rsidR="007A24ED" w:rsidRPr="00677F68" w:rsidRDefault="007A24ED" w:rsidP="002F6478">
      <w:pPr>
        <w:pStyle w:val="Akapitzlist"/>
        <w:numPr>
          <w:ilvl w:val="0"/>
          <w:numId w:val="33"/>
        </w:numPr>
      </w:pPr>
      <w:r w:rsidRPr="00677F68">
        <w:t>dostępnego czasu bezpiecznej ewakuacji DCBE,</w:t>
      </w:r>
    </w:p>
    <w:p w:rsidR="007A24ED" w:rsidRPr="00677F68" w:rsidRDefault="007A24ED" w:rsidP="002F6478">
      <w:pPr>
        <w:pStyle w:val="Akapitzlist"/>
        <w:numPr>
          <w:ilvl w:val="0"/>
          <w:numId w:val="33"/>
        </w:numPr>
      </w:pPr>
      <w:r w:rsidRPr="00677F68">
        <w:t>wymaganego czasu bezpiecznej ewakuacji WCBE.</w:t>
      </w:r>
    </w:p>
    <w:p w:rsidR="007A24ED" w:rsidRDefault="007A24ED" w:rsidP="007A24ED">
      <w:r>
        <w:tab/>
        <w:t>Aby warunki ewakuacji mogły zostać uznane za bezpieczne, spełniony musi zostać warunek opisany wzorem:</w:t>
      </w:r>
    </w:p>
    <w:p w:rsidR="007A24ED" w:rsidRPr="007A24ED" w:rsidRDefault="007A24ED" w:rsidP="007A24ED">
      <w:pPr>
        <w:spacing w:after="120"/>
        <w:jc w:val="center"/>
        <w:rPr>
          <w:b/>
        </w:rPr>
      </w:pPr>
      <w:r w:rsidRPr="007A24ED">
        <w:rPr>
          <w:b/>
        </w:rPr>
        <w:t>DCBE – WCBE ≥ 0</w:t>
      </w:r>
    </w:p>
    <w:p w:rsidR="00716DF1" w:rsidRDefault="002A7E43" w:rsidP="00705C9F">
      <w:r>
        <w:tab/>
      </w:r>
      <w:r w:rsidR="007A24ED">
        <w:t>W przedmiotowym budynku najtrudniej będzie prowadzić ewakuacj</w:t>
      </w:r>
      <w:r>
        <w:t xml:space="preserve">ę z poziomu „+2”. Kondygnacja ta cechuje się największą liczbą pomieszczeń dydaktycznych, </w:t>
      </w:r>
      <w:r w:rsidR="00E136B5">
        <w:t xml:space="preserve">                          </w:t>
      </w:r>
      <w:r>
        <w:t>a w związku z tym użytkowników obiektu. Powyżej poziomu „+2” niektóre segmenty już nie przebiegają, a znaczna część pomieszczeń to pomieszczenia techniczne.</w:t>
      </w:r>
      <w:r w:rsidR="00E136B5">
        <w:t xml:space="preserve"> Przewidywana liczba użytkowników tej kondygnacji to około 400 osób (pracowników oraz studentów). Ewakuacja będzie się odbywała czterema klatkami schodowymi (bez klatki</w:t>
      </w:r>
      <w:r w:rsidR="002E43DD">
        <w:t xml:space="preserve"> K3</w:t>
      </w:r>
      <w:r w:rsidR="00E136B5">
        <w:t>, która łączy piętra 1 z 2).</w:t>
      </w:r>
    </w:p>
    <w:p w:rsidR="00716DF1" w:rsidRDefault="00716DF1" w:rsidP="00705C9F"/>
    <w:p w:rsidR="00705C9F" w:rsidRPr="000F6452" w:rsidRDefault="00705C9F" w:rsidP="00705C9F">
      <w:r>
        <w:t xml:space="preserve">Obliczenia WCBE na podstawie założeń wg </w:t>
      </w:r>
      <w:r w:rsidRPr="00EF6AB1">
        <w:t>BS PD-7974-6:2004</w:t>
      </w:r>
      <w:r>
        <w:t xml:space="preserve"> przedstawiono w </w:t>
      </w:r>
      <w:r w:rsidRPr="00EF6AB1">
        <w:rPr>
          <w:i/>
        </w:rPr>
        <w:t xml:space="preserve">tabeli </w:t>
      </w:r>
      <w:r>
        <w:rPr>
          <w:i/>
        </w:rPr>
        <w:t>2:</w:t>
      </w:r>
    </w:p>
    <w:p w:rsidR="003D0B56" w:rsidRDefault="003D0B56" w:rsidP="007A24ED"/>
    <w:p w:rsidR="00E136B5" w:rsidRPr="00705C9F" w:rsidRDefault="00E136B5" w:rsidP="00E136B5">
      <w:pPr>
        <w:pStyle w:val="Legenda"/>
        <w:keepNext/>
        <w:rPr>
          <w:color w:val="auto"/>
          <w:sz w:val="20"/>
          <w:szCs w:val="20"/>
        </w:rPr>
      </w:pPr>
      <w:r w:rsidRPr="00705C9F">
        <w:rPr>
          <w:color w:val="auto"/>
          <w:sz w:val="20"/>
          <w:szCs w:val="20"/>
        </w:rPr>
        <w:t xml:space="preserve">Tabela </w:t>
      </w:r>
      <w:r w:rsidR="00B77461" w:rsidRPr="00705C9F">
        <w:rPr>
          <w:color w:val="auto"/>
          <w:sz w:val="20"/>
          <w:szCs w:val="20"/>
        </w:rPr>
        <w:fldChar w:fldCharType="begin"/>
      </w:r>
      <w:r w:rsidRPr="00705C9F">
        <w:rPr>
          <w:color w:val="auto"/>
          <w:sz w:val="20"/>
          <w:szCs w:val="20"/>
        </w:rPr>
        <w:instrText xml:space="preserve"> SEQ Tabela \* ARABIC </w:instrText>
      </w:r>
      <w:r w:rsidR="00B77461" w:rsidRPr="00705C9F">
        <w:rPr>
          <w:color w:val="auto"/>
          <w:sz w:val="20"/>
          <w:szCs w:val="20"/>
        </w:rPr>
        <w:fldChar w:fldCharType="separate"/>
      </w:r>
      <w:r w:rsidRPr="00705C9F">
        <w:rPr>
          <w:noProof/>
          <w:color w:val="auto"/>
          <w:sz w:val="20"/>
          <w:szCs w:val="20"/>
        </w:rPr>
        <w:t>2</w:t>
      </w:r>
      <w:r w:rsidR="00B77461" w:rsidRPr="00705C9F">
        <w:rPr>
          <w:color w:val="auto"/>
          <w:sz w:val="20"/>
          <w:szCs w:val="20"/>
        </w:rPr>
        <w:fldChar w:fldCharType="end"/>
      </w:r>
      <w:r w:rsidR="00705C9F" w:rsidRPr="00705C9F">
        <w:rPr>
          <w:color w:val="auto"/>
          <w:sz w:val="20"/>
          <w:szCs w:val="20"/>
        </w:rPr>
        <w:t>. Obliczenia wymaganego czasu bezpiecznej ewakuacji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83"/>
        <w:gridCol w:w="612"/>
        <w:gridCol w:w="6300"/>
      </w:tblGrid>
      <w:tr w:rsidR="00E136B5" w:rsidRPr="00AD7D09" w:rsidTr="00E136B5">
        <w:trPr>
          <w:trHeight w:val="197"/>
        </w:trPr>
        <w:tc>
          <w:tcPr>
            <w:tcW w:w="91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E136B5" w:rsidRPr="00AD7D09" w:rsidRDefault="00E136B5" w:rsidP="00E136B5">
            <w:pPr>
              <w:spacing w:line="240" w:lineRule="auto"/>
            </w:pPr>
            <w:r w:rsidRPr="00AD7D09">
              <w:t>Projektowy scenariusz zachowań i rodzaj użytkowania:</w:t>
            </w:r>
          </w:p>
        </w:tc>
      </w:tr>
      <w:tr w:rsidR="00705C9F" w:rsidRPr="00AD7D09" w:rsidTr="00705C9F">
        <w:trPr>
          <w:trHeight w:val="203"/>
        </w:trPr>
        <w:tc>
          <w:tcPr>
            <w:tcW w:w="288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9F" w:rsidRPr="00AD7D09" w:rsidRDefault="00705C9F" w:rsidP="00E136B5">
            <w:pPr>
              <w:spacing w:line="240" w:lineRule="auto"/>
              <w:jc w:val="left"/>
            </w:pPr>
            <w:r w:rsidRPr="00AD7D09">
              <w:t>Kategoria</w:t>
            </w:r>
          </w:p>
        </w:tc>
        <w:tc>
          <w:tcPr>
            <w:tcW w:w="63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C9F" w:rsidRPr="00AD7D09" w:rsidRDefault="00705C9F" w:rsidP="00705C9F">
            <w:pPr>
              <w:spacing w:line="240" w:lineRule="auto"/>
              <w:jc w:val="center"/>
            </w:pPr>
            <w:r>
              <w:t>A</w:t>
            </w:r>
          </w:p>
        </w:tc>
      </w:tr>
      <w:tr w:rsidR="00705C9F" w:rsidRPr="00AD7D09" w:rsidTr="00705C9F">
        <w:trPr>
          <w:trHeight w:val="77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9F" w:rsidRPr="00AD7D09" w:rsidRDefault="00705C9F" w:rsidP="00E136B5">
            <w:pPr>
              <w:spacing w:line="240" w:lineRule="auto"/>
              <w:jc w:val="left"/>
            </w:pPr>
            <w:r w:rsidRPr="00AD7D09">
              <w:t>Gotowość użytkowników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C9F" w:rsidRPr="00AD7D09" w:rsidRDefault="00705C9F" w:rsidP="00705C9F">
            <w:pPr>
              <w:spacing w:line="240" w:lineRule="auto"/>
              <w:jc w:val="center"/>
            </w:pPr>
            <w:r>
              <w:t>Czuwający</w:t>
            </w:r>
          </w:p>
        </w:tc>
      </w:tr>
      <w:tr w:rsidR="00705C9F" w:rsidRPr="00AD7D09" w:rsidTr="00705C9F">
        <w:trPr>
          <w:trHeight w:val="176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9F" w:rsidRPr="00AD7D09" w:rsidRDefault="00705C9F" w:rsidP="00E136B5">
            <w:pPr>
              <w:spacing w:line="240" w:lineRule="auto"/>
              <w:jc w:val="left"/>
            </w:pPr>
            <w:r w:rsidRPr="00AD7D09">
              <w:t>Znajomość użytkowników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C9F" w:rsidRPr="00AD7D09" w:rsidRDefault="00705C9F" w:rsidP="00705C9F">
            <w:pPr>
              <w:spacing w:line="240" w:lineRule="auto"/>
              <w:jc w:val="center"/>
            </w:pPr>
            <w:r w:rsidRPr="00350CD8">
              <w:t>Zaznajomieni</w:t>
            </w:r>
          </w:p>
        </w:tc>
      </w:tr>
      <w:tr w:rsidR="00705C9F" w:rsidRPr="00AD7D09" w:rsidTr="00705C9F">
        <w:trPr>
          <w:trHeight w:val="268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9F" w:rsidRPr="00AD7D09" w:rsidRDefault="00705C9F" w:rsidP="00E136B5">
            <w:pPr>
              <w:spacing w:line="240" w:lineRule="auto"/>
              <w:jc w:val="left"/>
            </w:pPr>
            <w:r w:rsidRPr="00AD7D09">
              <w:t>Gęstość użytkowników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C9F" w:rsidRPr="00AD7D09" w:rsidRDefault="00705C9F" w:rsidP="00705C9F">
            <w:pPr>
              <w:spacing w:line="240" w:lineRule="auto"/>
              <w:jc w:val="center"/>
            </w:pPr>
            <w:r w:rsidRPr="00350CD8">
              <w:t>Niska</w:t>
            </w:r>
            <w:r w:rsidR="003E3C90">
              <w:t>/Średnia</w:t>
            </w:r>
          </w:p>
        </w:tc>
      </w:tr>
      <w:tr w:rsidR="00705C9F" w:rsidRPr="00AD7D09" w:rsidTr="00705C9F">
        <w:trPr>
          <w:trHeight w:val="165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05C9F" w:rsidRPr="00AD7D09" w:rsidRDefault="00705C9F" w:rsidP="00E136B5">
            <w:pPr>
              <w:spacing w:line="240" w:lineRule="auto"/>
              <w:jc w:val="left"/>
            </w:pPr>
            <w:r w:rsidRPr="00AD7D09">
              <w:t>Wydzielenia / złożoność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5C9F" w:rsidRPr="00AD7D09" w:rsidRDefault="003E3C90" w:rsidP="00705C9F">
            <w:pPr>
              <w:spacing w:line="240" w:lineRule="auto"/>
              <w:jc w:val="center"/>
            </w:pPr>
            <w:r>
              <w:t>Wiele</w:t>
            </w:r>
          </w:p>
        </w:tc>
      </w:tr>
      <w:tr w:rsidR="00E136B5" w:rsidRPr="00AD7D09" w:rsidTr="00E136B5">
        <w:trPr>
          <w:trHeight w:val="70"/>
        </w:trPr>
        <w:tc>
          <w:tcPr>
            <w:tcW w:w="91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E136B5" w:rsidRPr="00AD7D09" w:rsidRDefault="00E136B5" w:rsidP="00E136B5">
            <w:pPr>
              <w:spacing w:line="240" w:lineRule="auto"/>
            </w:pPr>
            <w:r w:rsidRPr="00AD7D09">
              <w:t>Efekt jakości systemu alarmowego na pierwsze-wstępne reakcje</w:t>
            </w:r>
          </w:p>
        </w:tc>
      </w:tr>
      <w:tr w:rsidR="00E136B5" w:rsidRPr="00AD7D09" w:rsidTr="00E136B5">
        <w:trPr>
          <w:trHeight w:val="390"/>
        </w:trPr>
        <w:tc>
          <w:tcPr>
            <w:tcW w:w="226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136B5" w:rsidRPr="00AD7D09" w:rsidRDefault="00E136B5" w:rsidP="00E136B5">
            <w:pPr>
              <w:spacing w:line="240" w:lineRule="auto"/>
              <w:jc w:val="left"/>
            </w:pPr>
            <w:r w:rsidRPr="00AD7D09">
              <w:t xml:space="preserve">Poziom systemu </w:t>
            </w:r>
          </w:p>
          <w:p w:rsidR="00E136B5" w:rsidRPr="00AD7D09" w:rsidRDefault="00E136B5" w:rsidP="00E136B5">
            <w:pPr>
              <w:spacing w:line="240" w:lineRule="auto"/>
              <w:jc w:val="left"/>
            </w:pPr>
            <w:r w:rsidRPr="00AD7D09">
              <w:t>alarmowego</w:t>
            </w:r>
          </w:p>
        </w:tc>
        <w:tc>
          <w:tcPr>
            <w:tcW w:w="6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136B5" w:rsidRDefault="00E136B5" w:rsidP="00E136B5">
            <w:pPr>
              <w:spacing w:line="240" w:lineRule="auto"/>
              <w:rPr>
                <w:iCs/>
              </w:rPr>
            </w:pPr>
            <w:r w:rsidRPr="00AD7D09">
              <w:rPr>
                <w:iCs/>
              </w:rPr>
              <w:t>A1: system sygnalizacji pożarowej obejmuje cały budynek, ogłoszony jest natychmiastowy alarm dla wszystkich użytkowników w zagrożonych pożarem przestrzeniach budynku</w:t>
            </w:r>
          </w:p>
          <w:p w:rsidR="00716DF1" w:rsidRPr="00AD7D09" w:rsidRDefault="00716DF1" w:rsidP="00E136B5">
            <w:pPr>
              <w:spacing w:line="240" w:lineRule="auto"/>
            </w:pPr>
          </w:p>
        </w:tc>
      </w:tr>
      <w:tr w:rsidR="00E136B5" w:rsidRPr="00AD7D09" w:rsidTr="00E136B5">
        <w:trPr>
          <w:trHeight w:val="70"/>
        </w:trPr>
        <w:tc>
          <w:tcPr>
            <w:tcW w:w="91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E136B5" w:rsidRPr="00AD7D09" w:rsidRDefault="00E136B5" w:rsidP="00E136B5">
            <w:pPr>
              <w:spacing w:line="240" w:lineRule="auto"/>
            </w:pPr>
            <w:r w:rsidRPr="00AD7D09">
              <w:t>Efekt złożoności budynku na czas ewakuacji</w:t>
            </w:r>
          </w:p>
        </w:tc>
      </w:tr>
      <w:tr w:rsidR="00E136B5" w:rsidRPr="00AD7D09" w:rsidTr="00E136B5">
        <w:trPr>
          <w:trHeight w:val="1122"/>
        </w:trPr>
        <w:tc>
          <w:tcPr>
            <w:tcW w:w="226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136B5" w:rsidRPr="00AD7D09" w:rsidRDefault="00E136B5" w:rsidP="00E136B5">
            <w:pPr>
              <w:spacing w:line="240" w:lineRule="auto"/>
              <w:jc w:val="left"/>
            </w:pPr>
            <w:r w:rsidRPr="00AD7D09">
              <w:t>Poziom budynku</w:t>
            </w:r>
          </w:p>
        </w:tc>
        <w:tc>
          <w:tcPr>
            <w:tcW w:w="6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136B5" w:rsidRPr="00AD7D09" w:rsidRDefault="00E136B5" w:rsidP="00E136B5">
            <w:pPr>
              <w:spacing w:line="240" w:lineRule="auto"/>
            </w:pPr>
            <w:r w:rsidRPr="00AD7D09">
              <w:rPr>
                <w:iCs/>
              </w:rPr>
              <w:t>B2:</w:t>
            </w:r>
            <w:r w:rsidRPr="00AD7D09">
              <w:t>budynek, z wi</w:t>
            </w:r>
            <w:r>
              <w:t xml:space="preserve">eloma przegrodami wewnętrznymi, </w:t>
            </w:r>
            <w:r w:rsidRPr="00AD7D09">
              <w:t>zazwyczaj wielokondygnacyjny, z większością cech projektowanych zgodnie z warunkami techniczno-budowlanymi i</w:t>
            </w:r>
            <w:r>
              <w:t xml:space="preserve"> </w:t>
            </w:r>
            <w:r w:rsidRPr="00AD7D09">
              <w:t>prostym wewnętrznym rozplanowaniem.</w:t>
            </w:r>
          </w:p>
        </w:tc>
      </w:tr>
      <w:tr w:rsidR="00E136B5" w:rsidRPr="00AD7D09" w:rsidTr="00E136B5">
        <w:trPr>
          <w:trHeight w:val="70"/>
        </w:trPr>
        <w:tc>
          <w:tcPr>
            <w:tcW w:w="91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E136B5" w:rsidRPr="00AD7D09" w:rsidRDefault="00E136B5" w:rsidP="00E136B5">
            <w:pPr>
              <w:spacing w:line="240" w:lineRule="auto"/>
            </w:pPr>
            <w:r w:rsidRPr="00AD7D09">
              <w:t>Klasyfikacja systemu zarządzania bezpieczeństwem pożarowym i wpływ na czas ewakuacji</w:t>
            </w:r>
          </w:p>
        </w:tc>
      </w:tr>
      <w:tr w:rsidR="00E136B5" w:rsidRPr="00AD7D09" w:rsidTr="00E136B5">
        <w:trPr>
          <w:trHeight w:val="852"/>
        </w:trPr>
        <w:tc>
          <w:tcPr>
            <w:tcW w:w="226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136B5" w:rsidRPr="00AD7D09" w:rsidRDefault="00E136B5" w:rsidP="00E136B5">
            <w:pPr>
              <w:spacing w:line="240" w:lineRule="auto"/>
              <w:jc w:val="left"/>
            </w:pPr>
            <w:r w:rsidRPr="00AD7D09">
              <w:t>Poziom zarządzania</w:t>
            </w:r>
          </w:p>
        </w:tc>
        <w:tc>
          <w:tcPr>
            <w:tcW w:w="6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136B5" w:rsidRPr="00AD7D09" w:rsidRDefault="00E136B5" w:rsidP="00E136B5">
            <w:pPr>
              <w:spacing w:line="240" w:lineRule="auto"/>
            </w:pPr>
            <w:r w:rsidRPr="00AD7D09">
              <w:rPr>
                <w:iCs/>
              </w:rPr>
              <w:t>M1</w:t>
            </w:r>
            <w:r w:rsidRPr="00AD7D09">
              <w:t>: personel wyszkolony w zakresie ochrony przeciwpożarowej; dozór pracowników na każdej kondygnacji; warunki ochrony przeciwpożarowej zweryfikowane poprzez niezależny audyt; coroczne ćwiczenia w ramach praktycznego sprawdzenia warunków ewakuacji we współpracy z jednostkami organizacyjnymi PSP; brak DSO.</w:t>
            </w:r>
          </w:p>
        </w:tc>
      </w:tr>
      <w:tr w:rsidR="00E136B5" w:rsidRPr="00AD7D09" w:rsidTr="00E136B5">
        <w:trPr>
          <w:trHeight w:val="70"/>
        </w:trPr>
        <w:tc>
          <w:tcPr>
            <w:tcW w:w="91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E136B5" w:rsidRPr="00AD7D09" w:rsidRDefault="00E136B5" w:rsidP="00E136B5">
            <w:pPr>
              <w:spacing w:line="240" w:lineRule="auto"/>
            </w:pPr>
            <w:r w:rsidRPr="00AD7D09">
              <w:t>Obliczenie WCBE</w:t>
            </w:r>
          </w:p>
        </w:tc>
      </w:tr>
      <w:tr w:rsidR="00E136B5" w:rsidRPr="00AD7D09" w:rsidTr="00E136B5">
        <w:trPr>
          <w:trHeight w:val="252"/>
        </w:trPr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5" w:rsidRPr="00AD7D09" w:rsidRDefault="00E136B5" w:rsidP="00E136B5">
            <w:pPr>
              <w:spacing w:line="240" w:lineRule="auto"/>
              <w:jc w:val="left"/>
            </w:pPr>
            <w:r w:rsidRPr="00AD7D09">
              <w:t>Obliczenie czasu detekcji pożaru</w:t>
            </w:r>
          </w:p>
        </w:tc>
        <w:tc>
          <w:tcPr>
            <w:tcW w:w="719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5" w:rsidRPr="00AD7D09" w:rsidRDefault="00E136B5" w:rsidP="00E136B5">
            <w:pPr>
              <w:spacing w:line="240" w:lineRule="auto"/>
            </w:pPr>
            <w:r w:rsidRPr="00AD7D09">
              <w:t>Dane producentów i normowe:</w:t>
            </w:r>
          </w:p>
          <w:p w:rsidR="00E136B5" w:rsidRPr="00AD7D09" w:rsidRDefault="00E136B5" w:rsidP="00E136B5">
            <w:pPr>
              <w:spacing w:line="240" w:lineRule="auto"/>
            </w:pPr>
            <w:r w:rsidRPr="00AD7D09">
              <w:t>t</w:t>
            </w:r>
            <w:r w:rsidRPr="00AD7D09">
              <w:rPr>
                <w:vertAlign w:val="subscript"/>
              </w:rPr>
              <w:t>d</w:t>
            </w:r>
            <w:r w:rsidRPr="00AD7D09">
              <w:t xml:space="preserve"> – czas detekcji pożaru: </w:t>
            </w:r>
            <w:r w:rsidRPr="00350CD8">
              <w:rPr>
                <w:b/>
              </w:rPr>
              <w:t>90s</w:t>
            </w:r>
          </w:p>
        </w:tc>
      </w:tr>
      <w:tr w:rsidR="00E136B5" w:rsidRPr="00AD7D09" w:rsidTr="00E136B5">
        <w:trPr>
          <w:trHeight w:val="52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5" w:rsidRPr="00AD7D09" w:rsidRDefault="00E136B5" w:rsidP="00E136B5">
            <w:pPr>
              <w:spacing w:line="240" w:lineRule="auto"/>
              <w:jc w:val="left"/>
            </w:pPr>
            <w:r w:rsidRPr="00AD7D09">
              <w:t>Obliczenie czasu alarmowania</w:t>
            </w:r>
          </w:p>
        </w:tc>
        <w:tc>
          <w:tcPr>
            <w:tcW w:w="7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5" w:rsidRPr="00AD7D09" w:rsidRDefault="00E136B5" w:rsidP="00E136B5">
            <w:pPr>
              <w:spacing w:line="240" w:lineRule="auto"/>
            </w:pPr>
            <w:r w:rsidRPr="00AD7D09">
              <w:t>SSP ogłasza alarm natychmiast po wykryciu pożaru:</w:t>
            </w:r>
          </w:p>
          <w:p w:rsidR="00E136B5" w:rsidRPr="00AD7D09" w:rsidRDefault="00E136B5" w:rsidP="00E136B5">
            <w:pPr>
              <w:spacing w:line="240" w:lineRule="auto"/>
            </w:pPr>
            <w:r w:rsidRPr="00AD7D09">
              <w:t>t</w:t>
            </w:r>
            <w:r w:rsidRPr="00AD7D09">
              <w:rPr>
                <w:vertAlign w:val="subscript"/>
              </w:rPr>
              <w:t>a</w:t>
            </w:r>
            <w:r w:rsidRPr="00AD7D09">
              <w:t xml:space="preserve"> – czas alarmowania: </w:t>
            </w:r>
            <w:r w:rsidRPr="00350CD8">
              <w:rPr>
                <w:b/>
              </w:rPr>
              <w:t>0s</w:t>
            </w:r>
          </w:p>
        </w:tc>
      </w:tr>
      <w:tr w:rsidR="00E136B5" w:rsidRPr="00AD7D09" w:rsidTr="00E136B5">
        <w:trPr>
          <w:trHeight w:val="53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5" w:rsidRPr="00AD7D09" w:rsidRDefault="00E136B5" w:rsidP="00E136B5">
            <w:pPr>
              <w:spacing w:line="240" w:lineRule="auto"/>
              <w:jc w:val="left"/>
            </w:pPr>
            <w:r w:rsidRPr="00AD7D09">
              <w:t xml:space="preserve">Obliczenie czasu </w:t>
            </w:r>
            <w:r>
              <w:t>rozpoznania</w:t>
            </w:r>
          </w:p>
        </w:tc>
        <w:tc>
          <w:tcPr>
            <w:tcW w:w="7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5" w:rsidRPr="00AD7D09" w:rsidRDefault="00E136B5" w:rsidP="00E136B5">
            <w:pPr>
              <w:spacing w:line="240" w:lineRule="auto"/>
            </w:pPr>
            <w:r>
              <w:t>Czas, po którym sytuacja zostanie rozpozn</w:t>
            </w:r>
            <w:r w:rsidR="003E3C90">
              <w:t>ana przez pracownika</w:t>
            </w:r>
            <w:r>
              <w:t>:</w:t>
            </w:r>
          </w:p>
          <w:p w:rsidR="00E136B5" w:rsidRPr="00081D89" w:rsidRDefault="00E136B5" w:rsidP="00E136B5">
            <w:pPr>
              <w:spacing w:line="240" w:lineRule="auto"/>
            </w:pPr>
            <w:r w:rsidRPr="00AD7D09">
              <w:t>t</w:t>
            </w:r>
            <w:r w:rsidRPr="00AD7D09">
              <w:rPr>
                <w:vertAlign w:val="subscript"/>
              </w:rPr>
              <w:t>rozp</w:t>
            </w:r>
            <w:r w:rsidRPr="00AD7D09">
              <w:t xml:space="preserve"> </w:t>
            </w:r>
            <w:r w:rsidRPr="00081D89">
              <w:t xml:space="preserve">– </w:t>
            </w:r>
            <w:r w:rsidRPr="00AD7D09">
              <w:t>czas rozpoznania</w:t>
            </w:r>
            <w:r>
              <w:t>:</w:t>
            </w:r>
            <w:r w:rsidRPr="00AD7D09">
              <w:t xml:space="preserve"> </w:t>
            </w:r>
            <w:r w:rsidR="003D0B56">
              <w:rPr>
                <w:b/>
              </w:rPr>
              <w:t>240</w:t>
            </w:r>
            <w:r w:rsidRPr="00350CD8">
              <w:rPr>
                <w:b/>
              </w:rPr>
              <w:t>s</w:t>
            </w:r>
          </w:p>
        </w:tc>
      </w:tr>
      <w:tr w:rsidR="00E136B5" w:rsidRPr="00AD7D09" w:rsidTr="00E136B5">
        <w:trPr>
          <w:trHeight w:val="31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6B5" w:rsidRPr="00AD7D09" w:rsidRDefault="00E136B5" w:rsidP="00E136B5">
            <w:pPr>
              <w:spacing w:line="240" w:lineRule="auto"/>
              <w:jc w:val="left"/>
            </w:pPr>
            <w:r w:rsidRPr="00AD7D09">
              <w:t>Obliczenie</w:t>
            </w:r>
            <w:r>
              <w:t xml:space="preserve"> czasu reakcji i</w:t>
            </w:r>
            <w:r w:rsidRPr="00AD7D09">
              <w:t xml:space="preserve"> czasu przejścia</w:t>
            </w:r>
          </w:p>
        </w:tc>
        <w:tc>
          <w:tcPr>
            <w:tcW w:w="7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5" w:rsidRDefault="00E136B5" w:rsidP="00E136B5">
            <w:pPr>
              <w:spacing w:line="240" w:lineRule="auto"/>
            </w:pPr>
            <w:r>
              <w:t xml:space="preserve">Czas, po którym wszystkie osoby w budynku rozpoczną ewakuację to </w:t>
            </w:r>
            <w:r w:rsidRPr="007249FC">
              <w:t>czas reakcji</w:t>
            </w:r>
            <w:r>
              <w:t xml:space="preserve"> </w:t>
            </w:r>
            <w:r w:rsidRPr="007249FC">
              <w:t>–</w:t>
            </w:r>
            <w:r>
              <w:t xml:space="preserve"> t</w:t>
            </w:r>
            <w:r w:rsidRPr="00081D89">
              <w:rPr>
                <w:vertAlign w:val="subscript"/>
              </w:rPr>
              <w:t>reak</w:t>
            </w:r>
          </w:p>
          <w:p w:rsidR="00E136B5" w:rsidRDefault="00E136B5" w:rsidP="00E136B5">
            <w:pPr>
              <w:spacing w:line="240" w:lineRule="auto"/>
            </w:pPr>
            <w:r w:rsidRPr="00A32D5C">
              <w:t>Prędkość na drodze poziomej – 1,2 m/s</w:t>
            </w:r>
            <w:r>
              <w:t>.</w:t>
            </w:r>
          </w:p>
          <w:p w:rsidR="00E136B5" w:rsidRDefault="00E136B5" w:rsidP="00E136B5">
            <w:pPr>
              <w:spacing w:line="240" w:lineRule="auto"/>
            </w:pPr>
            <w:r>
              <w:t>Prędkość na drodze pionowej – 0,8m/s.</w:t>
            </w:r>
          </w:p>
          <w:p w:rsidR="00E136B5" w:rsidRDefault="00E136B5" w:rsidP="00E136B5">
            <w:pPr>
              <w:spacing w:line="240" w:lineRule="auto"/>
            </w:pPr>
            <w:r w:rsidRPr="002D60BA">
              <w:t>Przepustowość przez wszystkie drzwi ewakuacyjne</w:t>
            </w:r>
            <w:r>
              <w:t xml:space="preserve"> –</w:t>
            </w:r>
            <w:r w:rsidRPr="002D60BA">
              <w:t xml:space="preserve"> </w:t>
            </w:r>
            <w:r>
              <w:t>1,33 os.</w:t>
            </w:r>
            <w:r w:rsidRPr="002D60BA">
              <w:t>/m/s</w:t>
            </w:r>
            <w:r>
              <w:rPr>
                <w:rStyle w:val="Odwoanieprzypisudolnego"/>
              </w:rPr>
              <w:footnoteReference w:id="2"/>
            </w:r>
            <w:r>
              <w:t>.</w:t>
            </w:r>
          </w:p>
          <w:p w:rsidR="00E136B5" w:rsidRPr="00AD7D09" w:rsidRDefault="00E136B5" w:rsidP="00E136B5">
            <w:pPr>
              <w:spacing w:line="240" w:lineRule="auto"/>
            </w:pPr>
            <w:r>
              <w:t>Poszukiwany czas przejścia z</w:t>
            </w:r>
            <w:r w:rsidRPr="00E57DE6">
              <w:t xml:space="preserve"> najdalszego miejsca, w którym może przebywać</w:t>
            </w:r>
            <w:r>
              <w:t xml:space="preserve"> człowiek do wyjścia na zewnątrz budynku oraz czas kolejkowania na przewężeniu drogi ewakuacyjnej, ich suma składa się na czas przemieszczania – </w:t>
            </w:r>
            <w:r w:rsidRPr="00AD7D09">
              <w:t>t</w:t>
            </w:r>
            <w:r w:rsidRPr="00081D89">
              <w:rPr>
                <w:vertAlign w:val="subscript"/>
              </w:rPr>
              <w:t>p</w:t>
            </w:r>
            <w:r>
              <w:rPr>
                <w:vertAlign w:val="subscript"/>
              </w:rPr>
              <w:t xml:space="preserve"> </w:t>
            </w:r>
          </w:p>
        </w:tc>
      </w:tr>
      <w:tr w:rsidR="003E3C90" w:rsidRPr="00AD7D09" w:rsidTr="003D0B56">
        <w:trPr>
          <w:trHeight w:val="352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C90" w:rsidRPr="00AD7D09" w:rsidRDefault="003E3C90" w:rsidP="00E136B5">
            <w:pPr>
              <w:spacing w:line="240" w:lineRule="auto"/>
              <w:jc w:val="left"/>
            </w:pPr>
          </w:p>
        </w:tc>
        <w:tc>
          <w:tcPr>
            <w:tcW w:w="71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C90" w:rsidRDefault="003E3C90" w:rsidP="00E136B5">
            <w:pPr>
              <w:spacing w:line="240" w:lineRule="auto"/>
            </w:pPr>
            <w:r>
              <w:t>Czas reakcji:</w:t>
            </w:r>
          </w:p>
          <w:p w:rsidR="003E3C90" w:rsidRDefault="003E3C90" w:rsidP="00E136B5">
            <w:pPr>
              <w:spacing w:line="240" w:lineRule="auto"/>
            </w:pPr>
            <w:r>
              <w:t>t</w:t>
            </w:r>
            <w:r w:rsidRPr="00081D89">
              <w:rPr>
                <w:vertAlign w:val="subscript"/>
              </w:rPr>
              <w:t>reak</w:t>
            </w:r>
            <w:r>
              <w:t xml:space="preserve"> – </w:t>
            </w:r>
            <w:r w:rsidRPr="00350CD8">
              <w:rPr>
                <w:b/>
              </w:rPr>
              <w:t>90s</w:t>
            </w:r>
          </w:p>
          <w:p w:rsidR="003E3C90" w:rsidRDefault="003E3C90" w:rsidP="00E136B5">
            <w:pPr>
              <w:spacing w:line="240" w:lineRule="auto"/>
            </w:pPr>
            <w:r>
              <w:t>Czas przejścia:</w:t>
            </w:r>
          </w:p>
          <w:p w:rsidR="003E3C90" w:rsidRDefault="003D0B56" w:rsidP="00E136B5">
            <w:pPr>
              <w:spacing w:line="240" w:lineRule="auto"/>
            </w:pPr>
            <w:r>
              <w:t>drogi poziome:</w:t>
            </w:r>
          </w:p>
          <w:p w:rsidR="003E3C90" w:rsidRPr="00350CD8" w:rsidRDefault="003E3C90" w:rsidP="00E136B5">
            <w:pPr>
              <w:spacing w:line="240" w:lineRule="auto"/>
            </w:pPr>
            <w:r>
              <w:t>25m÷1,2m/s = 21</w:t>
            </w:r>
            <w:r w:rsidRPr="00350CD8">
              <w:t>s</w:t>
            </w:r>
          </w:p>
          <w:p w:rsidR="003E3C90" w:rsidRPr="00350CD8" w:rsidRDefault="007F0036" w:rsidP="00E136B5">
            <w:pPr>
              <w:spacing w:line="240" w:lineRule="auto"/>
            </w:pPr>
            <w:r>
              <w:t>drogi pionowe, uwzględniono klatkę K4, która posiada wyjście ewakuacyjne na poziomie „-1”(najbardziej niekorzystny scenariusz):</w:t>
            </w:r>
          </w:p>
          <w:p w:rsidR="003E3C90" w:rsidRPr="00350CD8" w:rsidRDefault="007F0036" w:rsidP="00E136B5">
            <w:pPr>
              <w:spacing w:line="240" w:lineRule="auto"/>
            </w:pPr>
            <w:r>
              <w:t>27m÷0,8m/s = 34</w:t>
            </w:r>
            <w:r w:rsidR="003E3C90" w:rsidRPr="00350CD8">
              <w:t>s</w:t>
            </w:r>
          </w:p>
          <w:p w:rsidR="003E3C90" w:rsidRPr="00350CD8" w:rsidRDefault="003E3C90" w:rsidP="00E136B5">
            <w:pPr>
              <w:spacing w:line="240" w:lineRule="auto"/>
            </w:pPr>
            <w:r w:rsidRPr="00350CD8">
              <w:t>Czas kolejkowania:</w:t>
            </w:r>
          </w:p>
          <w:p w:rsidR="003E3C90" w:rsidRPr="00350CD8" w:rsidRDefault="007F0036" w:rsidP="00E136B5">
            <w:pPr>
              <w:spacing w:line="240" w:lineRule="auto"/>
            </w:pPr>
            <w:r>
              <w:t>drzwi na drodze ewakuacyjnej o szerokości 0,9 m:</w:t>
            </w:r>
          </w:p>
          <w:p w:rsidR="003E3C90" w:rsidRPr="00350CD8" w:rsidRDefault="003E3C90" w:rsidP="00E136B5">
            <w:pPr>
              <w:spacing w:line="240" w:lineRule="auto"/>
            </w:pPr>
            <w:r w:rsidRPr="00350CD8">
              <w:t>0,9m×1,33os./m/s = 1,2os./s</w:t>
            </w:r>
          </w:p>
          <w:p w:rsidR="003E3C90" w:rsidRPr="00350CD8" w:rsidRDefault="007F0036" w:rsidP="00E136B5">
            <w:pPr>
              <w:spacing w:line="240" w:lineRule="auto"/>
            </w:pPr>
            <w:r>
              <w:t>100os.÷1,2os./s = 84</w:t>
            </w:r>
            <w:r w:rsidR="003E3C90" w:rsidRPr="00350CD8">
              <w:t>s</w:t>
            </w:r>
          </w:p>
          <w:p w:rsidR="003D0B56" w:rsidRDefault="003E3C90" w:rsidP="00E136B5">
            <w:pPr>
              <w:spacing w:line="240" w:lineRule="auto"/>
            </w:pPr>
            <w:r w:rsidRPr="00AD7D09">
              <w:t>t</w:t>
            </w:r>
            <w:r w:rsidRPr="00081D89">
              <w:rPr>
                <w:vertAlign w:val="subscript"/>
              </w:rPr>
              <w:t>p</w:t>
            </w:r>
            <w:r>
              <w:t xml:space="preserve"> – </w:t>
            </w:r>
            <w:r w:rsidRPr="00127BBD">
              <w:rPr>
                <w:b/>
              </w:rPr>
              <w:t>1</w:t>
            </w:r>
            <w:r w:rsidR="007F0036">
              <w:rPr>
                <w:b/>
              </w:rPr>
              <w:t>39</w:t>
            </w:r>
            <w:r w:rsidRPr="00127BBD">
              <w:rPr>
                <w:b/>
              </w:rPr>
              <w:t>s</w:t>
            </w:r>
          </w:p>
          <w:p w:rsidR="003E3C90" w:rsidRPr="003D0B56" w:rsidRDefault="001807DC" w:rsidP="001807DC">
            <w:pPr>
              <w:spacing w:line="240" w:lineRule="auto"/>
            </w:pPr>
            <w:r>
              <w:t>zał. równomierny podział strumienia ludzi na 4 grupy; każda                    do jednej klatki schodowej (400osób/4=100osób)</w:t>
            </w:r>
          </w:p>
        </w:tc>
      </w:tr>
      <w:tr w:rsidR="00E136B5" w:rsidRPr="00AD7D09" w:rsidTr="00E136B5">
        <w:trPr>
          <w:trHeight w:val="359"/>
        </w:trPr>
        <w:tc>
          <w:tcPr>
            <w:tcW w:w="91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E136B5" w:rsidRPr="00AD7D09" w:rsidRDefault="00E136B5" w:rsidP="00E136B5">
            <w:pPr>
              <w:spacing w:line="240" w:lineRule="auto"/>
              <w:jc w:val="left"/>
            </w:pPr>
            <w:r>
              <w:t>WCBE=t</w:t>
            </w:r>
            <w:r w:rsidRPr="00081D89">
              <w:rPr>
                <w:vertAlign w:val="subscript"/>
              </w:rPr>
              <w:t>d</w:t>
            </w:r>
            <w:r>
              <w:t>+t</w:t>
            </w:r>
            <w:r w:rsidRPr="00081D89">
              <w:rPr>
                <w:vertAlign w:val="subscript"/>
              </w:rPr>
              <w:t>a</w:t>
            </w:r>
            <w:r>
              <w:t>+t</w:t>
            </w:r>
            <w:r w:rsidRPr="00081D89">
              <w:rPr>
                <w:vertAlign w:val="subscript"/>
              </w:rPr>
              <w:t>rozp</w:t>
            </w:r>
            <w:r>
              <w:t>+t</w:t>
            </w:r>
            <w:r w:rsidRPr="00081D89">
              <w:rPr>
                <w:vertAlign w:val="subscript"/>
              </w:rPr>
              <w:t>reak</w:t>
            </w:r>
            <w:r w:rsidRPr="00AD7D09">
              <w:t>+t</w:t>
            </w:r>
            <w:r w:rsidRPr="00081D89">
              <w:rPr>
                <w:vertAlign w:val="subscript"/>
              </w:rPr>
              <w:t>p</w:t>
            </w:r>
            <w:r w:rsidRPr="00AD7D09">
              <w:t xml:space="preserve"> = </w:t>
            </w:r>
            <w:r w:rsidR="003D0B56">
              <w:rPr>
                <w:b/>
              </w:rPr>
              <w:t>559</w:t>
            </w:r>
            <w:r w:rsidRPr="00AD7D09">
              <w:rPr>
                <w:b/>
              </w:rPr>
              <w:t>s</w:t>
            </w:r>
            <w:r w:rsidR="003D0B56">
              <w:rPr>
                <w:b/>
              </w:rPr>
              <w:t xml:space="preserve"> ≈9,4</w:t>
            </w:r>
            <w:r>
              <w:rPr>
                <w:b/>
              </w:rPr>
              <w:t>min</w:t>
            </w:r>
          </w:p>
        </w:tc>
      </w:tr>
    </w:tbl>
    <w:p w:rsidR="00E136B5" w:rsidRDefault="00E136B5" w:rsidP="007A24ED"/>
    <w:p w:rsidR="003D0B56" w:rsidRPr="000F6452" w:rsidRDefault="003D0B56" w:rsidP="003D0B56">
      <w:pPr>
        <w:spacing w:before="120"/>
      </w:pPr>
      <w:r w:rsidRPr="000F6452">
        <w:t xml:space="preserve">Określając dostępny czas bezpiecznej ewakuacji (DCBE) należy wziąć pod uwagę </w:t>
      </w:r>
      <w:r w:rsidRPr="000F6452">
        <w:rPr>
          <w:rFonts w:cs="DejaVu Serif Condensed"/>
        </w:rPr>
        <w:t>zadymienie, wzrost temperatury oraz utratę parametrów odporności ogniowej przez elementy budowlane</w:t>
      </w:r>
      <w:r w:rsidRPr="000F6452">
        <w:t>, a przede wszystkim:</w:t>
      </w:r>
    </w:p>
    <w:p w:rsidR="003D0B56" w:rsidRPr="000F6452" w:rsidRDefault="003D0B56" w:rsidP="002F6478">
      <w:pPr>
        <w:pStyle w:val="Akapitzlist"/>
        <w:numPr>
          <w:ilvl w:val="0"/>
          <w:numId w:val="34"/>
        </w:numPr>
      </w:pPr>
      <w:r w:rsidRPr="000F6452">
        <w:t>klasę odporności ogniowej stropów oraz obudów ewakuacyjnej klatki schodowej</w:t>
      </w:r>
      <w:r>
        <w:t xml:space="preserve">   co najmniej REI 60,</w:t>
      </w:r>
    </w:p>
    <w:p w:rsidR="003D0B56" w:rsidRPr="000F6452" w:rsidRDefault="003D0B56" w:rsidP="002F6478">
      <w:pPr>
        <w:pStyle w:val="Akapitzlist"/>
        <w:numPr>
          <w:ilvl w:val="0"/>
          <w:numId w:val="34"/>
        </w:numPr>
      </w:pPr>
      <w:r w:rsidRPr="000F6452">
        <w:t xml:space="preserve">zamknięć otworów w tych elementach co najmniej EI </w:t>
      </w:r>
      <w:r>
        <w:t>3</w:t>
      </w:r>
      <w:r w:rsidRPr="000F6452">
        <w:t>0</w:t>
      </w:r>
      <w:r>
        <w:t>.</w:t>
      </w:r>
    </w:p>
    <w:p w:rsidR="003D0B56" w:rsidRDefault="003D0B56" w:rsidP="003D0B56">
      <w:r w:rsidRPr="000F6452">
        <w:t xml:space="preserve">Jako kryterium krytyczne określające DCBE przyjmuje się parametr zagrożenia, którego wystąpienie następuje w najkrótszym czasie. W analizowanym przypadku </w:t>
      </w:r>
      <w:r w:rsidRPr="0069169A">
        <w:t xml:space="preserve">o dostępnym czasie bezpiecznej ewakuacji będzie decydowała odporność ogniowa </w:t>
      </w:r>
      <w:r>
        <w:t>drzwi</w:t>
      </w:r>
      <w:r w:rsidRPr="0069169A">
        <w:t xml:space="preserve"> na klat</w:t>
      </w:r>
      <w:r>
        <w:t>ce schodowej</w:t>
      </w:r>
      <w:r w:rsidRPr="0069169A">
        <w:t>. Wy</w:t>
      </w:r>
      <w:r>
        <w:t>nosi ona EI 30, stąd DCBE = 30</w:t>
      </w:r>
      <w:r w:rsidRPr="0069169A">
        <w:t xml:space="preserve"> minut</w:t>
      </w:r>
      <w:r>
        <w:t>.</w:t>
      </w:r>
    </w:p>
    <w:p w:rsidR="003D0B56" w:rsidRDefault="003D0B56" w:rsidP="003D0B56">
      <w:r>
        <w:tab/>
        <w:t xml:space="preserve">Zatem </w:t>
      </w:r>
      <w:r w:rsidRPr="00DA4AA5">
        <w:rPr>
          <w:b/>
        </w:rPr>
        <w:t xml:space="preserve">DCBE – WCBE = 30 minut – </w:t>
      </w:r>
      <w:r>
        <w:rPr>
          <w:b/>
        </w:rPr>
        <w:t>9,4</w:t>
      </w:r>
      <w:r w:rsidRPr="00DA4AA5">
        <w:rPr>
          <w:b/>
        </w:rPr>
        <w:t xml:space="preserve"> minuty = </w:t>
      </w:r>
      <w:r>
        <w:rPr>
          <w:b/>
        </w:rPr>
        <w:t>20,6</w:t>
      </w:r>
      <w:r w:rsidRPr="00DA4AA5">
        <w:rPr>
          <w:b/>
        </w:rPr>
        <w:t xml:space="preserve"> minut</w:t>
      </w:r>
    </w:p>
    <w:p w:rsidR="003D0B56" w:rsidRDefault="003D0B56" w:rsidP="003D0B56">
      <w:r>
        <w:t xml:space="preserve">Margines bezpieczeństwa wynoszący 20,6 minuty jest wystarczający do stwierdzenia, </w:t>
      </w:r>
      <w:r w:rsidR="00E45A8B">
        <w:t xml:space="preserve">                </w:t>
      </w:r>
      <w:r>
        <w:t>iż kryterium bezpiecznej ewakuacji zostało spełnione.</w:t>
      </w:r>
      <w:r w:rsidR="002E43DD">
        <w:t xml:space="preserve"> </w:t>
      </w:r>
    </w:p>
    <w:p w:rsidR="002E43DD" w:rsidRDefault="002E43DD" w:rsidP="003D0B56">
      <w:r>
        <w:tab/>
        <w:t>Na podstawie powyższego należy stwierdzić, iż pionowe drogie ewakuacyjne                 w obiekcie, obudowane oraz zabezpieczone przed zadymieniem, pozwalają na bezpieczną ewakuację, a niezabezpieczona przed zadymieniem klatka K3 nie ma zauważalnego negatywnego oddziaływania na poziom bezpieczeństwa użytkowników.</w:t>
      </w:r>
    </w:p>
    <w:p w:rsidR="003D0B56" w:rsidRDefault="003D0B56" w:rsidP="003D0B56"/>
    <w:p w:rsidR="00D5632C" w:rsidRDefault="00D5632C" w:rsidP="003D0B56"/>
    <w:p w:rsidR="00D5632C" w:rsidRDefault="00D5632C" w:rsidP="003D0B56"/>
    <w:p w:rsidR="00D5632C" w:rsidRDefault="00D5632C" w:rsidP="003D0B56"/>
    <w:p w:rsidR="00D5632C" w:rsidRDefault="00D5632C" w:rsidP="003D0B56"/>
    <w:p w:rsidR="00D5632C" w:rsidRDefault="00D5632C" w:rsidP="003D0B56"/>
    <w:p w:rsidR="003D0B56" w:rsidRDefault="003D0B56" w:rsidP="00542F19">
      <w:pPr>
        <w:pStyle w:val="Nagwek2"/>
      </w:pPr>
      <w:bookmarkStart w:id="36" w:name="_Toc287550009"/>
      <w:r>
        <w:t>5.2. Warunki prowadzenia akcji ratowniczo-gaśniczej</w:t>
      </w:r>
      <w:bookmarkEnd w:id="36"/>
    </w:p>
    <w:p w:rsidR="003D0B56" w:rsidRDefault="003D0B56" w:rsidP="003D0B56">
      <w:pPr>
        <w:rPr>
          <w:b/>
        </w:rPr>
      </w:pPr>
    </w:p>
    <w:p w:rsidR="00716DF1" w:rsidRDefault="003D0B56" w:rsidP="003D0B56">
      <w:r>
        <w:rPr>
          <w:b/>
        </w:rPr>
        <w:tab/>
      </w:r>
      <w:r>
        <w:t xml:space="preserve">Budynek Wydziału Biologii i Nauk o Ziemi posiada drogę pożarową przebiegającą wzdłuż dłuższego boku obiektu, między </w:t>
      </w:r>
      <w:r w:rsidR="008F131C">
        <w:t>ścianą budynku a dojazdem pożarowym                        nie występują elementy zagospodarowania terenu oraz drzewa i krzewy – zapewniony dostęp do elewacji budynku za pomocą drabin mechanicznych i podnośników. Zastosowany w obiekcie, a nie wymagany przepisami</w:t>
      </w:r>
      <w:r w:rsidR="00115DDF">
        <w:t xml:space="preserve"> przeciwpożarowymi</w:t>
      </w:r>
      <w:r w:rsidR="008F131C">
        <w:t xml:space="preserve">, system sygnalizacji pożaru pozwala na szybką detekcję zagrożenia, a dzięki połączeniu </w:t>
      </w:r>
      <w:r w:rsidR="00115DDF">
        <w:t xml:space="preserve">                      </w:t>
      </w:r>
      <w:r w:rsidR="008F131C">
        <w:t>z Państwową Straż</w:t>
      </w:r>
      <w:r w:rsidR="00115DDF">
        <w:t xml:space="preserve">ą Pożarną, </w:t>
      </w:r>
      <w:r w:rsidR="008F131C">
        <w:t xml:space="preserve">na równie szybkie powiadomienie ratowników. Ze względu na położenie w centrum miasta, czas dojazdu jednostek </w:t>
      </w:r>
      <w:r w:rsidR="00115DDF">
        <w:t>PSP również nie należy</w:t>
      </w:r>
      <w:r w:rsidR="008F131C">
        <w:t xml:space="preserve"> </w:t>
      </w:r>
      <w:r w:rsidR="002E43DD">
        <w:t xml:space="preserve">                         </w:t>
      </w:r>
      <w:r w:rsidR="008F131C">
        <w:t>do najdłuższych</w:t>
      </w:r>
      <w:r w:rsidR="00115DDF">
        <w:t xml:space="preserve"> – najbliższa jednostka PSP (JRG 1) znajduje się przy </w:t>
      </w:r>
      <w:r w:rsidR="00542F19">
        <w:t xml:space="preserve">                                       </w:t>
      </w:r>
      <w:r w:rsidR="00115DDF">
        <w:t>ul. Szczerbanowskiego około 1200 m od przedmiotowego budynku</w:t>
      </w:r>
      <w:r w:rsidR="008F131C">
        <w:t xml:space="preserve">. </w:t>
      </w:r>
      <w:r w:rsidR="00CF5CAD">
        <w:t xml:space="preserve">W efekcie zastosowane rozwiązania przyczyniają się do rozpoczęcia akcji ratowniczo-gaśniczej </w:t>
      </w:r>
      <w:r w:rsidR="00542F19">
        <w:t xml:space="preserve">                  </w:t>
      </w:r>
      <w:r w:rsidR="00CF5CAD">
        <w:t xml:space="preserve">we wczesnej fazie rozwoju pożaru, co umożliwia jego ugaszenie przy relatywnie niewielkiej ilości środka gaśniczego. </w:t>
      </w:r>
      <w:r w:rsidR="008F131C">
        <w:t xml:space="preserve">Wydzielenie w obiekcie stref pożarowych, jak również klatek schodowych stanowiących drogi ewakuacyjne, wpłynie nie tylko </w:t>
      </w:r>
      <w:r w:rsidR="009004A6">
        <w:t xml:space="preserve">                       </w:t>
      </w:r>
      <w:r w:rsidR="008F131C">
        <w:t>na bezpieczeństwo użytkownik</w:t>
      </w:r>
      <w:r w:rsidR="00115DDF">
        <w:t xml:space="preserve">ów obiektu, </w:t>
      </w:r>
      <w:r w:rsidR="008F131C">
        <w:t xml:space="preserve">ale również strażaków uczestniczących </w:t>
      </w:r>
      <w:r w:rsidR="009004A6">
        <w:t xml:space="preserve">                    </w:t>
      </w:r>
      <w:r w:rsidR="008F131C">
        <w:t xml:space="preserve">w działaniach w tym budynku. </w:t>
      </w:r>
    </w:p>
    <w:p w:rsidR="003D0B56" w:rsidRDefault="008F131C" w:rsidP="003D0B56">
      <w:r>
        <w:t>Wsk</w:t>
      </w:r>
      <w:r w:rsidR="00716DF1">
        <w:t>utek powyższych argumentów brak zabezpieczonej przed zadymieniem jednej                   z klatek schodowych, niewielkie przekroczenie dopuszczalnej powierzchni strefy pożarowej</w:t>
      </w:r>
      <w:r w:rsidR="00D5632C">
        <w:t xml:space="preserve">, przekroczenie dopuszczalnej długości dojścia ewakuacyjnego </w:t>
      </w:r>
      <w:r w:rsidR="00716DF1">
        <w:t>oraz niezgodność w zakresie wymaganej instalacji hydrantów wewnętrznych</w:t>
      </w:r>
      <w:r w:rsidR="00CF5CAD">
        <w:t xml:space="preserve"> nie wydają</w:t>
      </w:r>
      <w:r w:rsidR="00E45A8B">
        <w:t xml:space="preserve"> się być kluczowym</w:t>
      </w:r>
      <w:r w:rsidR="00CF5CAD">
        <w:t>i zagadnienia</w:t>
      </w:r>
      <w:r w:rsidR="00E45A8B">
        <w:t>m</w:t>
      </w:r>
      <w:r w:rsidR="00CF5CAD">
        <w:t>i w aspekcie bezpieczeństwa</w:t>
      </w:r>
      <w:r w:rsidR="00E45A8B">
        <w:t>.</w:t>
      </w:r>
    </w:p>
    <w:p w:rsidR="00E45A8B" w:rsidRDefault="00E45A8B" w:rsidP="003D0B56"/>
    <w:p w:rsidR="00E45A8B" w:rsidRDefault="00E45A8B" w:rsidP="00542F19">
      <w:pPr>
        <w:pStyle w:val="Nagwek2"/>
      </w:pPr>
      <w:bookmarkStart w:id="37" w:name="_Toc287550010"/>
      <w:r>
        <w:t>5.3. Bezpieczeństwo konstrukcji</w:t>
      </w:r>
      <w:bookmarkEnd w:id="37"/>
    </w:p>
    <w:p w:rsidR="00E45A8B" w:rsidRDefault="00E45A8B" w:rsidP="003D0B56">
      <w:pPr>
        <w:rPr>
          <w:b/>
        </w:rPr>
      </w:pPr>
    </w:p>
    <w:p w:rsidR="00E45A8B" w:rsidRDefault="00716DF1" w:rsidP="00E45A8B">
      <w:r>
        <w:tab/>
      </w:r>
      <w:r w:rsidR="00E45A8B">
        <w:t xml:space="preserve">Wymaganą klasą odporności pożarowej dla budynku Wydziału Biologii i Nauk </w:t>
      </w:r>
      <w:r>
        <w:t xml:space="preserve">                   </w:t>
      </w:r>
      <w:r w:rsidR="00E45A8B">
        <w:t>o Ziemi jest klasa „B</w:t>
      </w:r>
      <w:r w:rsidR="00E45A8B" w:rsidRPr="00DF2934">
        <w:t>”.</w:t>
      </w:r>
      <w:r w:rsidR="00E45A8B">
        <w:t xml:space="preserve"> Budynek spełnia wszystkie wymagania w zakresie odporności ogniowej elementów budynku, jak również stopnia rozprzestrzeniania przez nie ognia. </w:t>
      </w:r>
      <w:r>
        <w:t xml:space="preserve">              </w:t>
      </w:r>
      <w:r w:rsidR="00E45A8B">
        <w:t>W tym kontekście nie występują żadne niezgodności. Zachowane są również wymagane odległości z punktu widzenia usytuowania budynków ze względu na bezpieczeństwo pożarowe.</w:t>
      </w:r>
    </w:p>
    <w:p w:rsidR="001807DC" w:rsidRDefault="001807DC" w:rsidP="003D0B56">
      <w:pPr>
        <w:rPr>
          <w:b/>
        </w:rPr>
      </w:pPr>
    </w:p>
    <w:p w:rsidR="00373B8E" w:rsidRDefault="00373B8E" w:rsidP="003D0B56">
      <w:pPr>
        <w:rPr>
          <w:b/>
        </w:rPr>
      </w:pPr>
    </w:p>
    <w:p w:rsidR="00373B8E" w:rsidRDefault="00373B8E" w:rsidP="003D0B56">
      <w:pPr>
        <w:rPr>
          <w:b/>
        </w:rPr>
      </w:pPr>
    </w:p>
    <w:p w:rsidR="00373B8E" w:rsidRPr="00E45A8B" w:rsidRDefault="00373B8E" w:rsidP="003D0B56">
      <w:pPr>
        <w:rPr>
          <w:b/>
        </w:rPr>
      </w:pPr>
    </w:p>
    <w:p w:rsidR="007A24ED" w:rsidRDefault="00E45A8B" w:rsidP="002F6478">
      <w:pPr>
        <w:pStyle w:val="Nagwek1"/>
        <w:numPr>
          <w:ilvl w:val="0"/>
          <w:numId w:val="35"/>
        </w:numPr>
        <w:ind w:left="357" w:hanging="357"/>
      </w:pPr>
      <w:bookmarkStart w:id="38" w:name="_Toc287550011"/>
      <w:r>
        <w:t>Wnioski</w:t>
      </w:r>
      <w:bookmarkEnd w:id="38"/>
    </w:p>
    <w:p w:rsidR="00E45A8B" w:rsidRDefault="00E45A8B" w:rsidP="00E45A8B"/>
    <w:p w:rsidR="00E45A8B" w:rsidRDefault="00E45A8B" w:rsidP="00E45A8B">
      <w:r>
        <w:tab/>
        <w:t xml:space="preserve">Realizacja wytycznych zawartych w powyższej ekspertyzie pozwoli na likwidację </w:t>
      </w:r>
      <w:r w:rsidR="00E6112C">
        <w:t xml:space="preserve">          </w:t>
      </w:r>
      <w:r>
        <w:t>w obiekcie stanu zagrożenia życia ludzkiego oraz przystosowanie go do wszystkich obowiązujących przepisów, za w</w:t>
      </w:r>
      <w:r w:rsidR="00E6112C">
        <w:t>yjątkiem aspektów dotyczących rozwiązań zastępczych oraz zamiennych.</w:t>
      </w:r>
    </w:p>
    <w:p w:rsidR="00E6112C" w:rsidRDefault="00E6112C" w:rsidP="00E45A8B">
      <w:r>
        <w:tab/>
      </w:r>
      <w:r w:rsidR="004A4B2B">
        <w:t>N</w:t>
      </w:r>
      <w:r>
        <w:t>iewielkie przekroczenie dopuszczalnej powierzchni strefy pożarowej</w:t>
      </w:r>
      <w:r w:rsidR="00542F19">
        <w:t>, brak zabezpieczenia przed zadymieniem klatki K3</w:t>
      </w:r>
      <w:r w:rsidR="00D5632C">
        <w:t>, przekroczenie długości dojścia ewakuacyjnego z pomieszczenia 0247B o 5 m</w:t>
      </w:r>
      <w:r w:rsidR="00716DF1">
        <w:t xml:space="preserve"> oraz niezgodności </w:t>
      </w:r>
      <w:r w:rsidR="00CF5CAD">
        <w:t>w zakresie zastosowanej instalacji hydrantów wewnętrznych</w:t>
      </w:r>
      <w:r>
        <w:t xml:space="preserve"> nie wydają się być kluczowe jeżeli chod</w:t>
      </w:r>
      <w:r w:rsidR="00716DF1">
        <w:t xml:space="preserve">zi                                  </w:t>
      </w:r>
      <w:r>
        <w:t>o bezpieczeństwo użytkowników o</w:t>
      </w:r>
      <w:r w:rsidR="00716DF1">
        <w:t xml:space="preserve">biektu, a rozwiązania zastępcze </w:t>
      </w:r>
      <w:r>
        <w:t xml:space="preserve">i zamienne, </w:t>
      </w:r>
      <w:r w:rsidR="00ED59CF">
        <w:t xml:space="preserve">które </w:t>
      </w:r>
      <w:r w:rsidR="00716DF1">
        <w:t xml:space="preserve">                 </w:t>
      </w:r>
      <w:r w:rsidR="00CF5CAD">
        <w:t xml:space="preserve">po części </w:t>
      </w:r>
      <w:r w:rsidR="00ED59CF">
        <w:t xml:space="preserve">już w obiekcie funkcjonują, a nie są wymagane przepisami, skutecznie </w:t>
      </w:r>
      <w:r w:rsidR="00716DF1">
        <w:t xml:space="preserve">                     </w:t>
      </w:r>
      <w:r w:rsidR="00ED59CF">
        <w:t>je rekompensują.</w:t>
      </w:r>
    </w:p>
    <w:p w:rsidR="00A7150F" w:rsidRDefault="00A7150F" w:rsidP="00E45A8B"/>
    <w:p w:rsidR="00A7150F" w:rsidRDefault="00A7150F" w:rsidP="00A7150F">
      <w:pPr>
        <w:pStyle w:val="Nagwek1"/>
      </w:pPr>
      <w:bookmarkStart w:id="39" w:name="_Toc287550012"/>
      <w:r>
        <w:t>7. Załączniki</w:t>
      </w:r>
      <w:bookmarkEnd w:id="39"/>
    </w:p>
    <w:p w:rsidR="00A7150F" w:rsidRDefault="00A7150F" w:rsidP="00A7150F"/>
    <w:p w:rsidR="00A7150F" w:rsidRDefault="00A7150F" w:rsidP="00A7150F">
      <w:r>
        <w:tab/>
        <w:t>Plany obiektu z naniesionymi rozwiązaniami mającymi dostosować budynek                   do wymogów bezpieczeństwa pożarowego:</w:t>
      </w:r>
    </w:p>
    <w:p w:rsidR="00A7150F" w:rsidRDefault="00A7150F" w:rsidP="00A7150F">
      <w:pPr>
        <w:pStyle w:val="Akapitzlist"/>
        <w:numPr>
          <w:ilvl w:val="0"/>
          <w:numId w:val="48"/>
        </w:numPr>
        <w:ind w:left="714" w:hanging="357"/>
      </w:pPr>
      <w:r>
        <w:t xml:space="preserve">Plan sytuacyjny </w:t>
      </w:r>
      <w:r w:rsidR="00CC7B01">
        <w:t>(</w:t>
      </w:r>
      <w:r>
        <w:t>rys. nr 1</w:t>
      </w:r>
      <w:r w:rsidR="00CC7B01">
        <w:t>)</w:t>
      </w:r>
      <w:r>
        <w:t>;</w:t>
      </w:r>
    </w:p>
    <w:p w:rsidR="00A7150F" w:rsidRDefault="00A7150F" w:rsidP="00A7150F">
      <w:pPr>
        <w:pStyle w:val="Akapitzlist"/>
        <w:numPr>
          <w:ilvl w:val="0"/>
          <w:numId w:val="48"/>
        </w:numPr>
        <w:ind w:left="714" w:hanging="357"/>
      </w:pPr>
      <w:r>
        <w:t xml:space="preserve">Rzut poziomu – 2 </w:t>
      </w:r>
      <w:r w:rsidR="00CC7B01">
        <w:t>(</w:t>
      </w:r>
      <w:r>
        <w:t>rys. nr 2</w:t>
      </w:r>
      <w:r w:rsidR="00CC7B01">
        <w:t>)</w:t>
      </w:r>
      <w:r>
        <w:t>;</w:t>
      </w:r>
    </w:p>
    <w:p w:rsidR="00CC7B01" w:rsidRDefault="00A7150F" w:rsidP="00A7150F">
      <w:pPr>
        <w:pStyle w:val="Akapitzlist"/>
        <w:numPr>
          <w:ilvl w:val="0"/>
          <w:numId w:val="48"/>
        </w:numPr>
        <w:ind w:left="714" w:hanging="357"/>
      </w:pPr>
      <w:r>
        <w:t>Rzut poziomu -1</w:t>
      </w:r>
      <w:r w:rsidR="00CC7B01">
        <w:t xml:space="preserve"> (rys. nr 3);</w:t>
      </w:r>
    </w:p>
    <w:p w:rsidR="00CC7B01" w:rsidRDefault="00CC7B01" w:rsidP="00A7150F">
      <w:pPr>
        <w:pStyle w:val="Akapitzlist"/>
        <w:numPr>
          <w:ilvl w:val="0"/>
          <w:numId w:val="48"/>
        </w:numPr>
        <w:ind w:left="714" w:hanging="357"/>
      </w:pPr>
      <w:r>
        <w:t>Rzut poziomu – 1 cd. (rys. nr 4);</w:t>
      </w:r>
    </w:p>
    <w:p w:rsidR="00CC7B01" w:rsidRDefault="00CC7B01" w:rsidP="00A7150F">
      <w:pPr>
        <w:pStyle w:val="Akapitzlist"/>
        <w:numPr>
          <w:ilvl w:val="0"/>
          <w:numId w:val="48"/>
        </w:numPr>
        <w:ind w:left="714" w:hanging="357"/>
      </w:pPr>
      <w:r>
        <w:t>Rzut parteru (rys. nr 5);</w:t>
      </w:r>
    </w:p>
    <w:p w:rsidR="00CC7B01" w:rsidRDefault="00CC7B01" w:rsidP="00A7150F">
      <w:pPr>
        <w:pStyle w:val="Akapitzlist"/>
        <w:numPr>
          <w:ilvl w:val="0"/>
          <w:numId w:val="48"/>
        </w:numPr>
        <w:ind w:left="714" w:hanging="357"/>
      </w:pPr>
      <w:r>
        <w:t>Rzut parteru cd. (rys. nr 6);</w:t>
      </w:r>
    </w:p>
    <w:p w:rsidR="00CC7B01" w:rsidRDefault="00CC7B01" w:rsidP="00A7150F">
      <w:pPr>
        <w:pStyle w:val="Akapitzlist"/>
        <w:numPr>
          <w:ilvl w:val="0"/>
          <w:numId w:val="48"/>
        </w:numPr>
        <w:ind w:left="714" w:hanging="357"/>
      </w:pPr>
      <w:r>
        <w:t>Rzut poziomu +1 (rys. nr 7);</w:t>
      </w:r>
    </w:p>
    <w:p w:rsidR="00CC7B01" w:rsidRDefault="00CC7B01" w:rsidP="00A7150F">
      <w:pPr>
        <w:pStyle w:val="Akapitzlist"/>
        <w:numPr>
          <w:ilvl w:val="0"/>
          <w:numId w:val="48"/>
        </w:numPr>
        <w:ind w:left="714" w:hanging="357"/>
      </w:pPr>
      <w:r>
        <w:t>Rzut poziomu +1 cd. (rys. nr 8);</w:t>
      </w:r>
    </w:p>
    <w:p w:rsidR="00CC7B01" w:rsidRDefault="00CC7B01" w:rsidP="00A7150F">
      <w:pPr>
        <w:pStyle w:val="Akapitzlist"/>
        <w:numPr>
          <w:ilvl w:val="0"/>
          <w:numId w:val="48"/>
        </w:numPr>
        <w:ind w:left="714" w:hanging="357"/>
      </w:pPr>
      <w:r>
        <w:t>Rzut poziomu +2 (rys. nr 9);</w:t>
      </w:r>
    </w:p>
    <w:p w:rsidR="00CC7B01" w:rsidRDefault="00CC7B01" w:rsidP="00A7150F">
      <w:pPr>
        <w:pStyle w:val="Akapitzlist"/>
        <w:numPr>
          <w:ilvl w:val="0"/>
          <w:numId w:val="48"/>
        </w:numPr>
        <w:ind w:left="714" w:hanging="357"/>
      </w:pPr>
      <w:r>
        <w:t>Rzut poziomu +2 cd. (rys. nr 10);</w:t>
      </w:r>
    </w:p>
    <w:p w:rsidR="00CC7B01" w:rsidRDefault="00CC7B01" w:rsidP="00A7150F">
      <w:pPr>
        <w:pStyle w:val="Akapitzlist"/>
        <w:numPr>
          <w:ilvl w:val="0"/>
          <w:numId w:val="48"/>
        </w:numPr>
        <w:ind w:left="714" w:hanging="357"/>
      </w:pPr>
      <w:r>
        <w:t>Rzut poziomu +3 (rys. nr 11);</w:t>
      </w:r>
    </w:p>
    <w:p w:rsidR="00CC7B01" w:rsidRDefault="00CC7B01" w:rsidP="00A7150F">
      <w:pPr>
        <w:pStyle w:val="Akapitzlist"/>
        <w:numPr>
          <w:ilvl w:val="0"/>
          <w:numId w:val="48"/>
        </w:numPr>
        <w:ind w:left="714" w:hanging="357"/>
      </w:pPr>
      <w:r>
        <w:t>Rzut poziomu +3 cd. (rys. nr 12);</w:t>
      </w:r>
    </w:p>
    <w:p w:rsidR="00CC7B01" w:rsidRDefault="00CC7B01" w:rsidP="00A7150F">
      <w:pPr>
        <w:pStyle w:val="Akapitzlist"/>
        <w:numPr>
          <w:ilvl w:val="0"/>
          <w:numId w:val="48"/>
        </w:numPr>
        <w:ind w:left="714" w:hanging="357"/>
      </w:pPr>
      <w:r>
        <w:t>Rzut poziomu +4 (rys. nr 13);</w:t>
      </w:r>
    </w:p>
    <w:p w:rsidR="00A7150F" w:rsidRPr="00A7150F" w:rsidRDefault="00CC7B01" w:rsidP="00A7150F">
      <w:pPr>
        <w:pStyle w:val="Akapitzlist"/>
        <w:numPr>
          <w:ilvl w:val="0"/>
          <w:numId w:val="48"/>
        </w:numPr>
        <w:ind w:left="714" w:hanging="357"/>
      </w:pPr>
      <w:r>
        <w:t>Rzut poziomu +4 cd. (rys nr 14).</w:t>
      </w:r>
      <w:r w:rsidR="00A7150F">
        <w:t xml:space="preserve"> </w:t>
      </w:r>
    </w:p>
    <w:sectPr w:rsidR="00A7150F" w:rsidRPr="00A7150F" w:rsidSect="009E45A4">
      <w:headerReference w:type="default" r:id="rId9"/>
      <w:footerReference w:type="default" r:id="rId10"/>
      <w:footerReference w:type="first" r:id="rId11"/>
      <w:pgSz w:w="11906" w:h="16838"/>
      <w:pgMar w:top="1418" w:right="1418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160" w:rsidRDefault="009F2160" w:rsidP="00947899">
      <w:pPr>
        <w:spacing w:line="240" w:lineRule="auto"/>
      </w:pPr>
      <w:r>
        <w:separator/>
      </w:r>
    </w:p>
  </w:endnote>
  <w:endnote w:type="continuationSeparator" w:id="0">
    <w:p w:rsidR="009F2160" w:rsidRDefault="009F2160" w:rsidP="009478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erif Condensed">
    <w:altName w:val="Times New Roman"/>
    <w:charset w:val="EE"/>
    <w:family w:val="roman"/>
    <w:pitch w:val="variable"/>
    <w:sig w:usb0="00000001" w:usb1="500079FB" w:usb2="0804002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MRoman12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auto"/>
      </w:rPr>
      <w:id w:val="39361111"/>
      <w:docPartObj>
        <w:docPartGallery w:val="Page Numbers (Bottom of Page)"/>
        <w:docPartUnique/>
      </w:docPartObj>
    </w:sdtPr>
    <w:sdtEndPr/>
    <w:sdtContent>
      <w:p w:rsidR="00B457E8" w:rsidRDefault="009F216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332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457E8" w:rsidRDefault="00B457E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7E8" w:rsidRDefault="00B457E8">
    <w:pPr>
      <w:pStyle w:val="Stopka"/>
      <w:jc w:val="right"/>
    </w:pPr>
  </w:p>
  <w:p w:rsidR="00B457E8" w:rsidRDefault="00B457E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160" w:rsidRDefault="009F2160" w:rsidP="00947899">
      <w:pPr>
        <w:spacing w:line="240" w:lineRule="auto"/>
      </w:pPr>
      <w:r>
        <w:separator/>
      </w:r>
    </w:p>
  </w:footnote>
  <w:footnote w:type="continuationSeparator" w:id="0">
    <w:p w:rsidR="009F2160" w:rsidRDefault="009F2160" w:rsidP="00947899">
      <w:pPr>
        <w:spacing w:line="240" w:lineRule="auto"/>
      </w:pPr>
      <w:r>
        <w:continuationSeparator/>
      </w:r>
    </w:p>
  </w:footnote>
  <w:footnote w:id="1">
    <w:p w:rsidR="00B457E8" w:rsidRPr="001C6BDD" w:rsidRDefault="00B457E8" w:rsidP="006E5C20">
      <w:pPr>
        <w:pStyle w:val="Tekstprzypisudolnego"/>
        <w:rPr>
          <w:lang w:val="en-US"/>
        </w:rPr>
      </w:pPr>
      <w:r w:rsidRPr="00294AC5">
        <w:rPr>
          <w:rStyle w:val="Odwoanieprzypisudolnego"/>
        </w:rPr>
        <w:footnoteRef/>
      </w:r>
      <w:r w:rsidRPr="00294AC5">
        <w:rPr>
          <w:lang w:val="en-US"/>
        </w:rPr>
        <w:t xml:space="preserve"> Według VdS 2221:2001-08 (01) [7]</w:t>
      </w:r>
    </w:p>
  </w:footnote>
  <w:footnote w:id="2">
    <w:p w:rsidR="00B457E8" w:rsidRPr="00E31739" w:rsidRDefault="00B457E8" w:rsidP="00E136B5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 w:rsidRPr="00E31739">
        <w:rPr>
          <w:lang w:val="en-US"/>
        </w:rPr>
        <w:t xml:space="preserve"> </w:t>
      </w:r>
      <w:r>
        <w:rPr>
          <w:lang w:val="en-US"/>
        </w:rPr>
        <w:t>W</w:t>
      </w:r>
      <w:r w:rsidRPr="00E31739">
        <w:rPr>
          <w:lang w:val="en-US"/>
        </w:rPr>
        <w:t>edług Check Scot and NI 5588-11 Approwed Document B</w:t>
      </w:r>
      <w:r>
        <w:rPr>
          <w:lang w:val="en-US"/>
        </w:rPr>
        <w:t>;</w:t>
      </w:r>
      <w:r w:rsidRPr="00E31739">
        <w:rPr>
          <w:lang w:val="en-US"/>
        </w:rPr>
        <w:t xml:space="preserve"> British Standard code for building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7E8" w:rsidRPr="00ED59CF" w:rsidRDefault="00B457E8" w:rsidP="00ED59CF">
    <w:pPr>
      <w:pStyle w:val="Nagwek"/>
      <w:jc w:val="right"/>
      <w:rPr>
        <w:i/>
        <w:sz w:val="20"/>
        <w:szCs w:val="20"/>
      </w:rPr>
    </w:pPr>
    <w:r w:rsidRPr="00ED59CF">
      <w:rPr>
        <w:i/>
        <w:sz w:val="20"/>
        <w:szCs w:val="20"/>
      </w:rPr>
      <w:t>Ekspertyza techniczna dla budynku Wydziału Biologii i Nauk o Ziemi UMCS w Lublinie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44A0"/>
    <w:multiLevelType w:val="hybridMultilevel"/>
    <w:tmpl w:val="E1841C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3661C"/>
    <w:multiLevelType w:val="hybridMultilevel"/>
    <w:tmpl w:val="1578DEFC"/>
    <w:lvl w:ilvl="0" w:tplc="46D4978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97FEB"/>
    <w:multiLevelType w:val="hybridMultilevel"/>
    <w:tmpl w:val="7F323D5E"/>
    <w:lvl w:ilvl="0" w:tplc="8E84C52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D557A"/>
    <w:multiLevelType w:val="hybridMultilevel"/>
    <w:tmpl w:val="AE06B4F8"/>
    <w:lvl w:ilvl="0" w:tplc="630089F6">
      <w:start w:val="1"/>
      <w:numFmt w:val="decimal"/>
      <w:lvlText w:val="%1)"/>
      <w:lvlJc w:val="left"/>
      <w:pPr>
        <w:ind w:left="10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C55B0D"/>
    <w:multiLevelType w:val="hybridMultilevel"/>
    <w:tmpl w:val="97F62904"/>
    <w:lvl w:ilvl="0" w:tplc="630089F6">
      <w:start w:val="1"/>
      <w:numFmt w:val="lowerLetter"/>
      <w:lvlText w:val="%1)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7250C8"/>
    <w:multiLevelType w:val="hybridMultilevel"/>
    <w:tmpl w:val="7C683356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6">
    <w:nsid w:val="16351FE1"/>
    <w:multiLevelType w:val="hybridMultilevel"/>
    <w:tmpl w:val="62861AD6"/>
    <w:lvl w:ilvl="0" w:tplc="801AFD8A">
      <w:start w:val="1"/>
      <w:numFmt w:val="decimal"/>
      <w:lvlText w:val="Ad. 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311BC7"/>
    <w:multiLevelType w:val="hybridMultilevel"/>
    <w:tmpl w:val="CB3C626C"/>
    <w:lvl w:ilvl="0" w:tplc="630089F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7E7144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90555F4"/>
    <w:multiLevelType w:val="hybridMultilevel"/>
    <w:tmpl w:val="C408EE70"/>
    <w:lvl w:ilvl="0" w:tplc="04150005">
      <w:start w:val="4"/>
      <w:numFmt w:val="decimal"/>
      <w:lvlText w:val="%1)"/>
      <w:lvlJc w:val="left"/>
      <w:pPr>
        <w:ind w:left="1077" w:hanging="360"/>
      </w:pPr>
      <w:rPr>
        <w:rFonts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FF38DC"/>
    <w:multiLevelType w:val="hybridMultilevel"/>
    <w:tmpl w:val="00004702"/>
    <w:lvl w:ilvl="0" w:tplc="3B72D61E">
      <w:start w:val="1"/>
      <w:numFmt w:val="lowerLetter"/>
      <w:lvlText w:val="%1)."/>
      <w:lvlJc w:val="left"/>
      <w:pPr>
        <w:ind w:left="720" w:hanging="360"/>
      </w:pPr>
      <w:rPr>
        <w:rFonts w:hint="default"/>
      </w:rPr>
    </w:lvl>
    <w:lvl w:ilvl="1" w:tplc="EF0E95B2" w:tentative="1">
      <w:start w:val="1"/>
      <w:numFmt w:val="lowerLetter"/>
      <w:lvlText w:val="%2."/>
      <w:lvlJc w:val="left"/>
      <w:pPr>
        <w:ind w:left="1440" w:hanging="360"/>
      </w:pPr>
    </w:lvl>
    <w:lvl w:ilvl="2" w:tplc="38521858" w:tentative="1">
      <w:start w:val="1"/>
      <w:numFmt w:val="lowerRoman"/>
      <w:lvlText w:val="%3."/>
      <w:lvlJc w:val="right"/>
      <w:pPr>
        <w:ind w:left="2160" w:hanging="180"/>
      </w:pPr>
    </w:lvl>
    <w:lvl w:ilvl="3" w:tplc="290030A0" w:tentative="1">
      <w:start w:val="1"/>
      <w:numFmt w:val="decimal"/>
      <w:lvlText w:val="%4."/>
      <w:lvlJc w:val="left"/>
      <w:pPr>
        <w:ind w:left="2880" w:hanging="360"/>
      </w:pPr>
    </w:lvl>
    <w:lvl w:ilvl="4" w:tplc="E9F60246" w:tentative="1">
      <w:start w:val="1"/>
      <w:numFmt w:val="lowerLetter"/>
      <w:lvlText w:val="%5."/>
      <w:lvlJc w:val="left"/>
      <w:pPr>
        <w:ind w:left="3600" w:hanging="360"/>
      </w:pPr>
    </w:lvl>
    <w:lvl w:ilvl="5" w:tplc="8162EDEC" w:tentative="1">
      <w:start w:val="1"/>
      <w:numFmt w:val="lowerRoman"/>
      <w:lvlText w:val="%6."/>
      <w:lvlJc w:val="right"/>
      <w:pPr>
        <w:ind w:left="4320" w:hanging="180"/>
      </w:pPr>
    </w:lvl>
    <w:lvl w:ilvl="6" w:tplc="3D8EE5AA" w:tentative="1">
      <w:start w:val="1"/>
      <w:numFmt w:val="decimal"/>
      <w:lvlText w:val="%7."/>
      <w:lvlJc w:val="left"/>
      <w:pPr>
        <w:ind w:left="5040" w:hanging="360"/>
      </w:pPr>
    </w:lvl>
    <w:lvl w:ilvl="7" w:tplc="52BC9058" w:tentative="1">
      <w:start w:val="1"/>
      <w:numFmt w:val="lowerLetter"/>
      <w:lvlText w:val="%8."/>
      <w:lvlJc w:val="left"/>
      <w:pPr>
        <w:ind w:left="5760" w:hanging="360"/>
      </w:pPr>
    </w:lvl>
    <w:lvl w:ilvl="8" w:tplc="201E80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5D5E6D"/>
    <w:multiLevelType w:val="hybridMultilevel"/>
    <w:tmpl w:val="76FE7D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9C0A5A"/>
    <w:multiLevelType w:val="hybridMultilevel"/>
    <w:tmpl w:val="77800804"/>
    <w:lvl w:ilvl="0" w:tplc="04150011">
      <w:start w:val="1"/>
      <w:numFmt w:val="decimal"/>
      <w:lvlText w:val="%1)"/>
      <w:lvlJc w:val="left"/>
      <w:pPr>
        <w:ind w:left="1487" w:hanging="360"/>
      </w:pPr>
    </w:lvl>
    <w:lvl w:ilvl="1" w:tplc="04150019" w:tentative="1">
      <w:start w:val="1"/>
      <w:numFmt w:val="lowerLetter"/>
      <w:lvlText w:val="%2."/>
      <w:lvlJc w:val="left"/>
      <w:pPr>
        <w:ind w:left="2207" w:hanging="360"/>
      </w:pPr>
    </w:lvl>
    <w:lvl w:ilvl="2" w:tplc="0415001B" w:tentative="1">
      <w:start w:val="1"/>
      <w:numFmt w:val="lowerRoman"/>
      <w:lvlText w:val="%3."/>
      <w:lvlJc w:val="right"/>
      <w:pPr>
        <w:ind w:left="2927" w:hanging="180"/>
      </w:pPr>
    </w:lvl>
    <w:lvl w:ilvl="3" w:tplc="0415000F" w:tentative="1">
      <w:start w:val="1"/>
      <w:numFmt w:val="decimal"/>
      <w:lvlText w:val="%4."/>
      <w:lvlJc w:val="left"/>
      <w:pPr>
        <w:ind w:left="3647" w:hanging="360"/>
      </w:pPr>
    </w:lvl>
    <w:lvl w:ilvl="4" w:tplc="04150019" w:tentative="1">
      <w:start w:val="1"/>
      <w:numFmt w:val="lowerLetter"/>
      <w:lvlText w:val="%5."/>
      <w:lvlJc w:val="left"/>
      <w:pPr>
        <w:ind w:left="4367" w:hanging="360"/>
      </w:pPr>
    </w:lvl>
    <w:lvl w:ilvl="5" w:tplc="0415001B" w:tentative="1">
      <w:start w:val="1"/>
      <w:numFmt w:val="lowerRoman"/>
      <w:lvlText w:val="%6."/>
      <w:lvlJc w:val="right"/>
      <w:pPr>
        <w:ind w:left="5087" w:hanging="180"/>
      </w:pPr>
    </w:lvl>
    <w:lvl w:ilvl="6" w:tplc="0415000F" w:tentative="1">
      <w:start w:val="1"/>
      <w:numFmt w:val="decimal"/>
      <w:lvlText w:val="%7."/>
      <w:lvlJc w:val="left"/>
      <w:pPr>
        <w:ind w:left="5807" w:hanging="360"/>
      </w:pPr>
    </w:lvl>
    <w:lvl w:ilvl="7" w:tplc="04150019" w:tentative="1">
      <w:start w:val="1"/>
      <w:numFmt w:val="lowerLetter"/>
      <w:lvlText w:val="%8."/>
      <w:lvlJc w:val="left"/>
      <w:pPr>
        <w:ind w:left="6527" w:hanging="360"/>
      </w:pPr>
    </w:lvl>
    <w:lvl w:ilvl="8" w:tplc="0415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13">
    <w:nsid w:val="34501D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7B84346"/>
    <w:multiLevelType w:val="hybridMultilevel"/>
    <w:tmpl w:val="AE06B4F8"/>
    <w:lvl w:ilvl="0" w:tplc="FD461FD0">
      <w:start w:val="1"/>
      <w:numFmt w:val="decimal"/>
      <w:lvlText w:val="%1)"/>
      <w:lvlJc w:val="left"/>
      <w:pPr>
        <w:ind w:left="1077" w:hanging="360"/>
      </w:pPr>
      <w:rPr>
        <w:rFonts w:hint="default"/>
        <w:b w:val="0"/>
      </w:rPr>
    </w:lvl>
    <w:lvl w:ilvl="1" w:tplc="D4D0C28E" w:tentative="1">
      <w:start w:val="1"/>
      <w:numFmt w:val="lowerLetter"/>
      <w:lvlText w:val="%2."/>
      <w:lvlJc w:val="left"/>
      <w:pPr>
        <w:ind w:left="1440" w:hanging="360"/>
      </w:pPr>
    </w:lvl>
    <w:lvl w:ilvl="2" w:tplc="41A4C5CA" w:tentative="1">
      <w:start w:val="1"/>
      <w:numFmt w:val="lowerRoman"/>
      <w:lvlText w:val="%3."/>
      <w:lvlJc w:val="right"/>
      <w:pPr>
        <w:ind w:left="2160" w:hanging="180"/>
      </w:pPr>
    </w:lvl>
    <w:lvl w:ilvl="3" w:tplc="8F043846" w:tentative="1">
      <w:start w:val="1"/>
      <w:numFmt w:val="decimal"/>
      <w:lvlText w:val="%4."/>
      <w:lvlJc w:val="left"/>
      <w:pPr>
        <w:ind w:left="2880" w:hanging="360"/>
      </w:pPr>
    </w:lvl>
    <w:lvl w:ilvl="4" w:tplc="21646506" w:tentative="1">
      <w:start w:val="1"/>
      <w:numFmt w:val="lowerLetter"/>
      <w:lvlText w:val="%5."/>
      <w:lvlJc w:val="left"/>
      <w:pPr>
        <w:ind w:left="3600" w:hanging="360"/>
      </w:pPr>
    </w:lvl>
    <w:lvl w:ilvl="5" w:tplc="1F8A7884" w:tentative="1">
      <w:start w:val="1"/>
      <w:numFmt w:val="lowerRoman"/>
      <w:lvlText w:val="%6."/>
      <w:lvlJc w:val="right"/>
      <w:pPr>
        <w:ind w:left="4320" w:hanging="180"/>
      </w:pPr>
    </w:lvl>
    <w:lvl w:ilvl="6" w:tplc="BEB0DAD2" w:tentative="1">
      <w:start w:val="1"/>
      <w:numFmt w:val="decimal"/>
      <w:lvlText w:val="%7."/>
      <w:lvlJc w:val="left"/>
      <w:pPr>
        <w:ind w:left="5040" w:hanging="360"/>
      </w:pPr>
    </w:lvl>
    <w:lvl w:ilvl="7" w:tplc="6A64DD7A" w:tentative="1">
      <w:start w:val="1"/>
      <w:numFmt w:val="lowerLetter"/>
      <w:lvlText w:val="%8."/>
      <w:lvlJc w:val="left"/>
      <w:pPr>
        <w:ind w:left="5760" w:hanging="360"/>
      </w:pPr>
    </w:lvl>
    <w:lvl w:ilvl="8" w:tplc="10F4B0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B070DC"/>
    <w:multiLevelType w:val="hybridMultilevel"/>
    <w:tmpl w:val="0A92C7F4"/>
    <w:lvl w:ilvl="0" w:tplc="801AFD8A">
      <w:start w:val="1"/>
      <w:numFmt w:val="decimal"/>
      <w:lvlText w:val="Ad. %1)"/>
      <w:lvlJc w:val="left"/>
      <w:pPr>
        <w:ind w:left="-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5" w:hanging="360"/>
      </w:pPr>
    </w:lvl>
    <w:lvl w:ilvl="2" w:tplc="0415001B" w:tentative="1">
      <w:start w:val="1"/>
      <w:numFmt w:val="lowerRoman"/>
      <w:lvlText w:val="%3."/>
      <w:lvlJc w:val="right"/>
      <w:pPr>
        <w:ind w:left="1095" w:hanging="180"/>
      </w:pPr>
    </w:lvl>
    <w:lvl w:ilvl="3" w:tplc="0415000F" w:tentative="1">
      <w:start w:val="1"/>
      <w:numFmt w:val="decimal"/>
      <w:lvlText w:val="%4."/>
      <w:lvlJc w:val="left"/>
      <w:pPr>
        <w:ind w:left="1815" w:hanging="360"/>
      </w:pPr>
    </w:lvl>
    <w:lvl w:ilvl="4" w:tplc="04150019" w:tentative="1">
      <w:start w:val="1"/>
      <w:numFmt w:val="lowerLetter"/>
      <w:lvlText w:val="%5."/>
      <w:lvlJc w:val="left"/>
      <w:pPr>
        <w:ind w:left="2535" w:hanging="360"/>
      </w:pPr>
    </w:lvl>
    <w:lvl w:ilvl="5" w:tplc="0415001B" w:tentative="1">
      <w:start w:val="1"/>
      <w:numFmt w:val="lowerRoman"/>
      <w:lvlText w:val="%6."/>
      <w:lvlJc w:val="right"/>
      <w:pPr>
        <w:ind w:left="3255" w:hanging="180"/>
      </w:pPr>
    </w:lvl>
    <w:lvl w:ilvl="6" w:tplc="0415000F" w:tentative="1">
      <w:start w:val="1"/>
      <w:numFmt w:val="decimal"/>
      <w:lvlText w:val="%7."/>
      <w:lvlJc w:val="left"/>
      <w:pPr>
        <w:ind w:left="3975" w:hanging="360"/>
      </w:pPr>
    </w:lvl>
    <w:lvl w:ilvl="7" w:tplc="04150019" w:tentative="1">
      <w:start w:val="1"/>
      <w:numFmt w:val="lowerLetter"/>
      <w:lvlText w:val="%8."/>
      <w:lvlJc w:val="left"/>
      <w:pPr>
        <w:ind w:left="4695" w:hanging="360"/>
      </w:pPr>
    </w:lvl>
    <w:lvl w:ilvl="8" w:tplc="0415001B" w:tentative="1">
      <w:start w:val="1"/>
      <w:numFmt w:val="lowerRoman"/>
      <w:lvlText w:val="%9."/>
      <w:lvlJc w:val="right"/>
      <w:pPr>
        <w:ind w:left="5415" w:hanging="180"/>
      </w:pPr>
    </w:lvl>
  </w:abstractNum>
  <w:abstractNum w:abstractNumId="16">
    <w:nsid w:val="39396DF5"/>
    <w:multiLevelType w:val="hybridMultilevel"/>
    <w:tmpl w:val="152819FA"/>
    <w:lvl w:ilvl="0" w:tplc="EE90BBB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9E42051"/>
    <w:multiLevelType w:val="hybridMultilevel"/>
    <w:tmpl w:val="0F407F70"/>
    <w:lvl w:ilvl="0" w:tplc="C2C0FAC8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3A3251F0"/>
    <w:multiLevelType w:val="hybridMultilevel"/>
    <w:tmpl w:val="6D5A7810"/>
    <w:lvl w:ilvl="0" w:tplc="5CCC9A8A">
      <w:start w:val="1"/>
      <w:numFmt w:val="decimal"/>
      <w:lvlText w:val="%1)"/>
      <w:lvlJc w:val="left"/>
      <w:pPr>
        <w:ind w:left="720" w:hanging="360"/>
      </w:pPr>
    </w:lvl>
    <w:lvl w:ilvl="1" w:tplc="1BEC8974" w:tentative="1">
      <w:start w:val="1"/>
      <w:numFmt w:val="lowerLetter"/>
      <w:lvlText w:val="%2."/>
      <w:lvlJc w:val="left"/>
      <w:pPr>
        <w:ind w:left="1440" w:hanging="360"/>
      </w:pPr>
    </w:lvl>
    <w:lvl w:ilvl="2" w:tplc="C136E8D8" w:tentative="1">
      <w:start w:val="1"/>
      <w:numFmt w:val="lowerRoman"/>
      <w:lvlText w:val="%3."/>
      <w:lvlJc w:val="right"/>
      <w:pPr>
        <w:ind w:left="2160" w:hanging="180"/>
      </w:pPr>
    </w:lvl>
    <w:lvl w:ilvl="3" w:tplc="24A635C2" w:tentative="1">
      <w:start w:val="1"/>
      <w:numFmt w:val="decimal"/>
      <w:lvlText w:val="%4."/>
      <w:lvlJc w:val="left"/>
      <w:pPr>
        <w:ind w:left="2880" w:hanging="360"/>
      </w:pPr>
    </w:lvl>
    <w:lvl w:ilvl="4" w:tplc="DC0AF8EC" w:tentative="1">
      <w:start w:val="1"/>
      <w:numFmt w:val="lowerLetter"/>
      <w:lvlText w:val="%5."/>
      <w:lvlJc w:val="left"/>
      <w:pPr>
        <w:ind w:left="3600" w:hanging="360"/>
      </w:pPr>
    </w:lvl>
    <w:lvl w:ilvl="5" w:tplc="2A1A908E" w:tentative="1">
      <w:start w:val="1"/>
      <w:numFmt w:val="lowerRoman"/>
      <w:lvlText w:val="%6."/>
      <w:lvlJc w:val="right"/>
      <w:pPr>
        <w:ind w:left="4320" w:hanging="180"/>
      </w:pPr>
    </w:lvl>
    <w:lvl w:ilvl="6" w:tplc="3B56DE7A" w:tentative="1">
      <w:start w:val="1"/>
      <w:numFmt w:val="decimal"/>
      <w:lvlText w:val="%7."/>
      <w:lvlJc w:val="left"/>
      <w:pPr>
        <w:ind w:left="5040" w:hanging="360"/>
      </w:pPr>
    </w:lvl>
    <w:lvl w:ilvl="7" w:tplc="6DC210BC" w:tentative="1">
      <w:start w:val="1"/>
      <w:numFmt w:val="lowerLetter"/>
      <w:lvlText w:val="%8."/>
      <w:lvlJc w:val="left"/>
      <w:pPr>
        <w:ind w:left="5760" w:hanging="360"/>
      </w:pPr>
    </w:lvl>
    <w:lvl w:ilvl="8" w:tplc="7FCC4C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9C432D"/>
    <w:multiLevelType w:val="hybridMultilevel"/>
    <w:tmpl w:val="6BA2BEF4"/>
    <w:lvl w:ilvl="0" w:tplc="8860324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340FB5"/>
    <w:multiLevelType w:val="hybridMultilevel"/>
    <w:tmpl w:val="B0B6B7CE"/>
    <w:lvl w:ilvl="0" w:tplc="E9A4D854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E25A50"/>
    <w:multiLevelType w:val="hybridMultilevel"/>
    <w:tmpl w:val="059ECBB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3984E94"/>
    <w:multiLevelType w:val="hybridMultilevel"/>
    <w:tmpl w:val="75E66B76"/>
    <w:lvl w:ilvl="0" w:tplc="A6A22C3C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BA08C7"/>
    <w:multiLevelType w:val="hybridMultilevel"/>
    <w:tmpl w:val="C2BAF22A"/>
    <w:lvl w:ilvl="0" w:tplc="F62EE1A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4313D4"/>
    <w:multiLevelType w:val="hybridMultilevel"/>
    <w:tmpl w:val="914A2E6E"/>
    <w:lvl w:ilvl="0" w:tplc="04150005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365730"/>
    <w:multiLevelType w:val="hybridMultilevel"/>
    <w:tmpl w:val="370C345A"/>
    <w:lvl w:ilvl="0" w:tplc="667C25EE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4A6C75"/>
    <w:multiLevelType w:val="hybridMultilevel"/>
    <w:tmpl w:val="316E8EA8"/>
    <w:lvl w:ilvl="0" w:tplc="49547D04">
      <w:start w:val="4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7C7786"/>
    <w:multiLevelType w:val="hybridMultilevel"/>
    <w:tmpl w:val="BBD4246C"/>
    <w:lvl w:ilvl="0" w:tplc="618CD168">
      <w:start w:val="1"/>
      <w:numFmt w:val="lowerLetter"/>
      <w:lvlText w:val="%1)."/>
      <w:lvlJc w:val="left"/>
      <w:pPr>
        <w:ind w:left="1077" w:hanging="360"/>
      </w:pPr>
      <w:rPr>
        <w:rFonts w:hint="default"/>
        <w:b w:val="0"/>
      </w:rPr>
    </w:lvl>
    <w:lvl w:ilvl="1" w:tplc="025AB120" w:tentative="1">
      <w:start w:val="1"/>
      <w:numFmt w:val="lowerLetter"/>
      <w:lvlText w:val="%2."/>
      <w:lvlJc w:val="left"/>
      <w:pPr>
        <w:ind w:left="1797" w:hanging="360"/>
      </w:pPr>
    </w:lvl>
    <w:lvl w:ilvl="2" w:tplc="A07C3F0A" w:tentative="1">
      <w:start w:val="1"/>
      <w:numFmt w:val="lowerRoman"/>
      <w:lvlText w:val="%3."/>
      <w:lvlJc w:val="right"/>
      <w:pPr>
        <w:ind w:left="2517" w:hanging="180"/>
      </w:pPr>
    </w:lvl>
    <w:lvl w:ilvl="3" w:tplc="F70C1DA0" w:tentative="1">
      <w:start w:val="1"/>
      <w:numFmt w:val="decimal"/>
      <w:lvlText w:val="%4."/>
      <w:lvlJc w:val="left"/>
      <w:pPr>
        <w:ind w:left="3237" w:hanging="360"/>
      </w:pPr>
    </w:lvl>
    <w:lvl w:ilvl="4" w:tplc="D4C63038" w:tentative="1">
      <w:start w:val="1"/>
      <w:numFmt w:val="lowerLetter"/>
      <w:lvlText w:val="%5."/>
      <w:lvlJc w:val="left"/>
      <w:pPr>
        <w:ind w:left="3957" w:hanging="360"/>
      </w:pPr>
    </w:lvl>
    <w:lvl w:ilvl="5" w:tplc="4A76ED08" w:tentative="1">
      <w:start w:val="1"/>
      <w:numFmt w:val="lowerRoman"/>
      <w:lvlText w:val="%6."/>
      <w:lvlJc w:val="right"/>
      <w:pPr>
        <w:ind w:left="4677" w:hanging="180"/>
      </w:pPr>
    </w:lvl>
    <w:lvl w:ilvl="6" w:tplc="F1501B0E" w:tentative="1">
      <w:start w:val="1"/>
      <w:numFmt w:val="decimal"/>
      <w:lvlText w:val="%7."/>
      <w:lvlJc w:val="left"/>
      <w:pPr>
        <w:ind w:left="5397" w:hanging="360"/>
      </w:pPr>
    </w:lvl>
    <w:lvl w:ilvl="7" w:tplc="4964108E" w:tentative="1">
      <w:start w:val="1"/>
      <w:numFmt w:val="lowerLetter"/>
      <w:lvlText w:val="%8."/>
      <w:lvlJc w:val="left"/>
      <w:pPr>
        <w:ind w:left="6117" w:hanging="360"/>
      </w:pPr>
    </w:lvl>
    <w:lvl w:ilvl="8" w:tplc="55A64FF2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">
    <w:nsid w:val="4C966D4C"/>
    <w:multiLevelType w:val="hybridMultilevel"/>
    <w:tmpl w:val="B1D6E1A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F9E2A81"/>
    <w:multiLevelType w:val="hybridMultilevel"/>
    <w:tmpl w:val="C5B439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74152D"/>
    <w:multiLevelType w:val="hybridMultilevel"/>
    <w:tmpl w:val="64CEB99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9E654B"/>
    <w:multiLevelType w:val="hybridMultilevel"/>
    <w:tmpl w:val="CC4616AC"/>
    <w:lvl w:ilvl="0" w:tplc="0415000F">
      <w:start w:val="1"/>
      <w:numFmt w:val="decimal"/>
      <w:lvlText w:val="[%1]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97B06D2"/>
    <w:multiLevelType w:val="hybridMultilevel"/>
    <w:tmpl w:val="4B2682FE"/>
    <w:lvl w:ilvl="0" w:tplc="EA30EA1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075C98"/>
    <w:multiLevelType w:val="hybridMultilevel"/>
    <w:tmpl w:val="8A463FD4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06195A"/>
    <w:multiLevelType w:val="hybridMultilevel"/>
    <w:tmpl w:val="6CD6D534"/>
    <w:lvl w:ilvl="0" w:tplc="8D9C118C">
      <w:start w:val="1"/>
      <w:numFmt w:val="lowerLetter"/>
      <w:lvlText w:val="%1)."/>
      <w:lvlJc w:val="left"/>
      <w:pPr>
        <w:ind w:left="1077" w:hanging="360"/>
      </w:pPr>
      <w:rPr>
        <w:rFonts w:hint="default"/>
      </w:rPr>
    </w:lvl>
    <w:lvl w:ilvl="1" w:tplc="8B8C0AB2" w:tentative="1">
      <w:start w:val="1"/>
      <w:numFmt w:val="lowerLetter"/>
      <w:lvlText w:val="%2."/>
      <w:lvlJc w:val="left"/>
      <w:pPr>
        <w:ind w:left="1797" w:hanging="360"/>
      </w:pPr>
    </w:lvl>
    <w:lvl w:ilvl="2" w:tplc="BF604F32" w:tentative="1">
      <w:start w:val="1"/>
      <w:numFmt w:val="lowerRoman"/>
      <w:lvlText w:val="%3."/>
      <w:lvlJc w:val="right"/>
      <w:pPr>
        <w:ind w:left="2517" w:hanging="180"/>
      </w:pPr>
    </w:lvl>
    <w:lvl w:ilvl="3" w:tplc="89B430CA" w:tentative="1">
      <w:start w:val="1"/>
      <w:numFmt w:val="decimal"/>
      <w:lvlText w:val="%4."/>
      <w:lvlJc w:val="left"/>
      <w:pPr>
        <w:ind w:left="3237" w:hanging="360"/>
      </w:pPr>
    </w:lvl>
    <w:lvl w:ilvl="4" w:tplc="33E8BB0E" w:tentative="1">
      <w:start w:val="1"/>
      <w:numFmt w:val="lowerLetter"/>
      <w:lvlText w:val="%5."/>
      <w:lvlJc w:val="left"/>
      <w:pPr>
        <w:ind w:left="3957" w:hanging="360"/>
      </w:pPr>
    </w:lvl>
    <w:lvl w:ilvl="5" w:tplc="8820D548" w:tentative="1">
      <w:start w:val="1"/>
      <w:numFmt w:val="lowerRoman"/>
      <w:lvlText w:val="%6."/>
      <w:lvlJc w:val="right"/>
      <w:pPr>
        <w:ind w:left="4677" w:hanging="180"/>
      </w:pPr>
    </w:lvl>
    <w:lvl w:ilvl="6" w:tplc="E766CF3E" w:tentative="1">
      <w:start w:val="1"/>
      <w:numFmt w:val="decimal"/>
      <w:lvlText w:val="%7."/>
      <w:lvlJc w:val="left"/>
      <w:pPr>
        <w:ind w:left="5397" w:hanging="360"/>
      </w:pPr>
    </w:lvl>
    <w:lvl w:ilvl="7" w:tplc="09E02126" w:tentative="1">
      <w:start w:val="1"/>
      <w:numFmt w:val="lowerLetter"/>
      <w:lvlText w:val="%8."/>
      <w:lvlJc w:val="left"/>
      <w:pPr>
        <w:ind w:left="6117" w:hanging="360"/>
      </w:pPr>
    </w:lvl>
    <w:lvl w:ilvl="8" w:tplc="2AAEACA6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>
    <w:nsid w:val="5C3069B0"/>
    <w:multiLevelType w:val="hybridMultilevel"/>
    <w:tmpl w:val="1EDC39FA"/>
    <w:lvl w:ilvl="0" w:tplc="BE80C6F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CC707D"/>
    <w:multiLevelType w:val="hybridMultilevel"/>
    <w:tmpl w:val="80140BA2"/>
    <w:lvl w:ilvl="0" w:tplc="BDD0815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8B7497"/>
    <w:multiLevelType w:val="hybridMultilevel"/>
    <w:tmpl w:val="1DD49802"/>
    <w:lvl w:ilvl="0" w:tplc="0415001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16D6831"/>
    <w:multiLevelType w:val="hybridMultilevel"/>
    <w:tmpl w:val="CCB851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296869"/>
    <w:multiLevelType w:val="hybridMultilevel"/>
    <w:tmpl w:val="C7606A6C"/>
    <w:lvl w:ilvl="0" w:tplc="BDD0815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072664"/>
    <w:multiLevelType w:val="hybridMultilevel"/>
    <w:tmpl w:val="062E8500"/>
    <w:lvl w:ilvl="0" w:tplc="E9A4D854">
      <w:start w:val="5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D27E53"/>
    <w:multiLevelType w:val="hybridMultilevel"/>
    <w:tmpl w:val="2014F55E"/>
    <w:lvl w:ilvl="0" w:tplc="ED30F84C">
      <w:start w:val="1"/>
      <w:numFmt w:val="lowerLetter"/>
      <w:lvlText w:val="%1)."/>
      <w:lvlJc w:val="left"/>
      <w:pPr>
        <w:ind w:left="720" w:hanging="360"/>
      </w:pPr>
      <w:rPr>
        <w:rFonts w:hint="default"/>
      </w:rPr>
    </w:lvl>
    <w:lvl w:ilvl="1" w:tplc="04B4ED70" w:tentative="1">
      <w:start w:val="1"/>
      <w:numFmt w:val="lowerLetter"/>
      <w:lvlText w:val="%2."/>
      <w:lvlJc w:val="left"/>
      <w:pPr>
        <w:ind w:left="1440" w:hanging="360"/>
      </w:pPr>
    </w:lvl>
    <w:lvl w:ilvl="2" w:tplc="73F4D9FC" w:tentative="1">
      <w:start w:val="1"/>
      <w:numFmt w:val="lowerRoman"/>
      <w:lvlText w:val="%3."/>
      <w:lvlJc w:val="right"/>
      <w:pPr>
        <w:ind w:left="2160" w:hanging="180"/>
      </w:pPr>
    </w:lvl>
    <w:lvl w:ilvl="3" w:tplc="1EE6E5AE" w:tentative="1">
      <w:start w:val="1"/>
      <w:numFmt w:val="decimal"/>
      <w:lvlText w:val="%4."/>
      <w:lvlJc w:val="left"/>
      <w:pPr>
        <w:ind w:left="2880" w:hanging="360"/>
      </w:pPr>
    </w:lvl>
    <w:lvl w:ilvl="4" w:tplc="D7CE9280" w:tentative="1">
      <w:start w:val="1"/>
      <w:numFmt w:val="lowerLetter"/>
      <w:lvlText w:val="%5."/>
      <w:lvlJc w:val="left"/>
      <w:pPr>
        <w:ind w:left="3600" w:hanging="360"/>
      </w:pPr>
    </w:lvl>
    <w:lvl w:ilvl="5" w:tplc="BE042F4A" w:tentative="1">
      <w:start w:val="1"/>
      <w:numFmt w:val="lowerRoman"/>
      <w:lvlText w:val="%6."/>
      <w:lvlJc w:val="right"/>
      <w:pPr>
        <w:ind w:left="4320" w:hanging="180"/>
      </w:pPr>
    </w:lvl>
    <w:lvl w:ilvl="6" w:tplc="A154953A" w:tentative="1">
      <w:start w:val="1"/>
      <w:numFmt w:val="decimal"/>
      <w:lvlText w:val="%7."/>
      <w:lvlJc w:val="left"/>
      <w:pPr>
        <w:ind w:left="5040" w:hanging="360"/>
      </w:pPr>
    </w:lvl>
    <w:lvl w:ilvl="7" w:tplc="766A5C44" w:tentative="1">
      <w:start w:val="1"/>
      <w:numFmt w:val="lowerLetter"/>
      <w:lvlText w:val="%8."/>
      <w:lvlJc w:val="left"/>
      <w:pPr>
        <w:ind w:left="5760" w:hanging="360"/>
      </w:pPr>
    </w:lvl>
    <w:lvl w:ilvl="8" w:tplc="370070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AD2E8D"/>
    <w:multiLevelType w:val="hybridMultilevel"/>
    <w:tmpl w:val="5E5411F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E10276"/>
    <w:multiLevelType w:val="hybridMultilevel"/>
    <w:tmpl w:val="AF72135E"/>
    <w:lvl w:ilvl="0" w:tplc="85BCF85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6E5222"/>
    <w:multiLevelType w:val="hybridMultilevel"/>
    <w:tmpl w:val="3266C0A6"/>
    <w:lvl w:ilvl="0" w:tplc="F5B26B38">
      <w:start w:val="1"/>
      <w:numFmt w:val="lowerLetter"/>
      <w:lvlText w:val="%1)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5">
    <w:nsid w:val="7D882C88"/>
    <w:multiLevelType w:val="hybridMultilevel"/>
    <w:tmpl w:val="3D987B24"/>
    <w:lvl w:ilvl="0" w:tplc="DF88F19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0C6829"/>
    <w:multiLevelType w:val="hybridMultilevel"/>
    <w:tmpl w:val="75328AC6"/>
    <w:lvl w:ilvl="0" w:tplc="96A0F7F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9C8AEE8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FE8DB2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8048B0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278569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974E1B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B890253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7C2487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522D64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7E76369E"/>
    <w:multiLevelType w:val="hybridMultilevel"/>
    <w:tmpl w:val="A3CAF284"/>
    <w:lvl w:ilvl="0" w:tplc="F5B26B3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1"/>
  </w:num>
  <w:num w:numId="3">
    <w:abstractNumId w:val="33"/>
  </w:num>
  <w:num w:numId="4">
    <w:abstractNumId w:val="7"/>
  </w:num>
  <w:num w:numId="5">
    <w:abstractNumId w:val="46"/>
  </w:num>
  <w:num w:numId="6">
    <w:abstractNumId w:val="37"/>
  </w:num>
  <w:num w:numId="7">
    <w:abstractNumId w:val="16"/>
  </w:num>
  <w:num w:numId="8">
    <w:abstractNumId w:val="8"/>
  </w:num>
  <w:num w:numId="9">
    <w:abstractNumId w:val="4"/>
  </w:num>
  <w:num w:numId="10">
    <w:abstractNumId w:val="1"/>
  </w:num>
  <w:num w:numId="11">
    <w:abstractNumId w:val="44"/>
  </w:num>
  <w:num w:numId="12">
    <w:abstractNumId w:val="20"/>
  </w:num>
  <w:num w:numId="13">
    <w:abstractNumId w:val="34"/>
  </w:num>
  <w:num w:numId="14">
    <w:abstractNumId w:val="27"/>
  </w:num>
  <w:num w:numId="15">
    <w:abstractNumId w:val="41"/>
  </w:num>
  <w:num w:numId="16">
    <w:abstractNumId w:val="10"/>
  </w:num>
  <w:num w:numId="17">
    <w:abstractNumId w:val="35"/>
  </w:num>
  <w:num w:numId="18">
    <w:abstractNumId w:val="24"/>
  </w:num>
  <w:num w:numId="19">
    <w:abstractNumId w:val="17"/>
  </w:num>
  <w:num w:numId="20">
    <w:abstractNumId w:val="9"/>
  </w:num>
  <w:num w:numId="21">
    <w:abstractNumId w:val="0"/>
  </w:num>
  <w:num w:numId="22">
    <w:abstractNumId w:val="18"/>
  </w:num>
  <w:num w:numId="23">
    <w:abstractNumId w:val="45"/>
  </w:num>
  <w:num w:numId="24">
    <w:abstractNumId w:val="30"/>
  </w:num>
  <w:num w:numId="25">
    <w:abstractNumId w:val="47"/>
  </w:num>
  <w:num w:numId="26">
    <w:abstractNumId w:val="42"/>
  </w:num>
  <w:num w:numId="27">
    <w:abstractNumId w:val="26"/>
  </w:num>
  <w:num w:numId="28">
    <w:abstractNumId w:val="14"/>
  </w:num>
  <w:num w:numId="29">
    <w:abstractNumId w:val="3"/>
  </w:num>
  <w:num w:numId="30">
    <w:abstractNumId w:val="40"/>
  </w:num>
  <w:num w:numId="31">
    <w:abstractNumId w:val="19"/>
  </w:num>
  <w:num w:numId="32">
    <w:abstractNumId w:val="39"/>
  </w:num>
  <w:num w:numId="33">
    <w:abstractNumId w:val="36"/>
  </w:num>
  <w:num w:numId="34">
    <w:abstractNumId w:val="29"/>
  </w:num>
  <w:num w:numId="35">
    <w:abstractNumId w:val="43"/>
  </w:num>
  <w:num w:numId="36">
    <w:abstractNumId w:val="23"/>
  </w:num>
  <w:num w:numId="37">
    <w:abstractNumId w:val="32"/>
  </w:num>
  <w:num w:numId="38">
    <w:abstractNumId w:val="5"/>
  </w:num>
  <w:num w:numId="39">
    <w:abstractNumId w:val="12"/>
  </w:num>
  <w:num w:numId="40">
    <w:abstractNumId w:val="6"/>
  </w:num>
  <w:num w:numId="41">
    <w:abstractNumId w:val="15"/>
  </w:num>
  <w:num w:numId="42">
    <w:abstractNumId w:val="28"/>
  </w:num>
  <w:num w:numId="43">
    <w:abstractNumId w:val="2"/>
  </w:num>
  <w:num w:numId="44">
    <w:abstractNumId w:val="38"/>
  </w:num>
  <w:num w:numId="45">
    <w:abstractNumId w:val="22"/>
  </w:num>
  <w:num w:numId="46">
    <w:abstractNumId w:val="21"/>
  </w:num>
  <w:num w:numId="47">
    <w:abstractNumId w:val="25"/>
  </w:num>
  <w:num w:numId="48">
    <w:abstractNumId w:val="11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795"/>
    <w:rsid w:val="00015261"/>
    <w:rsid w:val="00021F96"/>
    <w:rsid w:val="00024671"/>
    <w:rsid w:val="00034751"/>
    <w:rsid w:val="00047253"/>
    <w:rsid w:val="00071ED7"/>
    <w:rsid w:val="00084A9E"/>
    <w:rsid w:val="000B7C8E"/>
    <w:rsid w:val="000F5DC4"/>
    <w:rsid w:val="00103344"/>
    <w:rsid w:val="00115DDF"/>
    <w:rsid w:val="0012761C"/>
    <w:rsid w:val="001807DC"/>
    <w:rsid w:val="00182FF9"/>
    <w:rsid w:val="00183082"/>
    <w:rsid w:val="0018632B"/>
    <w:rsid w:val="00186731"/>
    <w:rsid w:val="0019446F"/>
    <w:rsid w:val="00195D46"/>
    <w:rsid w:val="001C1EE9"/>
    <w:rsid w:val="002044E6"/>
    <w:rsid w:val="002100F4"/>
    <w:rsid w:val="00222795"/>
    <w:rsid w:val="0023141A"/>
    <w:rsid w:val="002412D9"/>
    <w:rsid w:val="00241DD0"/>
    <w:rsid w:val="00250C28"/>
    <w:rsid w:val="00265940"/>
    <w:rsid w:val="0029642E"/>
    <w:rsid w:val="002A7E43"/>
    <w:rsid w:val="002B42F7"/>
    <w:rsid w:val="002C2B76"/>
    <w:rsid w:val="002E43DD"/>
    <w:rsid w:val="002F6478"/>
    <w:rsid w:val="00305E18"/>
    <w:rsid w:val="00314C85"/>
    <w:rsid w:val="003203C7"/>
    <w:rsid w:val="00340CB3"/>
    <w:rsid w:val="00347DBE"/>
    <w:rsid w:val="00373B8E"/>
    <w:rsid w:val="00383391"/>
    <w:rsid w:val="003840D5"/>
    <w:rsid w:val="003D0B56"/>
    <w:rsid w:val="003D30E4"/>
    <w:rsid w:val="003E3C90"/>
    <w:rsid w:val="00467443"/>
    <w:rsid w:val="004A4B2B"/>
    <w:rsid w:val="004B6FD1"/>
    <w:rsid w:val="004C4D0B"/>
    <w:rsid w:val="004E5F9D"/>
    <w:rsid w:val="004F09B1"/>
    <w:rsid w:val="005033F2"/>
    <w:rsid w:val="0050346B"/>
    <w:rsid w:val="00542F19"/>
    <w:rsid w:val="00557AE4"/>
    <w:rsid w:val="005B55D0"/>
    <w:rsid w:val="005D222F"/>
    <w:rsid w:val="005D301A"/>
    <w:rsid w:val="005D4FB2"/>
    <w:rsid w:val="00675252"/>
    <w:rsid w:val="006A01DF"/>
    <w:rsid w:val="006D314C"/>
    <w:rsid w:val="006E5C20"/>
    <w:rsid w:val="00705C9F"/>
    <w:rsid w:val="00711808"/>
    <w:rsid w:val="00716091"/>
    <w:rsid w:val="00716DF1"/>
    <w:rsid w:val="00720458"/>
    <w:rsid w:val="007261FE"/>
    <w:rsid w:val="00757756"/>
    <w:rsid w:val="007712A6"/>
    <w:rsid w:val="00782F95"/>
    <w:rsid w:val="007A24ED"/>
    <w:rsid w:val="007A2A79"/>
    <w:rsid w:val="007A332B"/>
    <w:rsid w:val="007C2101"/>
    <w:rsid w:val="007C51C9"/>
    <w:rsid w:val="007F0036"/>
    <w:rsid w:val="008210F2"/>
    <w:rsid w:val="00856EA6"/>
    <w:rsid w:val="00866ABD"/>
    <w:rsid w:val="0089577E"/>
    <w:rsid w:val="008B52B2"/>
    <w:rsid w:val="008C5EB1"/>
    <w:rsid w:val="008C7E1F"/>
    <w:rsid w:val="008E4E29"/>
    <w:rsid w:val="008F131C"/>
    <w:rsid w:val="009004A6"/>
    <w:rsid w:val="00905058"/>
    <w:rsid w:val="00914013"/>
    <w:rsid w:val="0091479C"/>
    <w:rsid w:val="00925531"/>
    <w:rsid w:val="00947899"/>
    <w:rsid w:val="00964E10"/>
    <w:rsid w:val="009941C4"/>
    <w:rsid w:val="0099732D"/>
    <w:rsid w:val="009D6396"/>
    <w:rsid w:val="009E45A4"/>
    <w:rsid w:val="009E53D0"/>
    <w:rsid w:val="009F0E9A"/>
    <w:rsid w:val="009F2160"/>
    <w:rsid w:val="00A11007"/>
    <w:rsid w:val="00A139DB"/>
    <w:rsid w:val="00A22877"/>
    <w:rsid w:val="00A6310F"/>
    <w:rsid w:val="00A63E7D"/>
    <w:rsid w:val="00A7150F"/>
    <w:rsid w:val="00A75BAC"/>
    <w:rsid w:val="00A95703"/>
    <w:rsid w:val="00A95CDA"/>
    <w:rsid w:val="00AA745F"/>
    <w:rsid w:val="00AB2041"/>
    <w:rsid w:val="00AC0043"/>
    <w:rsid w:val="00B00784"/>
    <w:rsid w:val="00B208A8"/>
    <w:rsid w:val="00B31B76"/>
    <w:rsid w:val="00B42973"/>
    <w:rsid w:val="00B44227"/>
    <w:rsid w:val="00B457E8"/>
    <w:rsid w:val="00B77461"/>
    <w:rsid w:val="00B82200"/>
    <w:rsid w:val="00B84BE0"/>
    <w:rsid w:val="00B85877"/>
    <w:rsid w:val="00B94B82"/>
    <w:rsid w:val="00BA0379"/>
    <w:rsid w:val="00BB1CC3"/>
    <w:rsid w:val="00BC48ED"/>
    <w:rsid w:val="00BC77B3"/>
    <w:rsid w:val="00BD0578"/>
    <w:rsid w:val="00C20CCA"/>
    <w:rsid w:val="00C21884"/>
    <w:rsid w:val="00C22EC6"/>
    <w:rsid w:val="00C26EE3"/>
    <w:rsid w:val="00C30909"/>
    <w:rsid w:val="00C57096"/>
    <w:rsid w:val="00C605B8"/>
    <w:rsid w:val="00C8044E"/>
    <w:rsid w:val="00CC7B01"/>
    <w:rsid w:val="00CD609D"/>
    <w:rsid w:val="00CF0EF7"/>
    <w:rsid w:val="00CF2E2A"/>
    <w:rsid w:val="00CF5CAD"/>
    <w:rsid w:val="00D41AF3"/>
    <w:rsid w:val="00D5632C"/>
    <w:rsid w:val="00D63DE8"/>
    <w:rsid w:val="00D643F6"/>
    <w:rsid w:val="00D87926"/>
    <w:rsid w:val="00DB5884"/>
    <w:rsid w:val="00DD476C"/>
    <w:rsid w:val="00DF4F9A"/>
    <w:rsid w:val="00E136B5"/>
    <w:rsid w:val="00E25CC5"/>
    <w:rsid w:val="00E331B9"/>
    <w:rsid w:val="00E45A8B"/>
    <w:rsid w:val="00E6112C"/>
    <w:rsid w:val="00E64563"/>
    <w:rsid w:val="00E715B9"/>
    <w:rsid w:val="00E9367E"/>
    <w:rsid w:val="00E97186"/>
    <w:rsid w:val="00EC32B0"/>
    <w:rsid w:val="00ED59CF"/>
    <w:rsid w:val="00ED6DDC"/>
    <w:rsid w:val="00EE444C"/>
    <w:rsid w:val="00F03427"/>
    <w:rsid w:val="00F17B9A"/>
    <w:rsid w:val="00F34490"/>
    <w:rsid w:val="00F521F1"/>
    <w:rsid w:val="00F6385B"/>
    <w:rsid w:val="00F852B4"/>
    <w:rsid w:val="00F90308"/>
    <w:rsid w:val="00F91A41"/>
    <w:rsid w:val="00FB19BB"/>
    <w:rsid w:val="00FC1C74"/>
    <w:rsid w:val="00FD0600"/>
    <w:rsid w:val="00FE01FB"/>
    <w:rsid w:val="00FE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431" w:hanging="43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044E"/>
    <w:pPr>
      <w:ind w:left="0" w:firstLine="0"/>
    </w:pPr>
    <w:rPr>
      <w:rFonts w:ascii="DejaVu Serif Condensed" w:hAnsi="DejaVu Serif Condensed"/>
      <w:color w:val="000000" w:themeColor="text1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22795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42F19"/>
    <w:pPr>
      <w:keepNext/>
      <w:keepLines/>
      <w:jc w:val="left"/>
      <w:outlineLvl w:val="1"/>
    </w:pPr>
    <w:rPr>
      <w:rFonts w:eastAsiaTheme="majorEastAsia" w:cstheme="majorBidi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222795"/>
    <w:pPr>
      <w:spacing w:line="240" w:lineRule="auto"/>
      <w:contextualSpacing/>
      <w:jc w:val="center"/>
    </w:pPr>
    <w:rPr>
      <w:rFonts w:eastAsiaTheme="majorEastAsia" w:cstheme="majorBidi"/>
      <w:b/>
      <w:spacing w:val="5"/>
      <w:kern w:val="28"/>
      <w:sz w:val="3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22795"/>
    <w:rPr>
      <w:rFonts w:ascii="DejaVu Serif Condensed" w:eastAsiaTheme="majorEastAsia" w:hAnsi="DejaVu Serif Condensed" w:cstheme="majorBidi"/>
      <w:b/>
      <w:color w:val="000000" w:themeColor="text1"/>
      <w:spacing w:val="5"/>
      <w:kern w:val="28"/>
      <w:sz w:val="32"/>
      <w:szCs w:val="52"/>
    </w:rPr>
  </w:style>
  <w:style w:type="character" w:styleId="Pogrubienie">
    <w:name w:val="Strong"/>
    <w:basedOn w:val="Domylnaczcionkaakapitu"/>
    <w:uiPriority w:val="22"/>
    <w:qFormat/>
    <w:rsid w:val="00222795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222795"/>
    <w:rPr>
      <w:rFonts w:ascii="DejaVu Serif Condensed" w:eastAsiaTheme="majorEastAsia" w:hAnsi="DejaVu Serif Condensed" w:cstheme="majorBidi"/>
      <w:b/>
      <w:bCs/>
      <w:color w:val="000000" w:themeColor="text1"/>
      <w:sz w:val="28"/>
      <w:szCs w:val="28"/>
    </w:rPr>
  </w:style>
  <w:style w:type="paragraph" w:styleId="Akapitzlist">
    <w:name w:val="List Paragraph"/>
    <w:basedOn w:val="Normalny"/>
    <w:uiPriority w:val="34"/>
    <w:qFormat/>
    <w:rsid w:val="00047253"/>
    <w:pPr>
      <w:ind w:left="720"/>
      <w:contextualSpacing/>
    </w:pPr>
  </w:style>
  <w:style w:type="paragraph" w:customStyle="1" w:styleId="Tabela">
    <w:name w:val="Tabela"/>
    <w:basedOn w:val="Normalny"/>
    <w:next w:val="Normalny"/>
    <w:rsid w:val="00AC0043"/>
    <w:pPr>
      <w:suppressAutoHyphens/>
      <w:spacing w:line="240" w:lineRule="auto"/>
      <w:jc w:val="left"/>
    </w:pPr>
    <w:rPr>
      <w:rFonts w:ascii="Courier New" w:eastAsia="Times New Roman" w:hAnsi="Courier New" w:cs="Times New Roman"/>
      <w:color w:val="auto"/>
      <w:sz w:val="20"/>
      <w:szCs w:val="20"/>
      <w:lang w:eastAsia="ar-SA"/>
    </w:rPr>
  </w:style>
  <w:style w:type="paragraph" w:styleId="Legenda">
    <w:name w:val="caption"/>
    <w:basedOn w:val="Normalny"/>
    <w:next w:val="Normalny"/>
    <w:uiPriority w:val="35"/>
    <w:unhideWhenUsed/>
    <w:qFormat/>
    <w:rsid w:val="00AC004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7899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7899"/>
    <w:rPr>
      <w:rFonts w:ascii="DejaVu Serif Condensed" w:hAnsi="DejaVu Serif Condensed"/>
      <w:color w:val="000000" w:themeColor="text1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789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36B5"/>
    <w:pPr>
      <w:spacing w:line="240" w:lineRule="auto"/>
    </w:pPr>
    <w:rPr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36B5"/>
    <w:rPr>
      <w:rFonts w:ascii="DejaVu Serif Condensed" w:hAnsi="DejaVu Serif Condensed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136B5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ED59C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D59CF"/>
    <w:rPr>
      <w:rFonts w:ascii="DejaVu Serif Condensed" w:hAnsi="DejaVu Serif Condensed"/>
      <w:color w:val="000000" w:themeColor="text1"/>
    </w:rPr>
  </w:style>
  <w:style w:type="paragraph" w:styleId="Stopka">
    <w:name w:val="footer"/>
    <w:basedOn w:val="Normalny"/>
    <w:link w:val="StopkaZnak"/>
    <w:uiPriority w:val="99"/>
    <w:unhideWhenUsed/>
    <w:rsid w:val="00ED59C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59CF"/>
    <w:rPr>
      <w:rFonts w:ascii="DejaVu Serif Condensed" w:hAnsi="DejaVu Serif Condensed"/>
      <w:color w:val="000000" w:themeColor="tex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59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5D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5DC4"/>
    <w:rPr>
      <w:rFonts w:ascii="DejaVu Serif Condensed" w:hAnsi="DejaVu Serif Condensed"/>
      <w:color w:val="000000" w:themeColor="text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5D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5DC4"/>
    <w:rPr>
      <w:rFonts w:ascii="DejaVu Serif Condensed" w:hAnsi="DejaVu Serif Condensed"/>
      <w:b/>
      <w:bCs/>
      <w:color w:val="000000" w:themeColor="text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5D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DC4"/>
    <w:rPr>
      <w:rFonts w:ascii="Tahoma" w:hAnsi="Tahoma" w:cs="Tahoma"/>
      <w:color w:val="000000" w:themeColor="text1"/>
      <w:sz w:val="16"/>
      <w:szCs w:val="16"/>
    </w:rPr>
  </w:style>
  <w:style w:type="paragraph" w:styleId="Spistreci1">
    <w:name w:val="toc 1"/>
    <w:basedOn w:val="Normalny"/>
    <w:next w:val="Normalny"/>
    <w:autoRedefine/>
    <w:uiPriority w:val="39"/>
    <w:unhideWhenUsed/>
    <w:rsid w:val="00542F19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542F19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542F19"/>
    <w:rPr>
      <w:rFonts w:ascii="DejaVu Serif Condensed" w:eastAsiaTheme="majorEastAsia" w:hAnsi="DejaVu Serif Condensed" w:cstheme="majorBidi"/>
      <w:b/>
      <w:bCs/>
      <w:color w:val="000000" w:themeColor="text1"/>
      <w:szCs w:val="26"/>
    </w:rPr>
  </w:style>
  <w:style w:type="paragraph" w:styleId="Spistreci2">
    <w:name w:val="toc 2"/>
    <w:basedOn w:val="Normalny"/>
    <w:next w:val="Normalny"/>
    <w:autoRedefine/>
    <w:uiPriority w:val="39"/>
    <w:unhideWhenUsed/>
    <w:rsid w:val="00542F19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431" w:hanging="43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044E"/>
    <w:pPr>
      <w:ind w:left="0" w:firstLine="0"/>
    </w:pPr>
    <w:rPr>
      <w:rFonts w:ascii="DejaVu Serif Condensed" w:hAnsi="DejaVu Serif Condensed"/>
      <w:color w:val="000000" w:themeColor="text1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22795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42F19"/>
    <w:pPr>
      <w:keepNext/>
      <w:keepLines/>
      <w:jc w:val="left"/>
      <w:outlineLvl w:val="1"/>
    </w:pPr>
    <w:rPr>
      <w:rFonts w:eastAsiaTheme="majorEastAsia" w:cstheme="majorBidi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222795"/>
    <w:pPr>
      <w:spacing w:line="240" w:lineRule="auto"/>
      <w:contextualSpacing/>
      <w:jc w:val="center"/>
    </w:pPr>
    <w:rPr>
      <w:rFonts w:eastAsiaTheme="majorEastAsia" w:cstheme="majorBidi"/>
      <w:b/>
      <w:spacing w:val="5"/>
      <w:kern w:val="28"/>
      <w:sz w:val="3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22795"/>
    <w:rPr>
      <w:rFonts w:ascii="DejaVu Serif Condensed" w:eastAsiaTheme="majorEastAsia" w:hAnsi="DejaVu Serif Condensed" w:cstheme="majorBidi"/>
      <w:b/>
      <w:color w:val="000000" w:themeColor="text1"/>
      <w:spacing w:val="5"/>
      <w:kern w:val="28"/>
      <w:sz w:val="32"/>
      <w:szCs w:val="52"/>
    </w:rPr>
  </w:style>
  <w:style w:type="character" w:styleId="Pogrubienie">
    <w:name w:val="Strong"/>
    <w:basedOn w:val="Domylnaczcionkaakapitu"/>
    <w:uiPriority w:val="22"/>
    <w:qFormat/>
    <w:rsid w:val="00222795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222795"/>
    <w:rPr>
      <w:rFonts w:ascii="DejaVu Serif Condensed" w:eastAsiaTheme="majorEastAsia" w:hAnsi="DejaVu Serif Condensed" w:cstheme="majorBidi"/>
      <w:b/>
      <w:bCs/>
      <w:color w:val="000000" w:themeColor="text1"/>
      <w:sz w:val="28"/>
      <w:szCs w:val="28"/>
    </w:rPr>
  </w:style>
  <w:style w:type="paragraph" w:styleId="Akapitzlist">
    <w:name w:val="List Paragraph"/>
    <w:basedOn w:val="Normalny"/>
    <w:uiPriority w:val="34"/>
    <w:qFormat/>
    <w:rsid w:val="00047253"/>
    <w:pPr>
      <w:ind w:left="720"/>
      <w:contextualSpacing/>
    </w:pPr>
  </w:style>
  <w:style w:type="paragraph" w:customStyle="1" w:styleId="Tabela">
    <w:name w:val="Tabela"/>
    <w:basedOn w:val="Normalny"/>
    <w:next w:val="Normalny"/>
    <w:rsid w:val="00AC0043"/>
    <w:pPr>
      <w:suppressAutoHyphens/>
      <w:spacing w:line="240" w:lineRule="auto"/>
      <w:jc w:val="left"/>
    </w:pPr>
    <w:rPr>
      <w:rFonts w:ascii="Courier New" w:eastAsia="Times New Roman" w:hAnsi="Courier New" w:cs="Times New Roman"/>
      <w:color w:val="auto"/>
      <w:sz w:val="20"/>
      <w:szCs w:val="20"/>
      <w:lang w:eastAsia="ar-SA"/>
    </w:rPr>
  </w:style>
  <w:style w:type="paragraph" w:styleId="Legenda">
    <w:name w:val="caption"/>
    <w:basedOn w:val="Normalny"/>
    <w:next w:val="Normalny"/>
    <w:uiPriority w:val="35"/>
    <w:unhideWhenUsed/>
    <w:qFormat/>
    <w:rsid w:val="00AC004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7899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7899"/>
    <w:rPr>
      <w:rFonts w:ascii="DejaVu Serif Condensed" w:hAnsi="DejaVu Serif Condensed"/>
      <w:color w:val="000000" w:themeColor="text1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789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36B5"/>
    <w:pPr>
      <w:spacing w:line="240" w:lineRule="auto"/>
    </w:pPr>
    <w:rPr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36B5"/>
    <w:rPr>
      <w:rFonts w:ascii="DejaVu Serif Condensed" w:hAnsi="DejaVu Serif Condensed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136B5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ED59C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D59CF"/>
    <w:rPr>
      <w:rFonts w:ascii="DejaVu Serif Condensed" w:hAnsi="DejaVu Serif Condensed"/>
      <w:color w:val="000000" w:themeColor="text1"/>
    </w:rPr>
  </w:style>
  <w:style w:type="paragraph" w:styleId="Stopka">
    <w:name w:val="footer"/>
    <w:basedOn w:val="Normalny"/>
    <w:link w:val="StopkaZnak"/>
    <w:uiPriority w:val="99"/>
    <w:unhideWhenUsed/>
    <w:rsid w:val="00ED59C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59CF"/>
    <w:rPr>
      <w:rFonts w:ascii="DejaVu Serif Condensed" w:hAnsi="DejaVu Serif Condensed"/>
      <w:color w:val="000000" w:themeColor="tex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59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5D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5DC4"/>
    <w:rPr>
      <w:rFonts w:ascii="DejaVu Serif Condensed" w:hAnsi="DejaVu Serif Condensed"/>
      <w:color w:val="000000" w:themeColor="text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5D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5DC4"/>
    <w:rPr>
      <w:rFonts w:ascii="DejaVu Serif Condensed" w:hAnsi="DejaVu Serif Condensed"/>
      <w:b/>
      <w:bCs/>
      <w:color w:val="000000" w:themeColor="text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5D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DC4"/>
    <w:rPr>
      <w:rFonts w:ascii="Tahoma" w:hAnsi="Tahoma" w:cs="Tahoma"/>
      <w:color w:val="000000" w:themeColor="text1"/>
      <w:sz w:val="16"/>
      <w:szCs w:val="16"/>
    </w:rPr>
  </w:style>
  <w:style w:type="paragraph" w:styleId="Spistreci1">
    <w:name w:val="toc 1"/>
    <w:basedOn w:val="Normalny"/>
    <w:next w:val="Normalny"/>
    <w:autoRedefine/>
    <w:uiPriority w:val="39"/>
    <w:unhideWhenUsed/>
    <w:rsid w:val="00542F19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542F19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542F19"/>
    <w:rPr>
      <w:rFonts w:ascii="DejaVu Serif Condensed" w:eastAsiaTheme="majorEastAsia" w:hAnsi="DejaVu Serif Condensed" w:cstheme="majorBidi"/>
      <w:b/>
      <w:bCs/>
      <w:color w:val="000000" w:themeColor="text1"/>
      <w:szCs w:val="26"/>
    </w:rPr>
  </w:style>
  <w:style w:type="paragraph" w:styleId="Spistreci2">
    <w:name w:val="toc 2"/>
    <w:basedOn w:val="Normalny"/>
    <w:next w:val="Normalny"/>
    <w:autoRedefine/>
    <w:uiPriority w:val="39"/>
    <w:unhideWhenUsed/>
    <w:rsid w:val="00542F19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32629-ED0A-4A56-A66F-DB77910B0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6468</Words>
  <Characters>38809</Characters>
  <Application>Microsoft Office Word</Application>
  <DocSecurity>0</DocSecurity>
  <Lines>323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SGSP</Company>
  <LinksUpToDate>false</LinksUpToDate>
  <CharactersWithSpaces>45187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TROTYL</dc:creator>
  <cp:lastModifiedBy>User</cp:lastModifiedBy>
  <cp:revision>2</cp:revision>
  <dcterms:created xsi:type="dcterms:W3CDTF">2018-07-13T10:01:00Z</dcterms:created>
  <dcterms:modified xsi:type="dcterms:W3CDTF">2018-07-13T10:01:00Z</dcterms:modified>
</cp:coreProperties>
</file>