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663088">
        <w:rPr>
          <w:rFonts w:asciiTheme="majorHAnsi" w:hAnsiTheme="majorHAnsi" w:cs="Arial"/>
          <w:b/>
          <w:sz w:val="22"/>
          <w:szCs w:val="22"/>
        </w:rPr>
        <w:t>dr Robert Zajkowski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63088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663088">
        <w:rPr>
          <w:rFonts w:asciiTheme="majorHAnsi" w:hAnsiTheme="majorHAnsi" w:cs="Arial"/>
          <w:strike/>
          <w:sz w:val="22"/>
          <w:szCs w:val="22"/>
        </w:rPr>
        <w:t>niestacjonarne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663088">
        <w:rPr>
          <w:rFonts w:asciiTheme="majorHAnsi" w:hAnsiTheme="majorHAnsi" w:cs="Arial"/>
          <w:strike/>
          <w:sz w:val="22"/>
          <w:szCs w:val="22"/>
          <w:u w:val="single"/>
        </w:rPr>
        <w:t>l</w:t>
      </w:r>
      <w:r w:rsidRPr="00663088">
        <w:rPr>
          <w:rFonts w:asciiTheme="majorHAnsi" w:hAnsiTheme="majorHAnsi" w:cs="Arial"/>
          <w:strike/>
          <w:sz w:val="22"/>
          <w:szCs w:val="22"/>
        </w:rPr>
        <w:t>icencjackie</w:t>
      </w:r>
      <w:r w:rsidR="001E41BD">
        <w:rPr>
          <w:rFonts w:asciiTheme="majorHAnsi" w:hAnsiTheme="majorHAnsi" w:cs="Arial"/>
          <w:sz w:val="22"/>
          <w:szCs w:val="22"/>
        </w:rPr>
        <w:t>/magisterskie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>
        <w:rPr>
          <w:rFonts w:asciiTheme="majorHAnsi" w:hAnsiTheme="majorHAnsi" w:cs="Arial"/>
          <w:sz w:val="22"/>
          <w:szCs w:val="22"/>
        </w:rPr>
        <w:t>I/</w:t>
      </w:r>
      <w:r w:rsidR="00EA38B0" w:rsidRPr="00663088">
        <w:rPr>
          <w:rFonts w:asciiTheme="majorHAnsi" w:hAnsiTheme="majorHAnsi" w:cs="Arial"/>
          <w:strike/>
          <w:sz w:val="22"/>
          <w:szCs w:val="22"/>
        </w:rPr>
        <w:t>II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5B70E5" w:rsidTr="005B70E5">
        <w:tc>
          <w:tcPr>
            <w:tcW w:w="9180" w:type="dxa"/>
            <w:gridSpan w:val="2"/>
            <w:vAlign w:val="center"/>
          </w:tcPr>
          <w:p w:rsidR="00134AD4" w:rsidRPr="005B70E5" w:rsidRDefault="00134AD4" w:rsidP="00134AD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5B70E5">
              <w:rPr>
                <w:rFonts w:asciiTheme="majorHAnsi" w:hAnsiTheme="majorHAnsi" w:cstheme="minorHAnsi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5B70E5" w:rsidP="008B56C8">
            <w:pPr>
              <w:jc w:val="left"/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Analiza ekonomiczna i finansowa przedsiębiorstw z perspektywy różnych grup interesariuszy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5B70E5" w:rsidP="008B56C8">
            <w:pPr>
              <w:jc w:val="left"/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 xml:space="preserve">Analiza fundamentalna dla potrzeb IPO </w:t>
            </w:r>
          </w:p>
        </w:tc>
      </w:tr>
      <w:tr w:rsidR="005B70E5" w:rsidRPr="005B70E5" w:rsidTr="005B70E5">
        <w:tc>
          <w:tcPr>
            <w:tcW w:w="578" w:type="dxa"/>
            <w:vAlign w:val="center"/>
          </w:tcPr>
          <w:p w:rsidR="005B70E5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8602" w:type="dxa"/>
            <w:vAlign w:val="center"/>
          </w:tcPr>
          <w:p w:rsidR="005B70E5" w:rsidRPr="005B70E5" w:rsidRDefault="005B70E5" w:rsidP="00663088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Wykorzystanie metod ilościowych w procesach analizy i oceny działalności podmiotów gospodarczych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Instrumenty rynku finansowego i ich absorpcja przez realną sferę gospodarki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Alternatywne formy lokowania i/lub pozyskania kapitału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Źródła finansowania (wspierania) działalności oraz pozyskania kapitału przez podmioty gospodarcze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Problemy kreowania i funkcjonowania przedsiębiorstw typu start-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up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 xml:space="preserve">, 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spin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>-off i 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spin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>-out</w:t>
            </w:r>
          </w:p>
        </w:tc>
      </w:tr>
      <w:tr w:rsidR="00D05932" w:rsidRPr="005B70E5" w:rsidTr="005B70E5">
        <w:tc>
          <w:tcPr>
            <w:tcW w:w="578" w:type="dxa"/>
            <w:vAlign w:val="center"/>
          </w:tcPr>
          <w:p w:rsidR="00D0593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8602" w:type="dxa"/>
            <w:vAlign w:val="center"/>
          </w:tcPr>
          <w:p w:rsidR="00D05932" w:rsidRPr="005B70E5" w:rsidRDefault="00D05932" w:rsidP="00663088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Instytucjonalny system kreowania i wsparcia rozwoju przedsiębiorczości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Optymalizacja struktury i źródeł finansowania przedsiębiorstw</w:t>
            </w:r>
          </w:p>
        </w:tc>
      </w:tr>
      <w:tr w:rsidR="00B121B2" w:rsidRPr="005B70E5" w:rsidTr="005B70E5">
        <w:tc>
          <w:tcPr>
            <w:tcW w:w="578" w:type="dxa"/>
            <w:vAlign w:val="center"/>
          </w:tcPr>
          <w:p w:rsidR="00B121B2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8602" w:type="dxa"/>
            <w:vAlign w:val="center"/>
          </w:tcPr>
          <w:p w:rsidR="00B121B2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Przedsięwzięcia inwestycyjne – ocena implikacji finansowych</w:t>
            </w:r>
          </w:p>
        </w:tc>
      </w:tr>
      <w:tr w:rsidR="00134AD4" w:rsidRPr="005B70E5" w:rsidTr="005B70E5">
        <w:tc>
          <w:tcPr>
            <w:tcW w:w="578" w:type="dxa"/>
            <w:vAlign w:val="center"/>
          </w:tcPr>
          <w:p w:rsidR="00134AD4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8602" w:type="dxa"/>
            <w:vAlign w:val="center"/>
          </w:tcPr>
          <w:p w:rsidR="00134AD4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Wartość przedsiębiorstwa – wycena i zarządzanie</w:t>
            </w:r>
          </w:p>
        </w:tc>
      </w:tr>
      <w:tr w:rsidR="00663088" w:rsidRPr="005B70E5" w:rsidTr="005B70E5">
        <w:tc>
          <w:tcPr>
            <w:tcW w:w="578" w:type="dxa"/>
            <w:vAlign w:val="center"/>
          </w:tcPr>
          <w:p w:rsidR="00663088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8602" w:type="dxa"/>
            <w:vAlign w:val="center"/>
          </w:tcPr>
          <w:p w:rsidR="00663088" w:rsidRPr="005B70E5" w:rsidRDefault="00663088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 xml:space="preserve">Specyficzne aspekty ekonomiczne i finansowe </w:t>
            </w:r>
            <w:r w:rsidRPr="005B70E5">
              <w:rPr>
                <w:rFonts w:asciiTheme="majorHAnsi" w:hAnsiTheme="majorHAnsi" w:cstheme="minorHAnsi"/>
                <w:i/>
                <w:sz w:val="24"/>
              </w:rPr>
              <w:t xml:space="preserve">family </w:t>
            </w:r>
            <w:proofErr w:type="spellStart"/>
            <w:r w:rsidRPr="005B70E5">
              <w:rPr>
                <w:rFonts w:asciiTheme="majorHAnsi" w:hAnsiTheme="majorHAnsi" w:cstheme="minorHAnsi"/>
                <w:i/>
                <w:sz w:val="24"/>
              </w:rPr>
              <w:t>businesses</w:t>
            </w:r>
            <w:proofErr w:type="spellEnd"/>
            <w:r w:rsidRPr="005B70E5">
              <w:rPr>
                <w:rFonts w:asciiTheme="majorHAnsi" w:hAnsiTheme="majorHAnsi" w:cstheme="minorHAnsi"/>
                <w:i/>
                <w:sz w:val="24"/>
              </w:rPr>
              <w:t xml:space="preserve"> </w:t>
            </w:r>
          </w:p>
        </w:tc>
      </w:tr>
      <w:tr w:rsidR="00663088" w:rsidRPr="005B70E5" w:rsidTr="005B70E5">
        <w:tc>
          <w:tcPr>
            <w:tcW w:w="578" w:type="dxa"/>
            <w:vAlign w:val="center"/>
          </w:tcPr>
          <w:p w:rsidR="00663088" w:rsidRPr="005B70E5" w:rsidRDefault="00D05932" w:rsidP="008B56C8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8602" w:type="dxa"/>
            <w:vAlign w:val="center"/>
          </w:tcPr>
          <w:p w:rsidR="00663088" w:rsidRPr="005B70E5" w:rsidRDefault="005B70E5" w:rsidP="00663088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Przedsiębiorstwa rodzinne i nierodzinne – analizy porównawcze sfery ekonomicznej i finansowej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D05932" w:rsidRPr="00D05932" w:rsidRDefault="006858AE">
      <w:pPr>
        <w:rPr>
          <w:rFonts w:asciiTheme="majorHAnsi" w:hAnsiTheme="majorHAnsi" w:cs="Arial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D05932" w:rsidRPr="00D0593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4CF"/>
    <w:multiLevelType w:val="hybridMultilevel"/>
    <w:tmpl w:val="37A406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E41BD"/>
    <w:rsid w:val="00263F63"/>
    <w:rsid w:val="002A39D1"/>
    <w:rsid w:val="00370869"/>
    <w:rsid w:val="0045101D"/>
    <w:rsid w:val="00470AA4"/>
    <w:rsid w:val="005B70E5"/>
    <w:rsid w:val="00663088"/>
    <w:rsid w:val="006858AE"/>
    <w:rsid w:val="00752A01"/>
    <w:rsid w:val="008B56C8"/>
    <w:rsid w:val="00A33E4C"/>
    <w:rsid w:val="00B121B2"/>
    <w:rsid w:val="00D05932"/>
    <w:rsid w:val="00DA5C23"/>
    <w:rsid w:val="00EA38B0"/>
    <w:rsid w:val="00F17532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308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308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2018-02-08T06:58:00Z</dcterms:created>
  <dcterms:modified xsi:type="dcterms:W3CDTF">2018-02-08T06:58:00Z</dcterms:modified>
</cp:coreProperties>
</file>