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38743E">
        <w:rPr>
          <w:rFonts w:asciiTheme="majorHAnsi" w:hAnsiTheme="majorHAnsi" w:cs="Arial"/>
          <w:b/>
          <w:sz w:val="22"/>
          <w:szCs w:val="22"/>
        </w:rPr>
        <w:t>dr Krzysztof Gawron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38743E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38743E">
        <w:rPr>
          <w:rFonts w:asciiTheme="majorHAnsi" w:hAnsiTheme="majorHAnsi" w:cs="Arial"/>
          <w:sz w:val="22"/>
          <w:szCs w:val="22"/>
          <w:u w:val="single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38743E">
        <w:rPr>
          <w:rFonts w:asciiTheme="majorHAnsi" w:hAnsiTheme="majorHAnsi" w:cs="Arial"/>
          <w:sz w:val="22"/>
          <w:szCs w:val="22"/>
          <w:u w:val="single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38743E" w:rsidRDefault="0038743E" w:rsidP="0038743E">
            <w:pPr>
              <w:rPr>
                <w:sz w:val="22"/>
                <w:szCs w:val="22"/>
              </w:rPr>
            </w:pPr>
            <w:r w:rsidRPr="0038743E">
              <w:rPr>
                <w:sz w:val="22"/>
                <w:szCs w:val="22"/>
              </w:rPr>
              <w:t>Polityka rachunkowości w przedsiębiorstwie – metody i zasady rachunkowości, zasady prowadzenia ksiąg rachunkowych, obiegu dokumentów, inwentaryzacji.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38743E" w:rsidRDefault="0038743E" w:rsidP="0038743E">
            <w:pPr>
              <w:rPr>
                <w:sz w:val="22"/>
                <w:szCs w:val="22"/>
              </w:rPr>
            </w:pPr>
            <w:r w:rsidRPr="0038743E">
              <w:rPr>
                <w:sz w:val="22"/>
                <w:szCs w:val="22"/>
              </w:rPr>
              <w:t>Rachunkowość finansowa przedsiębiorstw – wycena i ewidencja aktywów i pasywów, przychodów i kosztów.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38743E" w:rsidRDefault="0038743E" w:rsidP="0038743E">
            <w:pPr>
              <w:rPr>
                <w:sz w:val="22"/>
                <w:szCs w:val="22"/>
              </w:rPr>
            </w:pPr>
            <w:r w:rsidRPr="0038743E">
              <w:rPr>
                <w:sz w:val="22"/>
                <w:szCs w:val="22"/>
              </w:rPr>
              <w:t>Rachunek kosztów i rachunkowość zarządcza – kalkulacja i analiza kosztów, tradycyjne i nowoczesne modele rachunku kosztów, narzędzia rachunkowości zarządczej, budżetowanie.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38743E" w:rsidRDefault="0038743E" w:rsidP="0038743E">
            <w:pPr>
              <w:rPr>
                <w:sz w:val="22"/>
                <w:szCs w:val="22"/>
              </w:rPr>
            </w:pPr>
            <w:r w:rsidRPr="0038743E">
              <w:rPr>
                <w:sz w:val="22"/>
                <w:szCs w:val="22"/>
              </w:rPr>
              <w:t>Sprawozdawczość przedsiębiorstw – zasady sporządzania i analizy sprawozdań.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38743E" w:rsidRDefault="0038743E" w:rsidP="0038743E">
            <w:pPr>
              <w:rPr>
                <w:sz w:val="22"/>
                <w:szCs w:val="22"/>
              </w:rPr>
            </w:pPr>
            <w:r w:rsidRPr="0038743E">
              <w:rPr>
                <w:sz w:val="22"/>
                <w:szCs w:val="22"/>
              </w:rPr>
              <w:t>Rachunkowość w podmiotach objętych procedurami restrukturyzacyjnymi, upadłościowymi i likwidacyjnymi.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4298"/>
    <w:multiLevelType w:val="hybridMultilevel"/>
    <w:tmpl w:val="E1BA4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D0ECB"/>
    <w:rsid w:val="00263F63"/>
    <w:rsid w:val="002A39D1"/>
    <w:rsid w:val="0038743E"/>
    <w:rsid w:val="0045101D"/>
    <w:rsid w:val="00470AA4"/>
    <w:rsid w:val="006858AE"/>
    <w:rsid w:val="00752A01"/>
    <w:rsid w:val="008B56C8"/>
    <w:rsid w:val="00A33E4C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8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8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2018-02-05T12:57:00Z</dcterms:created>
  <dcterms:modified xsi:type="dcterms:W3CDTF">2018-02-05T12:57:00Z</dcterms:modified>
</cp:coreProperties>
</file>