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3" w:rsidRDefault="00026F1E" w:rsidP="00D628F5">
      <w:pPr>
        <w:tabs>
          <w:tab w:val="right" w:pos="9072"/>
        </w:tabs>
        <w:ind w:firstLine="0"/>
      </w:pPr>
      <w:r>
        <w:t>mgr Paulina Taszłow</w:t>
      </w:r>
      <w:r>
        <w:tab/>
        <w:t xml:space="preserve">Lublin, </w:t>
      </w:r>
      <w:r w:rsidR="004C4A0E">
        <w:t>25</w:t>
      </w:r>
      <w:r w:rsidR="00D628F5">
        <w:t>.0</w:t>
      </w:r>
      <w:r>
        <w:t>4</w:t>
      </w:r>
      <w:r w:rsidR="00D628F5">
        <w:t>.2017</w:t>
      </w:r>
    </w:p>
    <w:p w:rsidR="00D628F5" w:rsidRDefault="00D628F5" w:rsidP="00D628F5">
      <w:pPr>
        <w:ind w:firstLine="0"/>
      </w:pPr>
      <w:r>
        <w:t>Zakład Immunobiologii</w:t>
      </w:r>
    </w:p>
    <w:p w:rsidR="00D628F5" w:rsidRDefault="00D628F5" w:rsidP="00D628F5">
      <w:pPr>
        <w:ind w:firstLine="0"/>
      </w:pPr>
      <w:r>
        <w:t>Instytut Biologii i Biochemii</w:t>
      </w:r>
    </w:p>
    <w:p w:rsidR="00D628F5" w:rsidRDefault="00D628F5" w:rsidP="00D628F5">
      <w:pPr>
        <w:ind w:firstLine="0"/>
      </w:pPr>
      <w:r>
        <w:t>Wydział Biologii i Biotechnologii</w:t>
      </w:r>
    </w:p>
    <w:p w:rsidR="00D628F5" w:rsidRDefault="00D628F5" w:rsidP="00D628F5">
      <w:pPr>
        <w:ind w:firstLine="0"/>
      </w:pPr>
      <w:r>
        <w:t>Uniwersytet Marii Curie-Skłodowskiej w Lublinie</w:t>
      </w:r>
    </w:p>
    <w:p w:rsidR="00D628F5" w:rsidRDefault="00D628F5" w:rsidP="00D628F5">
      <w:pPr>
        <w:ind w:firstLine="0"/>
      </w:pPr>
    </w:p>
    <w:p w:rsidR="00D628F5" w:rsidRDefault="00D628F5" w:rsidP="00D628F5">
      <w:pPr>
        <w:ind w:firstLine="0"/>
      </w:pPr>
    </w:p>
    <w:p w:rsidR="00D628F5" w:rsidRPr="00A4760A" w:rsidRDefault="00D628F5" w:rsidP="003C0F61">
      <w:pPr>
        <w:ind w:firstLine="0"/>
        <w:jc w:val="center"/>
        <w:outlineLvl w:val="0"/>
        <w:rPr>
          <w:b/>
          <w:i/>
          <w:szCs w:val="26"/>
        </w:rPr>
      </w:pPr>
      <w:r w:rsidRPr="00A4760A">
        <w:rPr>
          <w:b/>
          <w:szCs w:val="26"/>
        </w:rPr>
        <w:t>Modulacja humoralnej odpowiedzi</w:t>
      </w:r>
      <w:r w:rsidR="00A4760A" w:rsidRPr="00A4760A">
        <w:rPr>
          <w:b/>
          <w:szCs w:val="26"/>
        </w:rPr>
        <w:t xml:space="preserve"> immunologicznej barciaka większego (</w:t>
      </w:r>
      <w:r w:rsidR="00A4760A" w:rsidRPr="00A4760A">
        <w:rPr>
          <w:b/>
          <w:i/>
          <w:szCs w:val="26"/>
        </w:rPr>
        <w:t>Galleria mellonella</w:t>
      </w:r>
      <w:r w:rsidR="00A4760A" w:rsidRPr="00A4760A">
        <w:rPr>
          <w:b/>
          <w:szCs w:val="26"/>
        </w:rPr>
        <w:t xml:space="preserve">) w przebiegu zakażenia bakteriami </w:t>
      </w:r>
      <w:r w:rsidR="00A4760A" w:rsidRPr="00A4760A">
        <w:rPr>
          <w:b/>
          <w:i/>
          <w:szCs w:val="26"/>
        </w:rPr>
        <w:t>Bacillus thuringiensis</w:t>
      </w:r>
    </w:p>
    <w:p w:rsidR="00D628F5" w:rsidRPr="004C5C5B" w:rsidRDefault="00D628F5" w:rsidP="003C0F61">
      <w:pPr>
        <w:ind w:firstLine="0"/>
        <w:jc w:val="center"/>
        <w:outlineLvl w:val="0"/>
        <w:rPr>
          <w:sz w:val="22"/>
          <w:lang w:val="en-US"/>
        </w:rPr>
      </w:pPr>
      <w:r w:rsidRPr="004C5C5B">
        <w:rPr>
          <w:sz w:val="22"/>
          <w:lang w:val="en-US"/>
        </w:rPr>
        <w:t>Modulation of</w:t>
      </w:r>
      <w:r w:rsidR="00BC5ADC" w:rsidRPr="004C5C5B">
        <w:rPr>
          <w:sz w:val="22"/>
          <w:lang w:val="en-US"/>
        </w:rPr>
        <w:t xml:space="preserve"> humoral immune response of the greater wax moth (</w:t>
      </w:r>
      <w:r w:rsidR="00BC5ADC" w:rsidRPr="004C5C5B">
        <w:rPr>
          <w:i/>
          <w:sz w:val="22"/>
          <w:lang w:val="en-US"/>
        </w:rPr>
        <w:t>Galleria mellonella</w:t>
      </w:r>
      <w:r w:rsidR="0017118E" w:rsidRPr="004C5C5B">
        <w:rPr>
          <w:sz w:val="22"/>
          <w:lang w:val="en-US"/>
        </w:rPr>
        <w:t>) during </w:t>
      </w:r>
      <w:r w:rsidR="00BC5ADC" w:rsidRPr="004C5C5B">
        <w:rPr>
          <w:sz w:val="22"/>
          <w:lang w:val="en-US"/>
        </w:rPr>
        <w:t xml:space="preserve">infection with bacteria </w:t>
      </w:r>
      <w:r w:rsidR="00BC5ADC" w:rsidRPr="004C5C5B">
        <w:rPr>
          <w:i/>
          <w:sz w:val="22"/>
          <w:lang w:val="en-US"/>
        </w:rPr>
        <w:t>Bacillus thuringiensis</w:t>
      </w:r>
    </w:p>
    <w:p w:rsidR="00D628F5" w:rsidRPr="004C5C5B" w:rsidRDefault="00D628F5" w:rsidP="00D628F5">
      <w:pPr>
        <w:ind w:firstLine="0"/>
        <w:jc w:val="center"/>
        <w:rPr>
          <w:lang w:val="en-US"/>
        </w:rPr>
      </w:pPr>
    </w:p>
    <w:p w:rsidR="00D628F5" w:rsidRDefault="00D628F5" w:rsidP="003C0F61">
      <w:pPr>
        <w:ind w:firstLine="0"/>
        <w:outlineLvl w:val="0"/>
        <w:rPr>
          <w:b/>
        </w:rPr>
      </w:pPr>
      <w:r>
        <w:rPr>
          <w:b/>
        </w:rPr>
        <w:t>Streszczenie</w:t>
      </w:r>
    </w:p>
    <w:p w:rsidR="00D628F5" w:rsidRDefault="00D628F5" w:rsidP="003C0F61"/>
    <w:p w:rsidR="007D3A7B" w:rsidRDefault="003C0F61" w:rsidP="0070630D">
      <w:r>
        <w:t>Owady są grupą zwierząt, których układ immunologiczny działa jedynie w oparciu o mechanizmy odporności wrodzonej. Cech</w:t>
      </w:r>
      <w:r w:rsidR="0070630D">
        <w:t>ę</w:t>
      </w:r>
      <w:r>
        <w:t xml:space="preserve"> </w:t>
      </w:r>
      <w:r w:rsidR="004C5C5B">
        <w:t xml:space="preserve">tę </w:t>
      </w:r>
      <w:r w:rsidR="0070630D">
        <w:t xml:space="preserve">niejednokrotnie przekuwano w zaletę, między innymi podczas prowadzenia badań nad mechanizmami odporności nieswoistej, w których wykorzystywano </w:t>
      </w:r>
      <w:r w:rsidR="002A00CF">
        <w:t>różn</w:t>
      </w:r>
      <w:r w:rsidR="00064126">
        <w:t>ych</w:t>
      </w:r>
      <w:r w:rsidR="0070630D">
        <w:t xml:space="preserve"> pr</w:t>
      </w:r>
      <w:r>
        <w:t>zedstawiciel</w:t>
      </w:r>
      <w:r w:rsidR="0070630D">
        <w:t>i</w:t>
      </w:r>
      <w:r>
        <w:t xml:space="preserve"> gromady </w:t>
      </w:r>
      <w:r>
        <w:rPr>
          <w:i/>
        </w:rPr>
        <w:t>Insecta</w:t>
      </w:r>
      <w:r w:rsidR="0070630D">
        <w:t xml:space="preserve">. Jedna z gałęzi immunologii bezkręgowców poświęcona jest </w:t>
      </w:r>
      <w:r w:rsidR="00327749">
        <w:t>korelacj</w:t>
      </w:r>
      <w:r w:rsidR="0077118C">
        <w:t xml:space="preserve">om, jakie </w:t>
      </w:r>
      <w:r w:rsidR="00327749">
        <w:t xml:space="preserve">występują </w:t>
      </w:r>
      <w:r w:rsidR="0077118C">
        <w:t>po</w:t>
      </w:r>
      <w:r w:rsidR="00327749">
        <w:t xml:space="preserve">między poziomem </w:t>
      </w:r>
      <w:r w:rsidR="00064126">
        <w:t>aktywności układu</w:t>
      </w:r>
      <w:r w:rsidR="00327749">
        <w:t xml:space="preserve"> immunologiczne</w:t>
      </w:r>
      <w:r w:rsidR="00064126">
        <w:t>go</w:t>
      </w:r>
      <w:r w:rsidR="00327749">
        <w:t xml:space="preserve">, a warunkami </w:t>
      </w:r>
      <w:r w:rsidR="0077118C">
        <w:t>środowiska o</w:t>
      </w:r>
      <w:r w:rsidR="00327749">
        <w:t>ddziałują</w:t>
      </w:r>
      <w:r w:rsidR="0077118C">
        <w:t>cymi</w:t>
      </w:r>
      <w:r w:rsidR="002A00CF">
        <w:t xml:space="preserve"> na zainfekowany organizm. </w:t>
      </w:r>
      <w:r w:rsidR="008841F4">
        <w:t>C</w:t>
      </w:r>
      <w:r w:rsidR="0077118C">
        <w:t>zynnik</w:t>
      </w:r>
      <w:r w:rsidR="008841F4">
        <w:t xml:space="preserve">ami </w:t>
      </w:r>
      <w:r w:rsidR="0077118C">
        <w:t>wpływający</w:t>
      </w:r>
      <w:r w:rsidR="008841F4">
        <w:t>mi</w:t>
      </w:r>
      <w:r w:rsidR="0077118C">
        <w:t xml:space="preserve"> na </w:t>
      </w:r>
      <w:r w:rsidR="008841F4">
        <w:t xml:space="preserve">zjawiska </w:t>
      </w:r>
      <w:r w:rsidR="0077118C" w:rsidRPr="00991F32">
        <w:t>odpornoś</w:t>
      </w:r>
      <w:r w:rsidR="008841F4" w:rsidRPr="00991F32">
        <w:t>ciowe</w:t>
      </w:r>
      <w:r w:rsidR="0077118C" w:rsidRPr="00991F32">
        <w:t xml:space="preserve"> owadów </w:t>
      </w:r>
      <w:r w:rsidR="008841F4" w:rsidRPr="00991F32">
        <w:t>mogą być</w:t>
      </w:r>
      <w:r w:rsidR="00991F32" w:rsidRPr="00991F32">
        <w:t xml:space="preserve">: </w:t>
      </w:r>
      <w:r w:rsidR="008841F4" w:rsidRPr="00991F32">
        <w:t>urazy mechaniczne, dostępność składników</w:t>
      </w:r>
      <w:r w:rsidR="00991F32">
        <w:t xml:space="preserve"> odżywczych, </w:t>
      </w:r>
      <w:r w:rsidR="008841F4">
        <w:t>temperatur</w:t>
      </w:r>
      <w:r w:rsidR="00991F32">
        <w:t>a</w:t>
      </w:r>
      <w:r w:rsidR="008841F4">
        <w:t xml:space="preserve"> otoczenia</w:t>
      </w:r>
      <w:r w:rsidR="00991F32">
        <w:t xml:space="preserve">, a także </w:t>
      </w:r>
      <w:r w:rsidR="00FE567C">
        <w:t>przebyte</w:t>
      </w:r>
      <w:r w:rsidR="00991F32">
        <w:t xml:space="preserve"> lub trwające infekcje. Badania prowadzone z wykorzystaniem owadów pokazują, że </w:t>
      </w:r>
      <w:r w:rsidR="00A12852">
        <w:t xml:space="preserve">temperatura środowiska oraz wcześniejsze zakażenie </w:t>
      </w:r>
      <w:proofErr w:type="spellStart"/>
      <w:r w:rsidR="004C5BCC">
        <w:t>nieletalną</w:t>
      </w:r>
      <w:proofErr w:type="spellEnd"/>
      <w:r w:rsidR="004C5BCC">
        <w:t xml:space="preserve"> dawką </w:t>
      </w:r>
      <w:r w:rsidR="00A12852">
        <w:t>patogen</w:t>
      </w:r>
      <w:r w:rsidR="004C5BCC">
        <w:t>u</w:t>
      </w:r>
      <w:r w:rsidR="00A12852">
        <w:t xml:space="preserve"> </w:t>
      </w:r>
      <w:r w:rsidR="00064126">
        <w:t>mogą wpływać na</w:t>
      </w:r>
      <w:r w:rsidR="00A12852">
        <w:t xml:space="preserve"> </w:t>
      </w:r>
      <w:r w:rsidR="004C5BCC">
        <w:t>rozwijani</w:t>
      </w:r>
      <w:r w:rsidR="00064126">
        <w:t>e</w:t>
      </w:r>
      <w:r w:rsidR="004C5BCC">
        <w:t xml:space="preserve"> odpowiedzi immunologicznej</w:t>
      </w:r>
      <w:r w:rsidR="00991F32">
        <w:t xml:space="preserve"> </w:t>
      </w:r>
      <w:r w:rsidR="008841F4">
        <w:t>(przykładowe prace o tej tematyce</w:t>
      </w:r>
      <w:r w:rsidR="00A12852">
        <w:t>:</w:t>
      </w:r>
      <w:r w:rsidR="008841F4">
        <w:t xml:space="preserve"> </w:t>
      </w:r>
      <w:proofErr w:type="spellStart"/>
      <w:r w:rsidR="005004E9" w:rsidRPr="00833EF2">
        <w:t>Adamo</w:t>
      </w:r>
      <w:proofErr w:type="spellEnd"/>
      <w:r w:rsidR="005004E9" w:rsidRPr="00833EF2">
        <w:t>, 1998</w:t>
      </w:r>
      <w:r w:rsidR="00A12852" w:rsidRPr="00833EF2">
        <w:t xml:space="preserve">; </w:t>
      </w:r>
      <w:proofErr w:type="spellStart"/>
      <w:r w:rsidR="005004E9" w:rsidRPr="00833EF2">
        <w:t>Blanford</w:t>
      </w:r>
      <w:proofErr w:type="spellEnd"/>
      <w:r w:rsidR="005004E9" w:rsidRPr="00833EF2">
        <w:t xml:space="preserve"> i Thomas, 1999; </w:t>
      </w:r>
      <w:proofErr w:type="spellStart"/>
      <w:r w:rsidR="005004E9">
        <w:rPr>
          <w:szCs w:val="24"/>
        </w:rPr>
        <w:t>Konkel</w:t>
      </w:r>
      <w:proofErr w:type="spellEnd"/>
      <w:r w:rsidR="005004E9">
        <w:rPr>
          <w:szCs w:val="24"/>
        </w:rPr>
        <w:t xml:space="preserve"> i </w:t>
      </w:r>
      <w:proofErr w:type="spellStart"/>
      <w:r w:rsidR="005004E9" w:rsidRPr="00833EF2">
        <w:rPr>
          <w:szCs w:val="24"/>
        </w:rPr>
        <w:t>Tilly</w:t>
      </w:r>
      <w:proofErr w:type="spellEnd"/>
      <w:r w:rsidR="005004E9" w:rsidRPr="00833EF2">
        <w:rPr>
          <w:szCs w:val="24"/>
        </w:rPr>
        <w:t xml:space="preserve">, 2000; </w:t>
      </w:r>
      <w:proofErr w:type="spellStart"/>
      <w:r w:rsidR="00064126">
        <w:rPr>
          <w:szCs w:val="24"/>
        </w:rPr>
        <w:t>Arthurs</w:t>
      </w:r>
      <w:proofErr w:type="spellEnd"/>
      <w:r w:rsidR="00064126">
        <w:rPr>
          <w:szCs w:val="24"/>
        </w:rPr>
        <w:t xml:space="preserve"> i Thomas, 2001; </w:t>
      </w:r>
      <w:r w:rsidR="005004E9" w:rsidRPr="00833EF2">
        <w:t xml:space="preserve">Elliot i in., 2002; </w:t>
      </w:r>
      <w:r w:rsidR="005004E9" w:rsidRPr="00833EF2">
        <w:rPr>
          <w:szCs w:val="24"/>
        </w:rPr>
        <w:t xml:space="preserve">Thomas i </w:t>
      </w:r>
      <w:proofErr w:type="spellStart"/>
      <w:r w:rsidR="005004E9" w:rsidRPr="00833EF2">
        <w:rPr>
          <w:szCs w:val="24"/>
        </w:rPr>
        <w:t>Blanford</w:t>
      </w:r>
      <w:proofErr w:type="spellEnd"/>
      <w:r w:rsidR="005004E9" w:rsidRPr="00833EF2">
        <w:rPr>
          <w:szCs w:val="24"/>
        </w:rPr>
        <w:t>, 2003;</w:t>
      </w:r>
      <w:r w:rsidR="005004E9" w:rsidRPr="00833EF2">
        <w:t xml:space="preserve"> Ouedraogo i in., 2003;</w:t>
      </w:r>
      <w:r w:rsidR="005004E9" w:rsidRPr="00833EF2">
        <w:rPr>
          <w:szCs w:val="24"/>
        </w:rPr>
        <w:t xml:space="preserve"> </w:t>
      </w:r>
      <w:proofErr w:type="spellStart"/>
      <w:r w:rsidR="005004E9" w:rsidRPr="00833EF2">
        <w:t>Bundey</w:t>
      </w:r>
      <w:proofErr w:type="spellEnd"/>
      <w:r w:rsidR="005004E9" w:rsidRPr="00833EF2">
        <w:t xml:space="preserve"> i in., 2003; </w:t>
      </w:r>
      <w:proofErr w:type="spellStart"/>
      <w:r w:rsidR="005004E9">
        <w:rPr>
          <w:lang w:eastAsia="pl-PL"/>
        </w:rPr>
        <w:t>Sadd</w:t>
      </w:r>
      <w:proofErr w:type="spellEnd"/>
      <w:r w:rsidR="005004E9">
        <w:rPr>
          <w:lang w:eastAsia="pl-PL"/>
        </w:rPr>
        <w:t xml:space="preserve"> i </w:t>
      </w:r>
      <w:r w:rsidR="005004E9" w:rsidRPr="00833EF2">
        <w:rPr>
          <w:lang w:eastAsia="pl-PL"/>
        </w:rPr>
        <w:t xml:space="preserve">Schmid-Hempel, 2006; </w:t>
      </w:r>
      <w:proofErr w:type="spellStart"/>
      <w:r w:rsidR="005004E9" w:rsidRPr="00833EF2">
        <w:t>Pham</w:t>
      </w:r>
      <w:proofErr w:type="spellEnd"/>
      <w:r w:rsidR="005004E9" w:rsidRPr="00833EF2">
        <w:t xml:space="preserve"> i in., 2007; </w:t>
      </w:r>
      <w:r w:rsidR="005004E9" w:rsidRPr="00833EF2">
        <w:rPr>
          <w:rFonts w:cs="Cambria"/>
          <w:iCs/>
          <w:szCs w:val="24"/>
        </w:rPr>
        <w:t xml:space="preserve">Linder i in., 2008; </w:t>
      </w:r>
      <w:r w:rsidR="005004E9" w:rsidRPr="00833EF2">
        <w:rPr>
          <w:lang w:eastAsia="pl-PL"/>
        </w:rPr>
        <w:t>Roth i</w:t>
      </w:r>
      <w:r w:rsidR="005004E9">
        <w:rPr>
          <w:lang w:eastAsia="pl-PL"/>
        </w:rPr>
        <w:t> </w:t>
      </w:r>
      <w:r w:rsidR="005004E9" w:rsidRPr="00833EF2">
        <w:rPr>
          <w:lang w:eastAsia="pl-PL"/>
        </w:rPr>
        <w:t>in., 2009;</w:t>
      </w:r>
      <w:r w:rsidR="005004E9" w:rsidRPr="00833EF2">
        <w:t xml:space="preserve"> Rodrigues i in., 2010; </w:t>
      </w:r>
      <w:proofErr w:type="spellStart"/>
      <w:r w:rsidR="005004E9" w:rsidRPr="00833EF2">
        <w:t>Catalán</w:t>
      </w:r>
      <w:proofErr w:type="spellEnd"/>
      <w:r w:rsidR="005004E9" w:rsidRPr="00833EF2">
        <w:t xml:space="preserve"> i in., 2012;</w:t>
      </w:r>
      <w:r w:rsidR="005004E9" w:rsidRPr="00833EF2">
        <w:rPr>
          <w:lang w:eastAsia="pl-PL"/>
        </w:rPr>
        <w:t xml:space="preserve"> </w:t>
      </w:r>
      <w:r w:rsidR="005004E9" w:rsidRPr="00833EF2">
        <w:t xml:space="preserve">Anderson i in., 2013; </w:t>
      </w:r>
      <w:r w:rsidR="005004E9">
        <w:rPr>
          <w:lang w:eastAsia="pl-PL"/>
        </w:rPr>
        <w:t>Wu i </w:t>
      </w:r>
      <w:r w:rsidR="005004E9" w:rsidRPr="00833EF2">
        <w:rPr>
          <w:lang w:eastAsia="pl-PL"/>
        </w:rPr>
        <w:t xml:space="preserve">in., 2015; </w:t>
      </w:r>
      <w:r w:rsidR="005004E9" w:rsidRPr="00833EF2">
        <w:t>Wu i in</w:t>
      </w:r>
      <w:proofErr w:type="gramStart"/>
      <w:r w:rsidR="005004E9" w:rsidRPr="00833EF2">
        <w:t>., 2016</w:t>
      </w:r>
      <w:r w:rsidR="008841F4" w:rsidRPr="008841F4">
        <w:t>).</w:t>
      </w:r>
      <w:r w:rsidR="008841F4">
        <w:t xml:space="preserve"> </w:t>
      </w:r>
      <w:r w:rsidR="00701257">
        <w:t>Jednak</w:t>
      </w:r>
      <w:proofErr w:type="gramEnd"/>
      <w:r w:rsidR="00701257">
        <w:t xml:space="preserve"> czy wspomniane czynniki, działające na organizm owada zanim zostanie on zainfekowany, mogą modulować </w:t>
      </w:r>
      <w:r w:rsidR="00460CBE">
        <w:t xml:space="preserve">poziom </w:t>
      </w:r>
      <w:r w:rsidR="00A662CC">
        <w:t>odpowied</w:t>
      </w:r>
      <w:r w:rsidR="00460CBE">
        <w:t>zi</w:t>
      </w:r>
      <w:r w:rsidR="00701257">
        <w:t xml:space="preserve"> immunologiczn</w:t>
      </w:r>
      <w:r w:rsidR="00460CBE">
        <w:t>ej</w:t>
      </w:r>
      <w:r w:rsidR="00A662CC">
        <w:t xml:space="preserve"> w razie </w:t>
      </w:r>
      <w:r w:rsidR="004C5BCC">
        <w:t xml:space="preserve">następującej </w:t>
      </w:r>
      <w:r w:rsidR="00E76D99">
        <w:t>później inwazji patogenu?</w:t>
      </w:r>
    </w:p>
    <w:p w:rsidR="00CA5A49" w:rsidRDefault="00460CBE" w:rsidP="0070630D">
      <w:r>
        <w:lastRenderedPageBreak/>
        <w:t>W ramach niniejszej pracy badano przebieg odpowiedzi immunologiczne</w:t>
      </w:r>
      <w:r w:rsidR="00026F1E">
        <w:t xml:space="preserve">j larw barciaka większego </w:t>
      </w:r>
      <w:r>
        <w:rPr>
          <w:i/>
        </w:rPr>
        <w:t>Galleria mellonella</w:t>
      </w:r>
      <w:r>
        <w:t xml:space="preserve"> na zakażenie bakteriami </w:t>
      </w:r>
      <w:r>
        <w:rPr>
          <w:i/>
        </w:rPr>
        <w:t xml:space="preserve">Bacillus </w:t>
      </w:r>
      <w:r w:rsidRPr="008A6CDE">
        <w:rPr>
          <w:i/>
        </w:rPr>
        <w:t>thuringiensis</w:t>
      </w:r>
      <w:r w:rsidR="008A6CDE">
        <w:t xml:space="preserve">, </w:t>
      </w:r>
      <w:r w:rsidRPr="008A6CDE">
        <w:t>po</w:t>
      </w:r>
      <w:r>
        <w:t xml:space="preserve"> uprzedniej ekspozycji tych owadów na: działanie podwyższonej temperatury lub kontakt z patogenem. </w:t>
      </w:r>
      <w:r w:rsidR="00176EF9">
        <w:t>W pracy skupiono się na humoralnej</w:t>
      </w:r>
      <w:r w:rsidR="00C4730A">
        <w:t xml:space="preserve"> części mechanizmów odporności. </w:t>
      </w:r>
      <w:r w:rsidR="00CA5A49">
        <w:t xml:space="preserve">Stopień </w:t>
      </w:r>
      <w:r w:rsidR="00C4730A">
        <w:t xml:space="preserve">pobudzenia układu immunologicznego </w:t>
      </w:r>
      <w:r w:rsidR="00CA5A49">
        <w:t>określano w oparciu o parametry takie jak: aktywność przeciwbakteryjna</w:t>
      </w:r>
      <w:r w:rsidR="00064B3A">
        <w:t xml:space="preserve"> </w:t>
      </w:r>
      <w:r w:rsidR="00064126">
        <w:t>wykrywana</w:t>
      </w:r>
      <w:r w:rsidR="00CA5A49">
        <w:t xml:space="preserve"> w hemolimfie oraz ekspresja genów kodujących białka i peptydy odpornościowe w ciele tłuszczowym</w:t>
      </w:r>
      <w:r w:rsidR="00833EF2">
        <w:t>.</w:t>
      </w:r>
      <w:r w:rsidR="00064126">
        <w:t xml:space="preserve"> </w:t>
      </w:r>
    </w:p>
    <w:p w:rsidR="00FE567C" w:rsidRDefault="00064126" w:rsidP="00FE567C">
      <w:r>
        <w:t>Poziom aktywności przeciwbakteryjnej określano na podstawie zdolności składników hemolimfy do hamowania wzrostu bakterii</w:t>
      </w:r>
      <w:r w:rsidR="00CA2142">
        <w:t xml:space="preserve"> Gram-ujemnych (</w:t>
      </w:r>
      <w:r w:rsidR="00CA2142">
        <w:rPr>
          <w:i/>
        </w:rPr>
        <w:t xml:space="preserve">Escherichia coli </w:t>
      </w:r>
      <w:r w:rsidR="00CA2142">
        <w:t>D31) oraz Gram-dodatnich (</w:t>
      </w:r>
      <w:r w:rsidR="00CA2142">
        <w:rPr>
          <w:i/>
        </w:rPr>
        <w:t>Bacillus</w:t>
      </w:r>
      <w:r w:rsidR="00CA2142">
        <w:t xml:space="preserve"> </w:t>
      </w:r>
      <w:r w:rsidR="00CA2142" w:rsidRPr="00CA2142">
        <w:rPr>
          <w:i/>
        </w:rPr>
        <w:t>circulans</w:t>
      </w:r>
      <w:r w:rsidR="00CA2142">
        <w:t>). Strefy zahamowania wzrostu bakterii badano nie tylko w pełnej hemolimfie</w:t>
      </w:r>
      <w:r w:rsidR="009D1BE9">
        <w:t xml:space="preserve"> (metodą dyfuzyjną)</w:t>
      </w:r>
      <w:r w:rsidR="00CA2142">
        <w:t xml:space="preserve">, ale także wokół </w:t>
      </w:r>
      <w:r w:rsidR="009D1BE9">
        <w:t>niektórych peptydów</w:t>
      </w:r>
      <w:r w:rsidR="009D1BE9" w:rsidRPr="009D1BE9">
        <w:t xml:space="preserve"> </w:t>
      </w:r>
      <w:r w:rsidR="009D1BE9">
        <w:t xml:space="preserve">obecnych w hemolimfie poddanej </w:t>
      </w:r>
      <w:r w:rsidR="00E659B3">
        <w:t xml:space="preserve">wcześniej </w:t>
      </w:r>
      <w:r w:rsidR="009D1BE9">
        <w:t xml:space="preserve">rozdziałowi elektroforetycznemu (metodą bioautografii). W pełnej hemolimfie sprawdzano ponadto zdolność do rozkładu peptydoglikanu bakteryjnego </w:t>
      </w:r>
      <w:r w:rsidR="009D1BE9" w:rsidRPr="009D1BE9">
        <w:rPr>
          <w:i/>
        </w:rPr>
        <w:t>Micrococcus</w:t>
      </w:r>
      <w:r w:rsidR="009D1BE9">
        <w:t xml:space="preserve"> </w:t>
      </w:r>
      <w:r w:rsidR="009D1BE9" w:rsidRPr="009D1BE9">
        <w:rPr>
          <w:i/>
        </w:rPr>
        <w:t>lysodeikticus</w:t>
      </w:r>
      <w:r w:rsidR="00E659B3">
        <w:t xml:space="preserve"> (tzw. aktywność typu lizozymu</w:t>
      </w:r>
      <w:r w:rsidR="009D1BE9">
        <w:t xml:space="preserve">) </w:t>
      </w:r>
      <w:r w:rsidR="00E659B3">
        <w:t xml:space="preserve">oraz </w:t>
      </w:r>
      <w:r w:rsidR="009D1BE9">
        <w:t xml:space="preserve">aktywność </w:t>
      </w:r>
      <w:r w:rsidR="00E659B3">
        <w:t xml:space="preserve">oksydazy fenolowej. Ogólnie rzecz ujmując, parametry te świadczą o sile pobudzenia układu immunologicznego gąsienic </w:t>
      </w:r>
      <w:r w:rsidR="00E659B3">
        <w:rPr>
          <w:i/>
        </w:rPr>
        <w:t>G. mellonella</w:t>
      </w:r>
      <w:r w:rsidR="00E659B3">
        <w:t xml:space="preserve"> przez dany </w:t>
      </w:r>
      <w:proofErr w:type="spellStart"/>
      <w:r w:rsidR="00E659B3">
        <w:t>immunogen</w:t>
      </w:r>
      <w:proofErr w:type="spellEnd"/>
      <w:r w:rsidR="00E659B3">
        <w:t>. Poziom aktywności odpornościowej wykrywanej w hemolimfie larw barciaka większego analizowano w odniesieniu do</w:t>
      </w:r>
      <w:r w:rsidR="00057FC8">
        <w:t xml:space="preserve"> </w:t>
      </w:r>
      <w:r w:rsidR="00E659B3">
        <w:t xml:space="preserve">ekspresji genów kodujących białka i peptydy </w:t>
      </w:r>
      <w:r w:rsidR="00A4760A">
        <w:t xml:space="preserve">wykazujące działanie przeciwbakteryjne lub rozpoznające i </w:t>
      </w:r>
      <w:proofErr w:type="spellStart"/>
      <w:r w:rsidR="00A4760A">
        <w:t>opsonizujące</w:t>
      </w:r>
      <w:proofErr w:type="spellEnd"/>
      <w:r w:rsidR="00A4760A">
        <w:t xml:space="preserve"> patogen. W</w:t>
      </w:r>
      <w:r w:rsidR="00057FC8">
        <w:t xml:space="preserve">śród </w:t>
      </w:r>
      <w:r w:rsidR="00A4760A">
        <w:t>nich</w:t>
      </w:r>
      <w:r w:rsidR="00057FC8">
        <w:t xml:space="preserve"> wymienić należy cekropinę, gallerymycynę, galiomycynę, peptyd anionowy II, </w:t>
      </w:r>
      <w:r w:rsidR="00F90799">
        <w:t xml:space="preserve">inhibitor metaloproteinaz </w:t>
      </w:r>
      <w:r w:rsidR="00057FC8">
        <w:t xml:space="preserve">IMPI, hemolinę oraz apolipoforynę III. Ekspresję tych polipeptydów określano na podstawie ilości </w:t>
      </w:r>
      <w:proofErr w:type="spellStart"/>
      <w:r w:rsidR="00057FC8">
        <w:t>transkryptów</w:t>
      </w:r>
      <w:proofErr w:type="spellEnd"/>
      <w:r w:rsidR="00057FC8">
        <w:t xml:space="preserve"> </w:t>
      </w:r>
      <w:proofErr w:type="spellStart"/>
      <w:r w:rsidR="00057FC8">
        <w:t>mRNA</w:t>
      </w:r>
      <w:proofErr w:type="spellEnd"/>
      <w:r w:rsidR="00057FC8">
        <w:t xml:space="preserve">, wykrywanych za pomocą odwrotnej transkrypcji i Real-Time </w:t>
      </w:r>
      <w:proofErr w:type="spellStart"/>
      <w:r w:rsidR="00057FC8">
        <w:t>qPCR</w:t>
      </w:r>
      <w:proofErr w:type="spellEnd"/>
      <w:r w:rsidR="00057FC8">
        <w:t xml:space="preserve"> w ciele tłuszczowym</w:t>
      </w:r>
      <w:r w:rsidR="003E04B4">
        <w:t xml:space="preserve"> badanych </w:t>
      </w:r>
      <w:r w:rsidR="00057FC8">
        <w:t>owadów.</w:t>
      </w:r>
      <w:r w:rsidR="003E04B4">
        <w:t xml:space="preserve"> </w:t>
      </w:r>
      <w:r w:rsidR="00CA5A49">
        <w:t>Dodatko</w:t>
      </w:r>
      <w:r w:rsidR="00833EF2">
        <w:t>wo porównywano profile białkowe hemolimfy gąsienic</w:t>
      </w:r>
      <w:r w:rsidR="003E04B4">
        <w:t xml:space="preserve"> </w:t>
      </w:r>
      <w:r w:rsidR="003E04B4">
        <w:rPr>
          <w:i/>
        </w:rPr>
        <w:t>G. mellonella</w:t>
      </w:r>
      <w:r w:rsidR="003E04B4">
        <w:t>,</w:t>
      </w:r>
      <w:r w:rsidR="00A4760A">
        <w:t xml:space="preserve"> a </w:t>
      </w:r>
      <w:r w:rsidR="003E04B4">
        <w:t>do ich uzyskania stosowano rozdział jedno- i dwukierunkowy (</w:t>
      </w:r>
      <w:proofErr w:type="spellStart"/>
      <w:r w:rsidR="003E04B4">
        <w:t>SDS-PAGE</w:t>
      </w:r>
      <w:proofErr w:type="spellEnd"/>
      <w:r w:rsidR="003E04B4">
        <w:t xml:space="preserve"> i IEF </w:t>
      </w:r>
      <w:proofErr w:type="spellStart"/>
      <w:r w:rsidR="003E04B4">
        <w:t>SDS-PAGE</w:t>
      </w:r>
      <w:proofErr w:type="spellEnd"/>
      <w:r w:rsidR="003E04B4">
        <w:t xml:space="preserve">) oraz rozdział białek niskocząsteczkowych </w:t>
      </w:r>
      <w:r w:rsidR="00AE58AB">
        <w:t xml:space="preserve">i peptydów </w:t>
      </w:r>
      <w:r w:rsidR="003E04B4">
        <w:t>(tzw. elektro</w:t>
      </w:r>
      <w:r w:rsidR="00A4760A">
        <w:t>forezę</w:t>
      </w:r>
      <w:r w:rsidR="003E04B4">
        <w:t xml:space="preserve"> trycynow</w:t>
      </w:r>
      <w:r w:rsidR="00A4760A">
        <w:t>ą</w:t>
      </w:r>
      <w:r w:rsidR="003E04B4">
        <w:t>)</w:t>
      </w:r>
      <w:r w:rsidR="00833EF2">
        <w:t>.</w:t>
      </w:r>
      <w:r w:rsidR="00AE58AB">
        <w:t xml:space="preserve"> W </w:t>
      </w:r>
      <w:r w:rsidR="003E04B4">
        <w:t>obrazach jednokierunkowych sprawdzano także ilość apolipoforyny III</w:t>
      </w:r>
      <w:r w:rsidR="00AA1EE3">
        <w:t xml:space="preserve">, w tym celu </w:t>
      </w:r>
      <w:r w:rsidR="00A4760A">
        <w:t>używano</w:t>
      </w:r>
      <w:r w:rsidR="00AA1EE3">
        <w:t xml:space="preserve"> specyficzn</w:t>
      </w:r>
      <w:r w:rsidR="00A4760A">
        <w:t>ych</w:t>
      </w:r>
      <w:r w:rsidR="00AA1EE3">
        <w:t xml:space="preserve"> przeciwciał rozpoznając</w:t>
      </w:r>
      <w:r w:rsidR="00A4760A">
        <w:t>ych</w:t>
      </w:r>
      <w:r w:rsidR="00AA1EE3">
        <w:t xml:space="preserve"> to białko (metoda </w:t>
      </w:r>
      <w:proofErr w:type="spellStart"/>
      <w:r w:rsidR="00AA1EE3">
        <w:t>immunodetekcji</w:t>
      </w:r>
      <w:proofErr w:type="spellEnd"/>
      <w:r w:rsidR="00AA1EE3">
        <w:t>).</w:t>
      </w:r>
    </w:p>
    <w:p w:rsidR="00BC2FEB" w:rsidRPr="00681617" w:rsidRDefault="005215DC" w:rsidP="002938F4">
      <w:pPr>
        <w:rPr>
          <w:lang w:eastAsia="pl-PL"/>
        </w:rPr>
      </w:pPr>
      <w:r w:rsidRPr="005215DC">
        <w:t xml:space="preserve">Na podstawie danych uzyskanych w ramach niniejszej pracy można stwierdzić, że </w:t>
      </w:r>
      <w:r w:rsidRPr="005215DC">
        <w:rPr>
          <w:lang w:eastAsia="pl-PL"/>
        </w:rPr>
        <w:t xml:space="preserve">zarówno zmiana warunków temperaturowych, jak i wcześniejsze doświadczenie immunologiczne, mogą w istotny sposób modulować odporność gąsienic </w:t>
      </w:r>
      <w:r w:rsidRPr="005215DC">
        <w:rPr>
          <w:i/>
          <w:lang w:eastAsia="pl-PL"/>
        </w:rPr>
        <w:t>G. mellonella</w:t>
      </w:r>
      <w:r w:rsidRPr="005215DC">
        <w:rPr>
          <w:lang w:eastAsia="pl-PL"/>
        </w:rPr>
        <w:t xml:space="preserve"> w czasie infekcji wywołanej przez bakterie </w:t>
      </w:r>
      <w:r w:rsidRPr="005215DC">
        <w:rPr>
          <w:i/>
          <w:lang w:eastAsia="pl-PL"/>
        </w:rPr>
        <w:t>B. thuringiensis</w:t>
      </w:r>
      <w:r w:rsidRPr="005215DC">
        <w:rPr>
          <w:lang w:eastAsia="pl-PL"/>
        </w:rPr>
        <w:t xml:space="preserve">. </w:t>
      </w:r>
      <w:r w:rsidR="00751498">
        <w:rPr>
          <w:lang w:eastAsia="pl-PL"/>
        </w:rPr>
        <w:t xml:space="preserve">Przy czym w zależności od stosowanego </w:t>
      </w:r>
      <w:proofErr w:type="spellStart"/>
      <w:r w:rsidR="00751498">
        <w:rPr>
          <w:lang w:eastAsia="pl-PL"/>
        </w:rPr>
        <w:t>immunomodulatora</w:t>
      </w:r>
      <w:proofErr w:type="spellEnd"/>
      <w:r w:rsidR="00751498">
        <w:rPr>
          <w:lang w:eastAsia="pl-PL"/>
        </w:rPr>
        <w:t xml:space="preserve"> (</w:t>
      </w:r>
      <w:r w:rsidR="00751498">
        <w:t xml:space="preserve">podwyższonej temperatury lub wcześniejszego </w:t>
      </w:r>
      <w:r w:rsidR="00751498">
        <w:lastRenderedPageBreak/>
        <w:t xml:space="preserve">kontaktu z patogenem), zmianom podlegały różne parametry odpowiedzi humoralnej. </w:t>
      </w:r>
      <w:r w:rsidR="00733862">
        <w:rPr>
          <w:lang w:eastAsia="pl-PL"/>
        </w:rPr>
        <w:t xml:space="preserve">Ekspozycja larw barciaka większego na działanie podwyższonej temperatury bezpośrednio przed aplikacją patogenu, powodowała </w:t>
      </w:r>
      <w:r w:rsidR="00F6230A">
        <w:rPr>
          <w:lang w:eastAsia="pl-PL"/>
        </w:rPr>
        <w:t>zwiększenie aktywności przeciwbakteryjnej w pełnej hemolimfie - w porównaniu do poziomu obserwowanego</w:t>
      </w:r>
      <w:r w:rsidR="00751498">
        <w:rPr>
          <w:lang w:eastAsia="pl-PL"/>
        </w:rPr>
        <w:t xml:space="preserve"> u </w:t>
      </w:r>
      <w:r w:rsidR="00F6230A">
        <w:rPr>
          <w:lang w:eastAsia="pl-PL"/>
        </w:rPr>
        <w:t>gąsienic zakażonych, hodowanych stale w temperaturze optymalnej. Dostrzeżono korelację tych prawidłowości ze wzmożoną ekspresją genów kodujących peptydy odpornościowe (cekropinę, gallerymycynę i galiomycynę) w ciele tłuszczowym gąsienic poddawanych stresowi cieplnemu przed zakażeniem, w odniesieniu do ekspresji tych genów u larw infekowanych i przetrzymywanych w warunkach optymalny</w:t>
      </w:r>
      <w:r w:rsidR="00751498">
        <w:rPr>
          <w:lang w:eastAsia="pl-PL"/>
        </w:rPr>
        <w:t>ch</w:t>
      </w:r>
      <w:r w:rsidR="00F6230A">
        <w:rPr>
          <w:lang w:eastAsia="pl-PL"/>
        </w:rPr>
        <w:t>.</w:t>
      </w:r>
      <w:r w:rsidR="00F90799">
        <w:rPr>
          <w:lang w:eastAsia="pl-PL"/>
        </w:rPr>
        <w:t xml:space="preserve"> Doświadczenie stresu cieplnego bezpośrednio przed </w:t>
      </w:r>
      <w:proofErr w:type="gramStart"/>
      <w:r w:rsidR="00F90799">
        <w:rPr>
          <w:lang w:eastAsia="pl-PL"/>
        </w:rPr>
        <w:t xml:space="preserve">iniekcją </w:t>
      </w:r>
      <w:r w:rsidR="00F90799">
        <w:rPr>
          <w:i/>
          <w:lang w:eastAsia="pl-PL"/>
        </w:rPr>
        <w:t>B</w:t>
      </w:r>
      <w:proofErr w:type="gramEnd"/>
      <w:r w:rsidR="00F90799">
        <w:rPr>
          <w:i/>
          <w:lang w:eastAsia="pl-PL"/>
        </w:rPr>
        <w:t xml:space="preserve">. thuringiensis </w:t>
      </w:r>
      <w:r w:rsidR="00F90799">
        <w:rPr>
          <w:lang w:eastAsia="pl-PL"/>
        </w:rPr>
        <w:t>nie powodowało zmian w ekspresji genu kodującego IMPI</w:t>
      </w:r>
      <w:r w:rsidR="00B30749">
        <w:rPr>
          <w:lang w:eastAsia="pl-PL"/>
        </w:rPr>
        <w:t>, jak również genu kodującego</w:t>
      </w:r>
      <w:r w:rsidR="003239CE">
        <w:rPr>
          <w:lang w:eastAsia="pl-PL"/>
        </w:rPr>
        <w:t xml:space="preserve"> </w:t>
      </w:r>
      <w:r w:rsidR="00F90799">
        <w:rPr>
          <w:lang w:eastAsia="pl-PL"/>
        </w:rPr>
        <w:t>apoLp-III</w:t>
      </w:r>
      <w:r w:rsidR="005004E9">
        <w:rPr>
          <w:lang w:eastAsia="pl-PL"/>
        </w:rPr>
        <w:t xml:space="preserve"> </w:t>
      </w:r>
      <w:r w:rsidR="0015142F">
        <w:rPr>
          <w:lang w:eastAsia="pl-PL"/>
        </w:rPr>
        <w:t>w</w:t>
      </w:r>
      <w:r w:rsidR="00C86657">
        <w:rPr>
          <w:lang w:eastAsia="pl-PL"/>
        </w:rPr>
        <w:t xml:space="preserve"> ciele tłuszczowym </w:t>
      </w:r>
      <w:r w:rsidR="00F90799">
        <w:rPr>
          <w:lang w:eastAsia="pl-PL"/>
        </w:rPr>
        <w:t xml:space="preserve">badanych gąsienic. Natomiast uprzedni kontakt układu immunologicznego gąsienic </w:t>
      </w:r>
      <w:r w:rsidR="00F90799">
        <w:rPr>
          <w:i/>
          <w:lang w:eastAsia="pl-PL"/>
        </w:rPr>
        <w:t>G. mellonella</w:t>
      </w:r>
      <w:r w:rsidR="00F90799">
        <w:rPr>
          <w:lang w:eastAsia="pl-PL"/>
        </w:rPr>
        <w:t xml:space="preserve"> z komórkami patogenu</w:t>
      </w:r>
      <w:r w:rsidR="00BC2FEB">
        <w:rPr>
          <w:lang w:eastAsia="pl-PL"/>
        </w:rPr>
        <w:t xml:space="preserve">, zwiększał poziom aktywności przeciwbakteryjnej generowanej w odpowiedzi na ponowną infekcję. Efekt ten nie wynikał jednak z podwyższonej ekspresji genów kodujących wybrane peptydy odpornościowe (cekropinę, gallerymycynę i </w:t>
      </w:r>
      <w:r w:rsidR="00BC2FEB" w:rsidRPr="00A10056">
        <w:rPr>
          <w:lang w:eastAsia="pl-PL"/>
        </w:rPr>
        <w:t>galiomycynę)</w:t>
      </w:r>
      <w:r w:rsidR="00BC2FEB">
        <w:rPr>
          <w:lang w:eastAsia="pl-PL"/>
        </w:rPr>
        <w:t xml:space="preserve">. Podczas analizy aktywności oksydazy fenolowej w hemolimfie gąsienic, nie stwierdzono istotnych różnic pomiędzy owadami mającymi kontakt z </w:t>
      </w:r>
      <w:r w:rsidR="00577AD2">
        <w:rPr>
          <w:i/>
          <w:lang w:eastAsia="pl-PL"/>
        </w:rPr>
        <w:t>B. thuringiensis</w:t>
      </w:r>
      <w:r w:rsidR="00BC2FEB">
        <w:rPr>
          <w:lang w:eastAsia="pl-PL"/>
        </w:rPr>
        <w:t xml:space="preserve"> po raz pierwsz</w:t>
      </w:r>
      <w:r w:rsidR="002938F4">
        <w:rPr>
          <w:lang w:eastAsia="pl-PL"/>
        </w:rPr>
        <w:t>y, a</w:t>
      </w:r>
      <w:r w:rsidR="00577AD2">
        <w:rPr>
          <w:lang w:eastAsia="pl-PL"/>
        </w:rPr>
        <w:t xml:space="preserve"> zakażanymi </w:t>
      </w:r>
      <w:r w:rsidR="00BC2FEB">
        <w:rPr>
          <w:lang w:eastAsia="pl-PL"/>
        </w:rPr>
        <w:t>ponownie</w:t>
      </w:r>
      <w:r w:rsidR="00577AD2">
        <w:rPr>
          <w:lang w:eastAsia="pl-PL"/>
        </w:rPr>
        <w:t>.</w:t>
      </w:r>
      <w:r w:rsidR="002938F4">
        <w:rPr>
          <w:lang w:eastAsia="pl-PL"/>
        </w:rPr>
        <w:t xml:space="preserve"> Wykazano natomiast, że efekt modulowania wybranych aspektów humoralnej odpowiedzi larw </w:t>
      </w:r>
      <w:r w:rsidR="002938F4">
        <w:rPr>
          <w:i/>
          <w:lang w:eastAsia="pl-PL"/>
        </w:rPr>
        <w:t>G. mellonella</w:t>
      </w:r>
      <w:r w:rsidR="002938F4">
        <w:rPr>
          <w:lang w:eastAsia="pl-PL"/>
        </w:rPr>
        <w:t xml:space="preserve"> na skutek ich wcześniejszej styczności z patogenem, zależny był od dawki oraz wirulentności bakterii </w:t>
      </w:r>
      <w:r w:rsidR="002938F4">
        <w:rPr>
          <w:i/>
          <w:lang w:eastAsia="pl-PL"/>
        </w:rPr>
        <w:t>B. thuringiensis</w:t>
      </w:r>
      <w:r w:rsidR="002938F4">
        <w:rPr>
          <w:lang w:eastAsia="pl-PL"/>
        </w:rPr>
        <w:t>.</w:t>
      </w:r>
      <w:r w:rsidR="00681617">
        <w:rPr>
          <w:lang w:eastAsia="pl-PL"/>
        </w:rPr>
        <w:t xml:space="preserve"> Zjawisko zwiększonej odporności gąsienic barciaka większego na ponowną infekcję powiązano z tzw. piętnowaniem odporności (ang. </w:t>
      </w:r>
      <w:proofErr w:type="spellStart"/>
      <w:r w:rsidR="00681617">
        <w:rPr>
          <w:i/>
          <w:lang w:eastAsia="pl-PL"/>
        </w:rPr>
        <w:t>immune</w:t>
      </w:r>
      <w:proofErr w:type="spellEnd"/>
      <w:r w:rsidR="00681617">
        <w:rPr>
          <w:i/>
          <w:lang w:eastAsia="pl-PL"/>
        </w:rPr>
        <w:t xml:space="preserve"> </w:t>
      </w:r>
      <w:proofErr w:type="spellStart"/>
      <w:r w:rsidR="00681617">
        <w:rPr>
          <w:i/>
          <w:lang w:eastAsia="pl-PL"/>
        </w:rPr>
        <w:t>priming</w:t>
      </w:r>
      <w:proofErr w:type="spellEnd"/>
      <w:r w:rsidR="00681617">
        <w:rPr>
          <w:lang w:eastAsia="pl-PL"/>
        </w:rPr>
        <w:t xml:space="preserve">), które </w:t>
      </w:r>
      <w:r w:rsidR="00082C82">
        <w:rPr>
          <w:lang w:eastAsia="pl-PL"/>
        </w:rPr>
        <w:t>wiąże się z wykształcaniem swego rodzaju „pamięci immunologicznej” u owadów mających ponowny kontakt z patogenem.</w:t>
      </w:r>
    </w:p>
    <w:p w:rsidR="00FE567C" w:rsidRPr="00FE567C" w:rsidRDefault="00624794" w:rsidP="00624794">
      <w:r w:rsidRPr="005215DC">
        <w:rPr>
          <w:lang w:eastAsia="pl-PL"/>
        </w:rPr>
        <w:t>Prezentowan</w:t>
      </w:r>
      <w:r>
        <w:rPr>
          <w:lang w:eastAsia="pl-PL"/>
        </w:rPr>
        <w:t>e badania</w:t>
      </w:r>
      <w:r w:rsidRPr="005215DC">
        <w:rPr>
          <w:lang w:eastAsia="pl-PL"/>
        </w:rPr>
        <w:t xml:space="preserve"> stanowią cenn</w:t>
      </w:r>
      <w:r>
        <w:rPr>
          <w:lang w:eastAsia="pl-PL"/>
        </w:rPr>
        <w:t>y</w:t>
      </w:r>
      <w:r w:rsidRPr="005215DC">
        <w:rPr>
          <w:lang w:eastAsia="pl-PL"/>
        </w:rPr>
        <w:t xml:space="preserve"> </w:t>
      </w:r>
      <w:r>
        <w:rPr>
          <w:lang w:eastAsia="pl-PL"/>
        </w:rPr>
        <w:t>wkład w</w:t>
      </w:r>
      <w:r w:rsidRPr="005215DC">
        <w:rPr>
          <w:lang w:eastAsia="pl-PL"/>
        </w:rPr>
        <w:t xml:space="preserve"> </w:t>
      </w:r>
      <w:r>
        <w:rPr>
          <w:lang w:eastAsia="pl-PL"/>
        </w:rPr>
        <w:t>wiedzę</w:t>
      </w:r>
      <w:r w:rsidRPr="005215DC">
        <w:rPr>
          <w:lang w:eastAsia="pl-PL"/>
        </w:rPr>
        <w:t xml:space="preserve"> </w:t>
      </w:r>
      <w:r>
        <w:rPr>
          <w:lang w:eastAsia="pl-PL"/>
        </w:rPr>
        <w:t>dotyczącą</w:t>
      </w:r>
      <w:r w:rsidRPr="005215DC">
        <w:rPr>
          <w:lang w:eastAsia="pl-PL"/>
        </w:rPr>
        <w:t xml:space="preserve"> modulacji odporności owadów przez czynniki środowiskowe. </w:t>
      </w:r>
      <w:r>
        <w:rPr>
          <w:lang w:eastAsia="pl-PL"/>
        </w:rPr>
        <w:t>Niniejsza praca ukazuje, że f</w:t>
      </w:r>
      <w:r w:rsidR="00FE567C" w:rsidRPr="00C35EB0">
        <w:t>unkcjonowa</w:t>
      </w:r>
      <w:r>
        <w:t>nie układu odpornościowego owadów</w:t>
      </w:r>
      <w:r w:rsidR="00FE567C" w:rsidRPr="00C35EB0">
        <w:t xml:space="preserve"> </w:t>
      </w:r>
      <w:r>
        <w:t>jest</w:t>
      </w:r>
      <w:r w:rsidR="00FE567C" w:rsidRPr="00C35EB0">
        <w:t xml:space="preserve"> wypadkową oddziaływań </w:t>
      </w:r>
      <w:r>
        <w:t>różn</w:t>
      </w:r>
      <w:r w:rsidR="00681617">
        <w:t>orodn</w:t>
      </w:r>
      <w:r>
        <w:t xml:space="preserve">ych </w:t>
      </w:r>
      <w:r w:rsidR="00FE567C" w:rsidRPr="00C35EB0">
        <w:t xml:space="preserve">czynników środowiskowych </w:t>
      </w:r>
      <w:r>
        <w:t xml:space="preserve">na poszczególne mechanizmy </w:t>
      </w:r>
      <w:r w:rsidR="00FE567C" w:rsidRPr="00C35EB0">
        <w:t>odpowiedzi immunologicznej</w:t>
      </w:r>
      <w:r>
        <w:t>.</w:t>
      </w:r>
    </w:p>
    <w:p w:rsidR="00D628F5" w:rsidRDefault="00D628F5"/>
    <w:p w:rsidR="00D628F5" w:rsidRDefault="00D628F5" w:rsidP="003C0F61">
      <w:pPr>
        <w:ind w:firstLine="0"/>
        <w:outlineLvl w:val="0"/>
      </w:pPr>
      <w:r>
        <w:rPr>
          <w:b/>
        </w:rPr>
        <w:t xml:space="preserve">Słowa kluczowe: </w:t>
      </w:r>
      <w:r w:rsidR="00681617">
        <w:rPr>
          <w:i/>
        </w:rPr>
        <w:t>G. mellonella</w:t>
      </w:r>
      <w:r w:rsidR="00681617">
        <w:t xml:space="preserve">, </w:t>
      </w:r>
      <w:r w:rsidR="00681617">
        <w:rPr>
          <w:i/>
        </w:rPr>
        <w:t>B. thuringiensis</w:t>
      </w:r>
      <w:r w:rsidR="00681617">
        <w:t xml:space="preserve">, modulacja odpowiedzi immunologicznej, stres temperaturowy, piętnowanie odporności (ang. </w:t>
      </w:r>
      <w:proofErr w:type="spellStart"/>
      <w:r w:rsidR="00681617">
        <w:rPr>
          <w:i/>
        </w:rPr>
        <w:t>immune</w:t>
      </w:r>
      <w:proofErr w:type="spellEnd"/>
      <w:r w:rsidR="00681617">
        <w:rPr>
          <w:i/>
        </w:rPr>
        <w:t xml:space="preserve"> </w:t>
      </w:r>
      <w:proofErr w:type="spellStart"/>
      <w:r w:rsidR="00681617">
        <w:rPr>
          <w:i/>
        </w:rPr>
        <w:t>priming</w:t>
      </w:r>
      <w:proofErr w:type="spellEnd"/>
      <w:r w:rsidR="00681617">
        <w:t>)</w:t>
      </w:r>
    </w:p>
    <w:p w:rsidR="00082C82" w:rsidRDefault="00082C82" w:rsidP="003C0F61">
      <w:pPr>
        <w:ind w:firstLine="0"/>
        <w:outlineLvl w:val="0"/>
        <w:rPr>
          <w:b/>
        </w:rPr>
      </w:pPr>
      <w:r>
        <w:rPr>
          <w:b/>
        </w:rPr>
        <w:lastRenderedPageBreak/>
        <w:t>Literatura:</w:t>
      </w:r>
    </w:p>
    <w:p w:rsidR="00082C82" w:rsidRPr="003D64CA" w:rsidRDefault="00082C82" w:rsidP="003C0F61">
      <w:pPr>
        <w:ind w:firstLine="0"/>
        <w:outlineLvl w:val="0"/>
        <w:rPr>
          <w:rFonts w:asciiTheme="majorHAnsi" w:hAnsiTheme="majorHAnsi"/>
          <w:b/>
          <w:sz w:val="21"/>
          <w:szCs w:val="21"/>
        </w:rPr>
      </w:pPr>
    </w:p>
    <w:p w:rsidR="00082C82" w:rsidRPr="004C5C5B" w:rsidRDefault="00082C82" w:rsidP="00082C82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Adamo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S.A., 1998, The specificity of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behavioural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fever in the cricket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Acheta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domesticus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Journal of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Parasitology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>, 84, s.: 529-533</w:t>
      </w:r>
    </w:p>
    <w:p w:rsidR="00082C82" w:rsidRPr="004C5C5B" w:rsidRDefault="00082C82" w:rsidP="00082C82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Anderson R.D.,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S., Jenkins N.E., Thomas M.B., 2013, Discriminating fever behavior in house flies,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PLoS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ONE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, 8 (4), nr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artykułu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e62269, s.: 1-4</w:t>
      </w:r>
    </w:p>
    <w:p w:rsidR="00082C82" w:rsidRPr="004C5C5B" w:rsidRDefault="00082C82" w:rsidP="00082C82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Arthurs S., Thomas M.B., 2001, Effect of dose, pre-mortem host incubation temperature and thermal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behaviour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on host mortality, mycosis and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sporulation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of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Metarhizium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anisopliae</w:t>
      </w:r>
      <w:proofErr w:type="spellEnd"/>
      <w:r w:rsidRPr="004C5C5B">
        <w:rPr>
          <w:rFonts w:asciiTheme="majorHAnsi" w:hAnsiTheme="majorHAnsi" w:cs="AdvGulliv-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var.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acridum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in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Schistocerca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gregaria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Biocontrol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Science and Technology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11, s.: 411-420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Thomas M.B., 1999, Host thermal biology: the key to understanding host–pathogen interactions and microbial pest control?,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Agricultural and Forest Entomology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1, s.: 195-202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Bundey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S., Raymond S., Dean P., Roberts S.K., Dillon R.J.,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Charnley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A.K., 2003,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Eicosanoid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involvement in the regulation of behavioral fever in the desert locust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Schistocerca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gregaria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Archives of Insect Biochemistry and 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52 (4), s.: 183-192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Catalán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T.P., Wozniak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A.,Niemeyer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H.M.,Kalergis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A.M.,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Bozinovic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F., 2012, Interplay between thermal and immune ecology: Effect of environmental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>temperature on insect immune response and energetic costs after an immune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challenge,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Insect 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58, s.: 310–317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Elliot S.L.,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Thomas M.B., 2002, Host–pathogen interactions in a varying environment: temperature,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behavioural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fever and fitness,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Proceedings of the Royal Society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B: Biological Sciences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269, s.: 1599–1607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 w:eastAsia="pl-PL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Konkel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M.E.,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Tilly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K., 2000, Temperature-regulated expression of bacterial virulence genes,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Microbes and Infection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2, s.: 157-166</w:t>
      </w:r>
    </w:p>
    <w:p w:rsidR="003D64CA" w:rsidRPr="003D64CA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Linder J.E.,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Owers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K.A.,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Promislow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D.E.L., 2008, The effects of temperature on host–pathogen interactions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D. melanogaster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: Who benefits?,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Insect</w:t>
      </w:r>
      <w:r w:rsidRPr="004C5C5B">
        <w:rPr>
          <w:rFonts w:asciiTheme="majorHAnsi" w:eastAsia="AdvTimes" w:hAnsiTheme="majorHAnsi" w:cs="AdvTimes"/>
          <w:i/>
          <w:sz w:val="21"/>
          <w:szCs w:val="21"/>
          <w:lang w:val="en-US" w:eastAsia="pl-PL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Physiology</w:t>
      </w:r>
      <w:r w:rsidRPr="004C5C5B">
        <w:rPr>
          <w:rFonts w:asciiTheme="majorHAnsi" w:hAnsiTheme="majorHAnsi"/>
          <w:sz w:val="21"/>
          <w:szCs w:val="21"/>
          <w:lang w:val="en-US"/>
        </w:rPr>
        <w:t>, 54,s.: 297–308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Ouedraogo R.,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Cusson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Goettel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Brodeur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J., 2003, Inhibition of fungal growth in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thermoregulating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locusts,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Locusta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migratoria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infected by the fungus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Metarhizium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>anisopliae</w:t>
      </w:r>
      <w:proofErr w:type="spellEnd"/>
      <w:r w:rsidRPr="004C5C5B">
        <w:rPr>
          <w:rFonts w:asciiTheme="majorHAnsi" w:hAnsiTheme="majorHAnsi"/>
          <w:i/>
          <w:iCs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var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acridum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Journal of Invertebrate Pathology</w:t>
      </w:r>
      <w:r w:rsidRPr="004C5C5B">
        <w:rPr>
          <w:rFonts w:asciiTheme="majorHAnsi" w:hAnsiTheme="majorHAnsi"/>
          <w:sz w:val="21"/>
          <w:szCs w:val="21"/>
          <w:lang w:val="en-US"/>
        </w:rPr>
        <w:t>, 82, s.: 103-109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Pham L.N., Dionne M.S.,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Shirasu-Hiza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M., Schneider D.S., 2007, A specific primed immune response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Drosophila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is dependent on phagocytes,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PLoS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Pathogens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, 3 (3),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numer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artykułu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e26, s.: 1-8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Rodrigues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J.,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Brayner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F.A.,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Alves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L.C., Dixit R., Barillas-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Mury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C., 2010, Hemocyte differentiation mediates innate immune memory in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Anopheles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gambiae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mosquitoes,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Science</w:t>
      </w:r>
      <w:r w:rsidRPr="004C5C5B">
        <w:rPr>
          <w:rFonts w:asciiTheme="majorHAnsi" w:hAnsiTheme="majorHAnsi"/>
          <w:sz w:val="21"/>
          <w:szCs w:val="21"/>
          <w:lang w:val="en-US"/>
        </w:rPr>
        <w:t>, 329 (5997), s.: 1353-1355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Roth O.,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Sadd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B.M.,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Schmid-Hempel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P., Kurtz J., 2009, Strain-specific priming of resistance in the red flour beetle,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Tribolium</w:t>
      </w:r>
      <w:proofErr w:type="spellEnd"/>
      <w:r w:rsidRPr="004C5C5B">
        <w:rPr>
          <w:rFonts w:asciiTheme="majorHAnsi" w:hAnsiTheme="majorHAnsi"/>
          <w:i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i/>
          <w:sz w:val="21"/>
          <w:szCs w:val="21"/>
          <w:lang w:val="en-US"/>
        </w:rPr>
        <w:t>castaneum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Proceedings of the Royal Society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B: Biological Sciences</w:t>
      </w:r>
      <w:r w:rsidRPr="004C5C5B">
        <w:rPr>
          <w:rFonts w:asciiTheme="majorHAnsi" w:hAnsiTheme="majorHAnsi"/>
          <w:sz w:val="21"/>
          <w:szCs w:val="21"/>
          <w:lang w:val="en-US"/>
        </w:rPr>
        <w:t>, 276 (1654), s.: 145-151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lastRenderedPageBreak/>
        <w:t>Sadd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B.M.,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Schmid-Hempel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P., 2006, Insect immunity shows specificity in protection upon secondary pathogen exposure,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Current Biology</w:t>
      </w:r>
      <w:r w:rsidRPr="004C5C5B">
        <w:rPr>
          <w:rFonts w:asciiTheme="majorHAnsi" w:hAnsiTheme="majorHAnsi"/>
          <w:sz w:val="21"/>
          <w:szCs w:val="21"/>
          <w:lang w:val="en-US"/>
        </w:rPr>
        <w:t>, 16, s.: 1206-1210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Thomas M.B., </w:t>
      </w:r>
      <w:proofErr w:type="spellStart"/>
      <w:r w:rsidRPr="004C5C5B">
        <w:rPr>
          <w:rFonts w:asciiTheme="majorHAnsi" w:hAnsiTheme="majorHAnsi"/>
          <w:sz w:val="21"/>
          <w:szCs w:val="21"/>
          <w:lang w:val="en-US" w:eastAsia="pl-PL"/>
        </w:rPr>
        <w:t>Blanford</w:t>
      </w:r>
      <w:proofErr w:type="spellEnd"/>
      <w:r w:rsidRPr="004C5C5B">
        <w:rPr>
          <w:rFonts w:asciiTheme="majorHAnsi" w:hAnsiTheme="majorHAnsi"/>
          <w:sz w:val="21"/>
          <w:szCs w:val="21"/>
          <w:lang w:val="en-US" w:eastAsia="pl-PL"/>
        </w:rPr>
        <w:t xml:space="preserve"> S., 2003, Thermal biology in insect–parasite interactions, </w:t>
      </w:r>
      <w:r w:rsidRPr="004C5C5B">
        <w:rPr>
          <w:rFonts w:asciiTheme="majorHAnsi" w:hAnsiTheme="majorHAnsi"/>
          <w:i/>
          <w:sz w:val="21"/>
          <w:szCs w:val="21"/>
          <w:lang w:val="en-US" w:eastAsia="pl-PL"/>
        </w:rPr>
        <w:t>Trends in Ecology and Evolution</w:t>
      </w:r>
      <w:r w:rsidRPr="004C5C5B">
        <w:rPr>
          <w:rFonts w:asciiTheme="majorHAnsi" w:hAnsiTheme="majorHAnsi"/>
          <w:sz w:val="21"/>
          <w:szCs w:val="21"/>
          <w:lang w:val="en-US" w:eastAsia="pl-PL"/>
        </w:rPr>
        <w:t>, 18, s.: 344-350</w:t>
      </w:r>
    </w:p>
    <w:p w:rsidR="003D64CA" w:rsidRPr="004C5C5B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Wu G.,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Xu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L., Yi Y., 2016,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Galleria mellonella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larvae are capable of sensing the</w:t>
      </w:r>
      <w:r w:rsidRPr="004C5C5B">
        <w:rPr>
          <w:rFonts w:asciiTheme="majorHAnsi" w:hAnsiTheme="majorHAnsi" w:cs="EIMPK B+ Gulliver RM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extent of priming agent and mounting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proportionatal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 cellular and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humoral</w:t>
      </w:r>
      <w:proofErr w:type="spellEnd"/>
      <w:r w:rsidRPr="004C5C5B">
        <w:rPr>
          <w:rFonts w:asciiTheme="majorHAnsi" w:hAnsiTheme="majorHAnsi" w:cs="EIMPK B+ Gulliver RM"/>
          <w:sz w:val="21"/>
          <w:szCs w:val="21"/>
          <w:lang w:val="en-US"/>
        </w:rPr>
        <w:t xml:space="preserve"> </w:t>
      </w:r>
      <w:proofErr w:type="spellStart"/>
      <w:r w:rsidRPr="004C5C5B">
        <w:rPr>
          <w:rFonts w:asciiTheme="majorHAnsi" w:hAnsiTheme="majorHAnsi"/>
          <w:sz w:val="21"/>
          <w:szCs w:val="21"/>
          <w:lang w:val="en-US"/>
        </w:rPr>
        <w:t>immuneresponses</w:t>
      </w:r>
      <w:proofErr w:type="spellEnd"/>
      <w:r w:rsidRPr="004C5C5B">
        <w:rPr>
          <w:rFonts w:asciiTheme="majorHAnsi" w:hAnsiTheme="majorHAnsi"/>
          <w:sz w:val="21"/>
          <w:szCs w:val="21"/>
          <w:lang w:val="en-US"/>
        </w:rPr>
        <w:t xml:space="preserve">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Immunology Letters</w:t>
      </w:r>
      <w:r w:rsidRPr="004C5C5B">
        <w:rPr>
          <w:rFonts w:asciiTheme="majorHAnsi" w:hAnsiTheme="majorHAnsi"/>
          <w:sz w:val="21"/>
          <w:szCs w:val="21"/>
          <w:lang w:val="en-US"/>
        </w:rPr>
        <w:t>, 174, s.: 45-52</w:t>
      </w:r>
    </w:p>
    <w:p w:rsidR="003D64CA" w:rsidRPr="003D64CA" w:rsidRDefault="003D64CA" w:rsidP="003D64CA">
      <w:pPr>
        <w:pStyle w:val="Akapitzlist"/>
        <w:numPr>
          <w:ilvl w:val="0"/>
          <w:numId w:val="17"/>
        </w:numPr>
        <w:ind w:left="426"/>
        <w:rPr>
          <w:rFonts w:asciiTheme="majorHAnsi" w:hAnsiTheme="majorHAnsi"/>
          <w:sz w:val="21"/>
          <w:szCs w:val="21"/>
          <w:lang w:val="en-US"/>
        </w:rPr>
      </w:pPr>
      <w:r w:rsidRPr="004C5C5B">
        <w:rPr>
          <w:rFonts w:asciiTheme="majorHAnsi" w:hAnsiTheme="majorHAnsi"/>
          <w:sz w:val="21"/>
          <w:szCs w:val="21"/>
          <w:lang w:val="en-US"/>
        </w:rPr>
        <w:t xml:space="preserve">Wu G.Q., Yi Y.H., 2015, Effects of dietary heavy metals on the immune and antioxidant systems of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Galleria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mellonella</w:t>
      </w:r>
      <w:r w:rsidRPr="004C5C5B">
        <w:rPr>
          <w:rFonts w:asciiTheme="majorHAnsi" w:hAnsiTheme="majorHAnsi"/>
          <w:sz w:val="21"/>
          <w:szCs w:val="21"/>
          <w:lang w:val="en-US"/>
        </w:rPr>
        <w:t xml:space="preserve"> larvae,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Comparative Biochemistry and</w:t>
      </w:r>
      <w:r w:rsidRPr="004C5C5B">
        <w:rPr>
          <w:rFonts w:asciiTheme="majorHAnsi" w:hAnsiTheme="majorHAnsi" w:cs="Arial"/>
          <w:i/>
          <w:color w:val="545454"/>
          <w:sz w:val="21"/>
          <w:szCs w:val="21"/>
          <w:shd w:val="clear" w:color="auto" w:fill="FFFFFF"/>
          <w:lang w:val="en-US"/>
        </w:rPr>
        <w:t xml:space="preserve"> </w:t>
      </w:r>
      <w:r w:rsidRPr="004C5C5B">
        <w:rPr>
          <w:rFonts w:asciiTheme="majorHAnsi" w:hAnsiTheme="majorHAnsi"/>
          <w:i/>
          <w:sz w:val="21"/>
          <w:szCs w:val="21"/>
          <w:lang w:val="en-US"/>
        </w:rPr>
        <w:t>Physiology Part C: Toxicology and Pharmacology</w:t>
      </w:r>
      <w:r w:rsidRPr="004C5C5B">
        <w:rPr>
          <w:rFonts w:asciiTheme="majorHAnsi" w:hAnsiTheme="majorHAnsi"/>
          <w:sz w:val="21"/>
          <w:szCs w:val="21"/>
          <w:lang w:val="en-US"/>
        </w:rPr>
        <w:t>, 167, s.: 131-139</w:t>
      </w:r>
    </w:p>
    <w:p w:rsidR="00D628F5" w:rsidRPr="004C5C5B" w:rsidRDefault="00D628F5">
      <w:pPr>
        <w:rPr>
          <w:rFonts w:asciiTheme="majorHAnsi" w:hAnsiTheme="majorHAnsi"/>
          <w:sz w:val="21"/>
          <w:szCs w:val="21"/>
          <w:lang w:val="en-US"/>
        </w:rPr>
      </w:pPr>
    </w:p>
    <w:sectPr w:rsidR="00D628F5" w:rsidRPr="004C5C5B" w:rsidSect="00C66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67" w:rsidRDefault="008E3367" w:rsidP="00445E83">
      <w:pPr>
        <w:spacing w:line="240" w:lineRule="auto"/>
      </w:pPr>
      <w:r>
        <w:separator/>
      </w:r>
    </w:p>
  </w:endnote>
  <w:endnote w:type="continuationSeparator" w:id="0">
    <w:p w:rsidR="008E3367" w:rsidRDefault="008E3367" w:rsidP="00445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Gulliv-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Times">
    <w:charset w:val="00"/>
    <w:family w:val="auto"/>
    <w:pitch w:val="variable"/>
    <w:sig w:usb0="00000000" w:usb1="00000000" w:usb2="00000000" w:usb3="00000000" w:csb0="00000000" w:csb1="00000000"/>
  </w:font>
  <w:font w:name="EIMPK B+ Gulliver RM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161"/>
      <w:docPartObj>
        <w:docPartGallery w:val="Page Numbers (Bottom of Page)"/>
        <w:docPartUnique/>
      </w:docPartObj>
    </w:sdtPr>
    <w:sdtContent>
      <w:p w:rsidR="00127607" w:rsidRDefault="0033714F">
        <w:pPr>
          <w:pStyle w:val="Stopka"/>
          <w:jc w:val="center"/>
        </w:pPr>
        <w:fldSimple w:instr=" PAGE   \* MERGEFORMAT ">
          <w:r w:rsidR="004C4A0E">
            <w:rPr>
              <w:noProof/>
            </w:rPr>
            <w:t>1</w:t>
          </w:r>
        </w:fldSimple>
      </w:p>
    </w:sdtContent>
  </w:sdt>
  <w:p w:rsidR="00127607" w:rsidRDefault="001276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67" w:rsidRDefault="008E3367" w:rsidP="00445E83">
      <w:pPr>
        <w:spacing w:line="240" w:lineRule="auto"/>
      </w:pPr>
      <w:r>
        <w:separator/>
      </w:r>
    </w:p>
  </w:footnote>
  <w:footnote w:type="continuationSeparator" w:id="0">
    <w:p w:rsidR="008E3367" w:rsidRDefault="008E3367" w:rsidP="00445E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DE2"/>
    <w:multiLevelType w:val="hybridMultilevel"/>
    <w:tmpl w:val="46B4CD5E"/>
    <w:lvl w:ilvl="0" w:tplc="75BADFBC">
      <w:start w:val="1"/>
      <w:numFmt w:val="ordinal"/>
      <w:lvlText w:val="Rysunek %1"/>
      <w:lvlJc w:val="left"/>
      <w:pPr>
        <w:ind w:left="360" w:hanging="360"/>
      </w:pPr>
      <w:rPr>
        <w:rFonts w:ascii="Cambria" w:hAnsi="Cambria" w:hint="default"/>
        <w:b/>
        <w:i w:val="0"/>
        <w:color w:val="auto"/>
      </w:rPr>
    </w:lvl>
    <w:lvl w:ilvl="1" w:tplc="8C843B2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3FA"/>
    <w:multiLevelType w:val="multilevel"/>
    <w:tmpl w:val="3B325F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ytu"/>
      <w:lvlText w:val="%1.%2.%3."/>
      <w:lvlJc w:val="left"/>
      <w:pPr>
        <w:ind w:left="851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BB00D2"/>
    <w:multiLevelType w:val="hybridMultilevel"/>
    <w:tmpl w:val="29AAC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841"/>
    <w:multiLevelType w:val="hybridMultilevel"/>
    <w:tmpl w:val="25C0A72C"/>
    <w:lvl w:ilvl="0" w:tplc="BAC47A2C">
      <w:start w:val="1"/>
      <w:numFmt w:val="decimal"/>
      <w:pStyle w:val="Podtytu"/>
      <w:lvlText w:val="Tabel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16FEC"/>
    <w:multiLevelType w:val="multilevel"/>
    <w:tmpl w:val="37727702"/>
    <w:styleLink w:val="numeracja"/>
    <w:lvl w:ilvl="0">
      <w:start w:val="1"/>
      <w:numFmt w:val="ordinal"/>
      <w:pStyle w:val="Nagwek1"/>
      <w:suff w:val="space"/>
      <w:lvlText w:val="%1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ordinal"/>
      <w:pStyle w:val="Nagwek2"/>
      <w:suff w:val="space"/>
      <w:lvlText w:val="%1%2"/>
      <w:lvlJc w:val="left"/>
      <w:pPr>
        <w:ind w:left="4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ordinal"/>
      <w:pStyle w:val="Nagwek4"/>
      <w:suff w:val="space"/>
      <w:lvlText w:val="%1%2%3"/>
      <w:lvlJc w:val="left"/>
      <w:pPr>
        <w:ind w:left="851" w:firstLine="0"/>
      </w:pPr>
      <w:rPr>
        <w:rFonts w:ascii="Cambria" w:hAnsi="Cambria" w:hint="default"/>
        <w:b/>
        <w:i w:val="0"/>
        <w:sz w:val="24"/>
      </w:rPr>
    </w:lvl>
    <w:lvl w:ilvl="3">
      <w:start w:val="1"/>
      <w:numFmt w:val="ordinal"/>
      <w:pStyle w:val="Nagwek5"/>
      <w:suff w:val="space"/>
      <w:lvlText w:val="%1%2%3%4"/>
      <w:lvlJc w:val="left"/>
      <w:pPr>
        <w:ind w:left="1134" w:firstLine="0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680D1995"/>
    <w:multiLevelType w:val="hybridMultilevel"/>
    <w:tmpl w:val="A782A0FE"/>
    <w:lvl w:ilvl="0" w:tplc="AC3C07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7C805C8"/>
    <w:multiLevelType w:val="hybridMultilevel"/>
    <w:tmpl w:val="7B444FAA"/>
    <w:lvl w:ilvl="0" w:tplc="271A8806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  <w:i w:val="0"/>
      </w:rPr>
    </w:lvl>
    <w:lvl w:ilvl="1" w:tplc="E6C4A2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7A46"/>
    <w:multiLevelType w:val="hybridMultilevel"/>
    <w:tmpl w:val="2328077E"/>
    <w:lvl w:ilvl="0" w:tplc="A1F8494A">
      <w:start w:val="1"/>
      <w:numFmt w:val="ordinal"/>
      <w:pStyle w:val="Bezodstpw"/>
      <w:lvlText w:val="Rysunek %1"/>
      <w:lvlJc w:val="right"/>
      <w:pPr>
        <w:ind w:left="360" w:hanging="360"/>
      </w:pPr>
      <w:rPr>
        <w:rFonts w:ascii="Cambria" w:hAnsi="Cambri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83"/>
    <w:rsid w:val="000056C8"/>
    <w:rsid w:val="00026F1E"/>
    <w:rsid w:val="00032E88"/>
    <w:rsid w:val="00034AB5"/>
    <w:rsid w:val="00057FC8"/>
    <w:rsid w:val="00064126"/>
    <w:rsid w:val="00064B3A"/>
    <w:rsid w:val="00067EFC"/>
    <w:rsid w:val="00082C82"/>
    <w:rsid w:val="000F2392"/>
    <w:rsid w:val="00107002"/>
    <w:rsid w:val="00127607"/>
    <w:rsid w:val="0015142F"/>
    <w:rsid w:val="00153FB5"/>
    <w:rsid w:val="0017118E"/>
    <w:rsid w:val="00176EF9"/>
    <w:rsid w:val="001A097B"/>
    <w:rsid w:val="001F0F30"/>
    <w:rsid w:val="00260780"/>
    <w:rsid w:val="002938F4"/>
    <w:rsid w:val="002A00CF"/>
    <w:rsid w:val="003239CE"/>
    <w:rsid w:val="00327749"/>
    <w:rsid w:val="0033714F"/>
    <w:rsid w:val="003C0F61"/>
    <w:rsid w:val="003D64CA"/>
    <w:rsid w:val="003E04B4"/>
    <w:rsid w:val="00445E83"/>
    <w:rsid w:val="00460CBE"/>
    <w:rsid w:val="004B2716"/>
    <w:rsid w:val="004C4A0E"/>
    <w:rsid w:val="004C5BCC"/>
    <w:rsid w:val="004C5C5B"/>
    <w:rsid w:val="005004E9"/>
    <w:rsid w:val="005215DC"/>
    <w:rsid w:val="005647D6"/>
    <w:rsid w:val="00577AD2"/>
    <w:rsid w:val="00592F36"/>
    <w:rsid w:val="00624794"/>
    <w:rsid w:val="00654D9B"/>
    <w:rsid w:val="00681617"/>
    <w:rsid w:val="00685099"/>
    <w:rsid w:val="006A19D8"/>
    <w:rsid w:val="006D2083"/>
    <w:rsid w:val="00701257"/>
    <w:rsid w:val="0070630D"/>
    <w:rsid w:val="00733862"/>
    <w:rsid w:val="00751498"/>
    <w:rsid w:val="0077118C"/>
    <w:rsid w:val="007D3A7B"/>
    <w:rsid w:val="00833EF2"/>
    <w:rsid w:val="0087440C"/>
    <w:rsid w:val="008812E7"/>
    <w:rsid w:val="008841F4"/>
    <w:rsid w:val="00897D18"/>
    <w:rsid w:val="008A6CDE"/>
    <w:rsid w:val="008B56F0"/>
    <w:rsid w:val="008D5BC8"/>
    <w:rsid w:val="008E3367"/>
    <w:rsid w:val="00916473"/>
    <w:rsid w:val="00950799"/>
    <w:rsid w:val="00991F32"/>
    <w:rsid w:val="009D1BE9"/>
    <w:rsid w:val="00A12852"/>
    <w:rsid w:val="00A4760A"/>
    <w:rsid w:val="00A662CC"/>
    <w:rsid w:val="00AA1EE3"/>
    <w:rsid w:val="00AA45D0"/>
    <w:rsid w:val="00AB2E0F"/>
    <w:rsid w:val="00AE58AB"/>
    <w:rsid w:val="00B05968"/>
    <w:rsid w:val="00B30749"/>
    <w:rsid w:val="00B81F41"/>
    <w:rsid w:val="00BA27F7"/>
    <w:rsid w:val="00BA3957"/>
    <w:rsid w:val="00BC0160"/>
    <w:rsid w:val="00BC2FEB"/>
    <w:rsid w:val="00BC5ADC"/>
    <w:rsid w:val="00C0408E"/>
    <w:rsid w:val="00C04D8F"/>
    <w:rsid w:val="00C35EB0"/>
    <w:rsid w:val="00C4730A"/>
    <w:rsid w:val="00C52A2A"/>
    <w:rsid w:val="00C66333"/>
    <w:rsid w:val="00C86657"/>
    <w:rsid w:val="00CA2142"/>
    <w:rsid w:val="00CA5A49"/>
    <w:rsid w:val="00D263C9"/>
    <w:rsid w:val="00D468C4"/>
    <w:rsid w:val="00D628F5"/>
    <w:rsid w:val="00DA30BC"/>
    <w:rsid w:val="00DB505C"/>
    <w:rsid w:val="00DC08A0"/>
    <w:rsid w:val="00DF3CA6"/>
    <w:rsid w:val="00DF4BDA"/>
    <w:rsid w:val="00E547BE"/>
    <w:rsid w:val="00E659B3"/>
    <w:rsid w:val="00E71976"/>
    <w:rsid w:val="00E76D99"/>
    <w:rsid w:val="00EA4919"/>
    <w:rsid w:val="00ED14D6"/>
    <w:rsid w:val="00F01F20"/>
    <w:rsid w:val="00F40EA6"/>
    <w:rsid w:val="00F53E2D"/>
    <w:rsid w:val="00F60695"/>
    <w:rsid w:val="00F6230A"/>
    <w:rsid w:val="00F90799"/>
    <w:rsid w:val="00FA63D0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445E83"/>
    <w:pPr>
      <w:spacing w:line="360" w:lineRule="auto"/>
      <w:ind w:firstLine="851"/>
      <w:contextualSpacing/>
      <w:jc w:val="both"/>
    </w:pPr>
    <w:rPr>
      <w:rFonts w:ascii="Cambria" w:hAnsi="Cambria"/>
      <w:sz w:val="24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autoRedefine/>
    <w:uiPriority w:val="9"/>
    <w:qFormat/>
    <w:rsid w:val="008B56F0"/>
    <w:pPr>
      <w:keepNext/>
      <w:keepLines/>
      <w:numPr>
        <w:numId w:val="15"/>
      </w:numPr>
      <w:spacing w:before="240" w:after="120"/>
      <w:outlineLvl w:val="0"/>
    </w:pPr>
    <w:rPr>
      <w:rFonts w:eastAsia="Times New Roman"/>
      <w:b/>
      <w:bCs/>
      <w:sz w:val="32"/>
      <w:szCs w:val="28"/>
      <w:lang w:eastAsia="pl-PL"/>
    </w:rPr>
  </w:style>
  <w:style w:type="paragraph" w:styleId="Nagwek2">
    <w:name w:val="heading 2"/>
    <w:aliases w:val="podrozdział I"/>
    <w:basedOn w:val="Normalny"/>
    <w:next w:val="Normalny"/>
    <w:link w:val="Nagwek2Znak"/>
    <w:uiPriority w:val="9"/>
    <w:unhideWhenUsed/>
    <w:qFormat/>
    <w:rsid w:val="008B56F0"/>
    <w:pPr>
      <w:keepNext/>
      <w:keepLines/>
      <w:numPr>
        <w:ilvl w:val="1"/>
        <w:numId w:val="15"/>
      </w:numPr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8C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Bezodstpw"/>
    <w:next w:val="Normalny"/>
    <w:link w:val="Nagwek4Znak"/>
    <w:uiPriority w:val="9"/>
    <w:unhideWhenUsed/>
    <w:qFormat/>
    <w:rsid w:val="008B56F0"/>
    <w:pPr>
      <w:numPr>
        <w:ilvl w:val="2"/>
        <w:numId w:val="15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6F0"/>
    <w:pPr>
      <w:numPr>
        <w:ilvl w:val="3"/>
        <w:numId w:val="1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8C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D468C4"/>
    <w:rPr>
      <w:rFonts w:ascii="Cambria" w:eastAsia="Times New Roman" w:hAnsi="Cambria"/>
      <w:b/>
      <w:bCs/>
      <w:sz w:val="32"/>
      <w:szCs w:val="28"/>
    </w:rPr>
  </w:style>
  <w:style w:type="character" w:customStyle="1" w:styleId="Nagwek2Znak">
    <w:name w:val="Nagłówek 2 Znak"/>
    <w:aliases w:val="podrozdział I Znak"/>
    <w:basedOn w:val="Domylnaczcionkaakapitu"/>
    <w:link w:val="Nagwek2"/>
    <w:uiPriority w:val="9"/>
    <w:rsid w:val="00D468C4"/>
    <w:rPr>
      <w:rFonts w:ascii="Cambria" w:eastAsia="Times New Roman" w:hAnsi="Cambria"/>
      <w:b/>
      <w:bCs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468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468C4"/>
    <w:rPr>
      <w:rFonts w:ascii="Cambria" w:hAnsi="Cambria"/>
      <w:szCs w:val="22"/>
      <w:lang w:eastAsia="en-US"/>
    </w:rPr>
  </w:style>
  <w:style w:type="paragraph" w:styleId="Bezodstpw">
    <w:name w:val="No Spacing"/>
    <w:aliases w:val="rysunek"/>
    <w:basedOn w:val="Normalny"/>
    <w:next w:val="Normalny"/>
    <w:link w:val="BezodstpwZnak"/>
    <w:autoRedefine/>
    <w:uiPriority w:val="1"/>
    <w:qFormat/>
    <w:rsid w:val="00107002"/>
    <w:pPr>
      <w:numPr>
        <w:numId w:val="13"/>
      </w:numPr>
      <w:spacing w:before="120" w:after="240" w:line="240" w:lineRule="auto"/>
      <w:jc w:val="left"/>
      <w:outlineLvl w:val="5"/>
    </w:pPr>
    <w:rPr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8C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68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D468C4"/>
    <w:rPr>
      <w:b/>
      <w:bCs/>
      <w:sz w:val="20"/>
      <w:szCs w:val="20"/>
    </w:rPr>
  </w:style>
  <w:style w:type="paragraph" w:styleId="Tytu">
    <w:name w:val="Title"/>
    <w:aliases w:val="podrozdział II"/>
    <w:basedOn w:val="Normalny"/>
    <w:next w:val="Normalny"/>
    <w:link w:val="TytuZnak"/>
    <w:autoRedefine/>
    <w:uiPriority w:val="10"/>
    <w:qFormat/>
    <w:rsid w:val="00D468C4"/>
    <w:pPr>
      <w:numPr>
        <w:ilvl w:val="2"/>
        <w:numId w:val="4"/>
      </w:numPr>
      <w:spacing w:before="240" w:after="120" w:line="276" w:lineRule="auto"/>
      <w:outlineLvl w:val="2"/>
    </w:pPr>
    <w:rPr>
      <w:rFonts w:eastAsia="Times New Roman"/>
      <w:b/>
      <w:bCs/>
      <w:kern w:val="28"/>
      <w:szCs w:val="52"/>
    </w:rPr>
  </w:style>
  <w:style w:type="character" w:customStyle="1" w:styleId="TytuZnak">
    <w:name w:val="Tytuł Znak"/>
    <w:aliases w:val="podrozdział II Znak"/>
    <w:basedOn w:val="Domylnaczcionkaakapitu"/>
    <w:link w:val="Tytu"/>
    <w:uiPriority w:val="10"/>
    <w:rsid w:val="00D468C4"/>
    <w:rPr>
      <w:rFonts w:ascii="Cambria" w:eastAsia="Times New Roman" w:hAnsi="Cambria"/>
      <w:b/>
      <w:bCs/>
      <w:kern w:val="28"/>
      <w:sz w:val="24"/>
      <w:szCs w:val="52"/>
      <w:lang w:eastAsia="en-US"/>
    </w:rPr>
  </w:style>
  <w:style w:type="paragraph" w:styleId="Podtytu">
    <w:name w:val="Subtitle"/>
    <w:aliases w:val="Tabela"/>
    <w:basedOn w:val="Normalny"/>
    <w:next w:val="Normalny"/>
    <w:link w:val="PodtytuZnak"/>
    <w:uiPriority w:val="11"/>
    <w:qFormat/>
    <w:rsid w:val="00D468C4"/>
    <w:pPr>
      <w:numPr>
        <w:numId w:val="5"/>
      </w:numPr>
      <w:spacing w:before="240" w:after="120" w:line="240" w:lineRule="auto"/>
      <w:outlineLvl w:val="3"/>
    </w:pPr>
    <w:rPr>
      <w:rFonts w:eastAsia="Times New Roman"/>
      <w:b/>
      <w:iCs/>
      <w:spacing w:val="15"/>
      <w:sz w:val="20"/>
      <w:szCs w:val="24"/>
    </w:rPr>
  </w:style>
  <w:style w:type="character" w:customStyle="1" w:styleId="PodtytuZnak">
    <w:name w:val="Podtytuł Znak"/>
    <w:aliases w:val="Tabela Znak"/>
    <w:basedOn w:val="Domylnaczcionkaakapitu"/>
    <w:link w:val="Podtytu"/>
    <w:uiPriority w:val="11"/>
    <w:rsid w:val="00D468C4"/>
    <w:rPr>
      <w:rFonts w:ascii="Cambria" w:eastAsia="Times New Roman" w:hAnsi="Cambria"/>
      <w:b/>
      <w:iCs/>
      <w:spacing w:val="15"/>
      <w:szCs w:val="24"/>
      <w:lang w:eastAsia="en-US"/>
    </w:rPr>
  </w:style>
  <w:style w:type="character" w:styleId="Uwydatnienie">
    <w:name w:val="Emphasis"/>
    <w:basedOn w:val="Domylnaczcionkaakapitu"/>
    <w:qFormat/>
    <w:rsid w:val="00D468C4"/>
    <w:rPr>
      <w:i/>
      <w:iCs/>
    </w:rPr>
  </w:style>
  <w:style w:type="character" w:customStyle="1" w:styleId="BezodstpwZnak">
    <w:name w:val="Bez odstępów Znak"/>
    <w:aliases w:val="rysunek Znak"/>
    <w:basedOn w:val="Domylnaczcionkaakapitu"/>
    <w:link w:val="Bezodstpw"/>
    <w:uiPriority w:val="1"/>
    <w:rsid w:val="00107002"/>
    <w:rPr>
      <w:rFonts w:ascii="Cambria" w:hAnsi="Cambri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68C4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8C4"/>
    <w:pPr>
      <w:numPr>
        <w:numId w:val="0"/>
      </w:numPr>
      <w:spacing w:before="480" w:after="0" w:line="276" w:lineRule="auto"/>
      <w:contextualSpacing w:val="0"/>
      <w:jc w:val="left"/>
      <w:outlineLvl w:val="9"/>
    </w:pPr>
    <w:rPr>
      <w:color w:val="365F91"/>
      <w:sz w:val="28"/>
    </w:rPr>
  </w:style>
  <w:style w:type="numbering" w:customStyle="1" w:styleId="numeracja">
    <w:name w:val="numeracja"/>
    <w:uiPriority w:val="99"/>
    <w:rsid w:val="008B56F0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45E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E83"/>
    <w:rPr>
      <w:rFonts w:ascii="Cambria" w:hAnsi="Cambria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5E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83"/>
    <w:rPr>
      <w:rFonts w:ascii="Cambria" w:hAnsi="Cambria"/>
      <w:sz w:val="24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C0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C0F6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F41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2017-04-25T17:11:00Z</dcterms:created>
  <dcterms:modified xsi:type="dcterms:W3CDTF">2017-04-25T17:11:00Z</dcterms:modified>
</cp:coreProperties>
</file>