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DB66C8">
        <w:rPr>
          <w:rFonts w:asciiTheme="minorHAnsi" w:hAnsiTheme="minorHAnsi" w:cstheme="minorHAnsi"/>
          <w:i/>
          <w:sz w:val="20"/>
          <w:szCs w:val="20"/>
        </w:rPr>
        <w:t>4</w:t>
      </w:r>
    </w:p>
    <w:p w:rsidR="006755E8" w:rsidRPr="007479A6" w:rsidRDefault="002240D8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10</w:t>
      </w:r>
      <w:r w:rsidR="006755E8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23452F" w:rsidRPr="00EA65D3" w:rsidRDefault="00DB7F99" w:rsidP="00EA65D3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EA65D3" w:rsidRPr="00EA65D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realizacji usługi polegającej na przeprowadzeniu 20 analiz dostarczonych gotowych ekstraktów roślinnych, oraz przygotowaniu raportu dotyczący czystości oraz sposobu otrzymania ekstraktów roślinnych dostarczonych do doświadczeń. </w:t>
      </w:r>
      <w:r w:rsidR="00F646A3" w:rsidRPr="00EA65D3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23452F" w:rsidRPr="00EA65D3">
        <w:rPr>
          <w:rFonts w:asciiTheme="minorHAnsi" w:hAnsiTheme="minorHAnsi" w:cstheme="minorHAnsi"/>
          <w:bCs/>
          <w:iCs/>
          <w:sz w:val="20"/>
          <w:szCs w:val="20"/>
        </w:rPr>
        <w:t>zczegółowy zakres jest</w:t>
      </w:r>
      <w:r w:rsidR="00F646A3" w:rsidRPr="00EA65D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3452F" w:rsidRPr="00EA65D3">
        <w:rPr>
          <w:rFonts w:asciiTheme="minorHAnsi" w:hAnsiTheme="minorHAnsi" w:cstheme="minorHAnsi"/>
          <w:bCs/>
          <w:iCs/>
          <w:sz w:val="20"/>
          <w:szCs w:val="20"/>
        </w:rPr>
        <w:t>opisany</w:t>
      </w:r>
      <w:r w:rsidR="00F646A3" w:rsidRPr="00EA65D3">
        <w:rPr>
          <w:rFonts w:asciiTheme="minorHAnsi" w:hAnsiTheme="minorHAnsi" w:cstheme="minorHAnsi"/>
          <w:bCs/>
          <w:iCs/>
          <w:sz w:val="20"/>
          <w:szCs w:val="20"/>
        </w:rPr>
        <w:t xml:space="preserve"> w załączniku nr 1 do umowy, </w:t>
      </w:r>
      <w:r w:rsidR="004F7192" w:rsidRPr="00EA65D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DB7F99" w:rsidRPr="0023452F" w:rsidRDefault="0023452F" w:rsidP="00EA65D3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Usługa będzie realizowana </w:t>
      </w:r>
      <w:r w:rsidR="00DB7F99" w:rsidRPr="0023452F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…….……. stanowiącą Załącznik Nr 2 </w:t>
      </w:r>
      <w:r w:rsidR="00DB7F99" w:rsidRPr="0023452F">
        <w:rPr>
          <w:rFonts w:asciiTheme="minorHAnsi" w:hAnsiTheme="minorHAnsi" w:cstheme="minorHAnsi"/>
          <w:sz w:val="20"/>
          <w:szCs w:val="20"/>
        </w:rPr>
        <w:t>do umowy.</w:t>
      </w:r>
    </w:p>
    <w:p w:rsidR="0023452F" w:rsidRDefault="0023452F" w:rsidP="00EA65D3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623EB6">
        <w:rPr>
          <w:rFonts w:asciiTheme="minorHAnsi" w:hAnsiTheme="minorHAnsi" w:cstheme="minorHAnsi"/>
          <w:sz w:val="20"/>
          <w:szCs w:val="20"/>
        </w:rPr>
        <w:t>3</w:t>
      </w:r>
      <w:r w:rsidR="00025B7A">
        <w:rPr>
          <w:rFonts w:asciiTheme="minorHAnsi" w:hAnsiTheme="minorHAnsi" w:cstheme="minorHAnsi"/>
          <w:sz w:val="20"/>
          <w:szCs w:val="20"/>
        </w:rPr>
        <w:t>0.09.2017</w:t>
      </w:r>
      <w:r w:rsidRPr="007479A6">
        <w:rPr>
          <w:rFonts w:asciiTheme="minorHAnsi" w:hAnsiTheme="minorHAnsi" w:cstheme="minorHAnsi"/>
          <w:sz w:val="20"/>
          <w:szCs w:val="20"/>
        </w:rPr>
        <w:t>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2A68E8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Wynagrodzenie będzie wypłacone po zrealizowaniu </w:t>
      </w:r>
      <w:r w:rsidR="00265345">
        <w:rPr>
          <w:rFonts w:asciiTheme="minorHAnsi" w:hAnsiTheme="minorHAnsi" w:cstheme="minorHAnsi"/>
          <w:sz w:val="20"/>
          <w:szCs w:val="20"/>
        </w:rPr>
        <w:t>całości prac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terminie do 30 dni od dnia przedłożenia przez Wykonawcę prawidłowo wystawionego/nej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w razie niemożności ich zrealizowania z zastrzeżeniem, iż nowy termin realizacji przedmi</w:t>
      </w:r>
      <w:r w:rsidR="00E4024E">
        <w:rPr>
          <w:rFonts w:asciiTheme="minorHAnsi" w:hAnsiTheme="minorHAnsi" w:cstheme="minorHAnsi"/>
          <w:sz w:val="20"/>
          <w:szCs w:val="20"/>
        </w:rPr>
        <w:t>otu umowy nie przekroczy daty 31.10</w:t>
      </w:r>
      <w:bookmarkStart w:id="0" w:name="_GoBack"/>
      <w:bookmarkEnd w:id="0"/>
      <w:r w:rsidRPr="007479A6">
        <w:rPr>
          <w:rFonts w:asciiTheme="minorHAnsi" w:hAnsiTheme="minorHAnsi" w:cstheme="minorHAnsi"/>
          <w:sz w:val="20"/>
          <w:szCs w:val="20"/>
        </w:rPr>
        <w:t xml:space="preserve">.2017r.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Opis przedmiotu zamówienia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D840AC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840AC">
        <w:rPr>
          <w:rFonts w:asciiTheme="minorHAnsi" w:hAnsiTheme="minorHAnsi" w:cstheme="minorHAnsi"/>
          <w:sz w:val="20"/>
          <w:szCs w:val="20"/>
        </w:rPr>
        <w:t xml:space="preserve">Załącznik nr 1 – Oferta Wykonawcy </w:t>
      </w:r>
    </w:p>
    <w:p w:rsidR="00D840AC" w:rsidRPr="00D840AC" w:rsidRDefault="00D840AC" w:rsidP="00D840AC">
      <w:p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90" w:rsidRDefault="00BD2E90">
      <w:r>
        <w:separator/>
      </w:r>
    </w:p>
  </w:endnote>
  <w:endnote w:type="continuationSeparator" w:id="0">
    <w:p w:rsidR="00BD2E90" w:rsidRDefault="00B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4024E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90" w:rsidRDefault="00BD2E90">
      <w:r>
        <w:separator/>
      </w:r>
    </w:p>
  </w:footnote>
  <w:footnote w:type="continuationSeparator" w:id="0">
    <w:p w:rsidR="00BD2E90" w:rsidRDefault="00BD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5B7A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40D8"/>
    <w:rsid w:val="00227ACA"/>
    <w:rsid w:val="00232771"/>
    <w:rsid w:val="0023452F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68E8"/>
    <w:rsid w:val="002B0B10"/>
    <w:rsid w:val="002B1872"/>
    <w:rsid w:val="002B2F65"/>
    <w:rsid w:val="002B3DE2"/>
    <w:rsid w:val="002E1DDF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3EB6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C0979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7899"/>
    <w:rsid w:val="00BD01D0"/>
    <w:rsid w:val="00BD2E9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4024E"/>
    <w:rsid w:val="00E647E4"/>
    <w:rsid w:val="00E846F0"/>
    <w:rsid w:val="00E93908"/>
    <w:rsid w:val="00E9794F"/>
    <w:rsid w:val="00EA3ABD"/>
    <w:rsid w:val="00EA6479"/>
    <w:rsid w:val="00EA65D3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46A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4B78-36AF-413E-95D4-EACCD14E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64</cp:revision>
  <cp:lastPrinted>2017-05-31T05:48:00Z</cp:lastPrinted>
  <dcterms:created xsi:type="dcterms:W3CDTF">2017-05-30T09:50:00Z</dcterms:created>
  <dcterms:modified xsi:type="dcterms:W3CDTF">2017-06-06T08:13:00Z</dcterms:modified>
</cp:coreProperties>
</file>