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61" w:rsidRPr="00711C09" w:rsidRDefault="00B87161" w:rsidP="00B87161">
      <w:pPr>
        <w:rPr>
          <w:rFonts w:asciiTheme="minorHAnsi" w:hAnsiTheme="minorHAnsi"/>
          <w:b/>
          <w:bCs/>
          <w:i/>
          <w:sz w:val="18"/>
          <w:szCs w:val="18"/>
        </w:rPr>
      </w:pPr>
      <w:r w:rsidRPr="00711C09">
        <w:rPr>
          <w:rFonts w:asciiTheme="minorHAnsi" w:hAnsiTheme="minorHAnsi"/>
          <w:b/>
          <w:bCs/>
          <w:i/>
          <w:sz w:val="18"/>
          <w:szCs w:val="18"/>
        </w:rPr>
        <w:t>Załącznik nr 2 do Ogłoszenia</w:t>
      </w:r>
    </w:p>
    <w:p w:rsidR="00686735" w:rsidRPr="009A67B0" w:rsidRDefault="00686735" w:rsidP="00686735">
      <w:pPr>
        <w:rPr>
          <w:rFonts w:ascii="Arial" w:hAnsi="Arial"/>
          <w:b/>
          <w:color w:val="FF0000"/>
          <w:sz w:val="20"/>
          <w:szCs w:val="20"/>
        </w:rPr>
      </w:pPr>
    </w:p>
    <w:p w:rsidR="00E169D9" w:rsidRDefault="00E169D9" w:rsidP="00686735">
      <w:pPr>
        <w:rPr>
          <w:rFonts w:ascii="Arial" w:hAnsi="Arial"/>
          <w:b/>
          <w:sz w:val="20"/>
          <w:szCs w:val="20"/>
        </w:rPr>
      </w:pPr>
    </w:p>
    <w:p w:rsidR="00686735" w:rsidRDefault="00686735" w:rsidP="00C60DCD">
      <w:pPr>
        <w:jc w:val="center"/>
        <w:rPr>
          <w:b/>
          <w:bCs/>
          <w:sz w:val="20"/>
          <w:szCs w:val="20"/>
          <w:u w:val="single"/>
        </w:rPr>
      </w:pPr>
    </w:p>
    <w:p w:rsidR="00B87161" w:rsidRDefault="00B87161" w:rsidP="00C60DCD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87161" w:rsidRPr="00711C09" w:rsidRDefault="00B87161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11C09">
        <w:rPr>
          <w:rFonts w:asciiTheme="minorHAnsi" w:hAnsiTheme="minorHAnsi"/>
          <w:b/>
          <w:bCs/>
          <w:sz w:val="20"/>
          <w:szCs w:val="20"/>
        </w:rPr>
        <w:t>OPIS PRZEDMIOTU ZAMÓWIENIA</w:t>
      </w:r>
    </w:p>
    <w:p w:rsidR="00B87161" w:rsidRPr="00711C09" w:rsidRDefault="00B87161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B87161" w:rsidRPr="00711C09" w:rsidRDefault="004A7C93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11C09">
        <w:rPr>
          <w:rFonts w:asciiTheme="minorHAnsi" w:hAnsiTheme="minorHAnsi"/>
          <w:b/>
          <w:bCs/>
          <w:sz w:val="20"/>
          <w:szCs w:val="20"/>
        </w:rPr>
        <w:t>„</w:t>
      </w:r>
      <w:r w:rsidR="00B87161" w:rsidRPr="00711C09">
        <w:rPr>
          <w:rFonts w:asciiTheme="minorHAnsi" w:hAnsiTheme="minorHAnsi"/>
          <w:b/>
          <w:bCs/>
          <w:sz w:val="20"/>
          <w:szCs w:val="20"/>
        </w:rPr>
        <w:t>Dostawa przełączników dostępowych typu switch</w:t>
      </w:r>
      <w:r w:rsidRPr="00711C09">
        <w:rPr>
          <w:rFonts w:asciiTheme="minorHAnsi" w:hAnsiTheme="minorHAnsi"/>
          <w:b/>
          <w:bCs/>
          <w:sz w:val="20"/>
          <w:szCs w:val="20"/>
        </w:rPr>
        <w:t>”</w:t>
      </w:r>
      <w:r w:rsidR="00B87161" w:rsidRPr="00711C09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87161" w:rsidRPr="00711C09" w:rsidRDefault="001A08D1" w:rsidP="00B87161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(oznaczenie sprawy: LE/04</w:t>
      </w:r>
      <w:r w:rsidR="00B87161" w:rsidRPr="00711C09">
        <w:rPr>
          <w:rFonts w:asciiTheme="minorHAnsi" w:hAnsiTheme="minorHAnsi"/>
          <w:b/>
          <w:bCs/>
          <w:sz w:val="20"/>
          <w:szCs w:val="20"/>
        </w:rPr>
        <w:t>-2017/DOP-a)</w:t>
      </w:r>
    </w:p>
    <w:p w:rsidR="00B87161" w:rsidRPr="00B87161" w:rsidRDefault="00B87161" w:rsidP="00B87161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p w:rsidR="00E57DD0" w:rsidRPr="00701806" w:rsidRDefault="00E57DD0" w:rsidP="00E57DD0">
      <w:pPr>
        <w:ind w:right="43"/>
        <w:jc w:val="both"/>
        <w:rPr>
          <w:rFonts w:ascii="Calibri" w:hAnsi="Calibri"/>
          <w:color w:val="FF0000"/>
          <w:sz w:val="18"/>
          <w:szCs w:val="18"/>
        </w:rPr>
      </w:pPr>
      <w:r w:rsidRPr="00711C09">
        <w:rPr>
          <w:rFonts w:ascii="Calibri" w:hAnsi="Calibri"/>
          <w:sz w:val="18"/>
          <w:szCs w:val="18"/>
        </w:rPr>
        <w:t xml:space="preserve">Przedmiotem zamówienia jest dostawa </w:t>
      </w:r>
      <w:r w:rsidRPr="00711C09">
        <w:rPr>
          <w:rFonts w:ascii="Calibri" w:hAnsi="Calibri"/>
          <w:b/>
          <w:sz w:val="18"/>
          <w:szCs w:val="18"/>
        </w:rPr>
        <w:t>35 szt. przełączników dostępowych 48 portowych typu switch</w:t>
      </w:r>
      <w:r w:rsidRPr="00711C09">
        <w:rPr>
          <w:rFonts w:ascii="Calibri" w:hAnsi="Calibri"/>
          <w:sz w:val="18"/>
          <w:szCs w:val="18"/>
        </w:rPr>
        <w:t xml:space="preserve"> dla Domów Studenckich Grześ, Helios, Jowisz, Zana. Termin realizacji zamówienia wynosi  </w:t>
      </w:r>
      <w:r w:rsidRPr="00711C09">
        <w:rPr>
          <w:rFonts w:ascii="Calibri" w:hAnsi="Calibri"/>
          <w:b/>
          <w:sz w:val="18"/>
          <w:szCs w:val="18"/>
        </w:rPr>
        <w:t>do 60 dni</w:t>
      </w:r>
      <w:r w:rsidRPr="00711C09">
        <w:rPr>
          <w:rFonts w:ascii="Calibri" w:hAnsi="Calibri"/>
          <w:sz w:val="18"/>
          <w:szCs w:val="18"/>
        </w:rPr>
        <w:t xml:space="preserve"> </w:t>
      </w:r>
      <w:r w:rsidR="008C5BC0" w:rsidRPr="00711C09">
        <w:rPr>
          <w:rFonts w:ascii="Calibri" w:hAnsi="Calibri"/>
          <w:b/>
          <w:sz w:val="18"/>
          <w:szCs w:val="18"/>
        </w:rPr>
        <w:t xml:space="preserve">kalendarzowych </w:t>
      </w:r>
      <w:r w:rsidR="00304709">
        <w:rPr>
          <w:rFonts w:ascii="Calibri" w:hAnsi="Calibri"/>
          <w:sz w:val="18"/>
          <w:szCs w:val="18"/>
        </w:rPr>
        <w:t>od dnia zawarcia umowy</w:t>
      </w:r>
      <w:r w:rsidRPr="00711C09">
        <w:rPr>
          <w:rFonts w:ascii="Calibri" w:hAnsi="Calibri"/>
          <w:sz w:val="18"/>
          <w:szCs w:val="18"/>
        </w:rPr>
        <w:t>. Zamawiający wymaga, aby dostarczony</w:t>
      </w:r>
      <w:r w:rsidR="00304709">
        <w:rPr>
          <w:rFonts w:ascii="Calibri" w:hAnsi="Calibri"/>
          <w:sz w:val="18"/>
          <w:szCs w:val="18"/>
        </w:rPr>
        <w:t xml:space="preserve">, w miejsce przez niego wskazane, </w:t>
      </w:r>
      <w:r w:rsidRPr="00711C09">
        <w:rPr>
          <w:rFonts w:ascii="Calibri" w:hAnsi="Calibri"/>
          <w:sz w:val="18"/>
          <w:szCs w:val="18"/>
        </w:rPr>
        <w:t xml:space="preserve">przedmiot umowy był fabrycznie nowy, sprawny technicznie, bezpieczny, kompletny i gotowy do pracy, wyprodukowany nie wcześniej niż </w:t>
      </w:r>
      <w:r w:rsidRPr="00711C09">
        <w:rPr>
          <w:rFonts w:ascii="Calibri" w:hAnsi="Calibri"/>
          <w:b/>
          <w:sz w:val="18"/>
          <w:szCs w:val="18"/>
        </w:rPr>
        <w:t>I półroczu 2016r</w:t>
      </w:r>
      <w:r w:rsidRPr="00711C09">
        <w:rPr>
          <w:rFonts w:ascii="Calibri" w:hAnsi="Calibri"/>
          <w:sz w:val="18"/>
          <w:szCs w:val="18"/>
        </w:rPr>
        <w:t xml:space="preserve">. oraz posiadał gwarancję nie krótszą niż </w:t>
      </w:r>
      <w:r w:rsidRPr="00711C09">
        <w:rPr>
          <w:rFonts w:ascii="Calibri" w:hAnsi="Calibri"/>
          <w:b/>
          <w:sz w:val="18"/>
          <w:szCs w:val="18"/>
        </w:rPr>
        <w:t>5 lat</w:t>
      </w:r>
      <w:r w:rsidRPr="00711C09">
        <w:rPr>
          <w:rFonts w:ascii="Calibri" w:hAnsi="Calibri"/>
          <w:sz w:val="18"/>
          <w:szCs w:val="18"/>
        </w:rPr>
        <w:t xml:space="preserve"> liczoną od </w:t>
      </w:r>
      <w:r w:rsidRPr="00304709">
        <w:rPr>
          <w:rFonts w:ascii="Calibri" w:hAnsi="Calibri"/>
          <w:sz w:val="18"/>
          <w:szCs w:val="18"/>
        </w:rPr>
        <w:t>podpisania protokołu odbioru</w:t>
      </w:r>
      <w:r w:rsidRPr="00701806">
        <w:rPr>
          <w:rFonts w:ascii="Calibri" w:hAnsi="Calibri"/>
          <w:color w:val="FF0000"/>
          <w:sz w:val="18"/>
          <w:szCs w:val="18"/>
        </w:rPr>
        <w:t>.</w:t>
      </w:r>
    </w:p>
    <w:p w:rsidR="00711C09" w:rsidRPr="00711C09" w:rsidRDefault="00711C09" w:rsidP="00711C09">
      <w:pPr>
        <w:rPr>
          <w:rFonts w:ascii="Calibri" w:hAnsi="Calibri"/>
          <w:b/>
          <w:sz w:val="18"/>
          <w:szCs w:val="18"/>
        </w:rPr>
      </w:pPr>
    </w:p>
    <w:p w:rsidR="00711C09" w:rsidRPr="00711C09" w:rsidRDefault="00711C09" w:rsidP="00711C09">
      <w:pPr>
        <w:rPr>
          <w:rFonts w:ascii="Calibri" w:hAnsi="Calibri"/>
          <w:sz w:val="18"/>
          <w:szCs w:val="18"/>
        </w:rPr>
      </w:pPr>
      <w:r w:rsidRPr="00711C09">
        <w:rPr>
          <w:rFonts w:ascii="Calibri" w:hAnsi="Calibri"/>
          <w:sz w:val="18"/>
          <w:szCs w:val="18"/>
        </w:rPr>
        <w:t>Oferowane przełączniki muszą spełniać wszystkie wymagania wymienione w poniższej tabeli. Spełnienie wymagań musi wynikać z oficjalnej dokumentacji producenta oferowanej wraz z urządzeniem lub bezpośrednio z treści oficjalnej strony www. Na żądanie Zamawiającego Wykonawca jest zobowiązany wskazać miejsce w dokumentacji opisujące wskazaną funkcjonalność.</w:t>
      </w:r>
    </w:p>
    <w:p w:rsidR="00560BCE" w:rsidRPr="009A67B0" w:rsidRDefault="00560BCE" w:rsidP="00641E2A">
      <w:pPr>
        <w:rPr>
          <w:rFonts w:asciiTheme="minorHAnsi" w:hAnsiTheme="minorHAnsi"/>
          <w:color w:val="000000" w:themeColor="text1"/>
          <w:sz w:val="8"/>
          <w:szCs w:val="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3325"/>
      </w:tblGrid>
      <w:tr w:rsidR="00303DA4" w:rsidRPr="00711C09" w:rsidTr="00303DA4">
        <w:trPr>
          <w:trHeight w:val="505"/>
        </w:trPr>
        <w:tc>
          <w:tcPr>
            <w:tcW w:w="14142" w:type="dxa"/>
            <w:gridSpan w:val="2"/>
          </w:tcPr>
          <w:p w:rsidR="00303DA4" w:rsidRPr="00711C09" w:rsidRDefault="00303DA4" w:rsidP="0060658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  <w:p w:rsidR="00303DA4" w:rsidRPr="00711C09" w:rsidRDefault="00B87161" w:rsidP="0060658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>Przełącznik</w:t>
            </w:r>
            <w:r w:rsidR="00303DA4"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dostępowy 48 portowy</w:t>
            </w:r>
            <w:r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typu switch</w:t>
            </w:r>
            <w:r w:rsidR="00AA0ACF" w:rsidRPr="00711C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- 35 szt.</w:t>
            </w:r>
          </w:p>
          <w:p w:rsidR="00303DA4" w:rsidRPr="00711C09" w:rsidRDefault="00303DA4" w:rsidP="0060658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3325" w:type="dxa"/>
            <w:vAlign w:val="center"/>
          </w:tcPr>
          <w:p w:rsidR="00303DA4" w:rsidRPr="00711C09" w:rsidRDefault="00303DA4" w:rsidP="0060658B">
            <w:pPr>
              <w:pStyle w:val="Zwykytekst"/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</w:pPr>
          </w:p>
          <w:p w:rsidR="00303DA4" w:rsidRPr="00711C09" w:rsidRDefault="00303DA4" w:rsidP="0060658B">
            <w:pPr>
              <w:pStyle w:val="Zwykytekst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Opis przedmiotu/funkcji/parametrów</w:t>
            </w:r>
          </w:p>
          <w:p w:rsidR="00303DA4" w:rsidRPr="00711C09" w:rsidRDefault="00303DA4" w:rsidP="0060658B">
            <w:pPr>
              <w:pStyle w:val="Zwykytekst"/>
              <w:jc w:val="center"/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303DA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posiadać architekturę umożliwiającą przełączanie w warstwie 2 ethernet i 3 ipv4 oraz ipv6.</w:t>
            </w:r>
          </w:p>
        </w:tc>
      </w:tr>
      <w:tr w:rsidR="00303DA4" w:rsidRPr="00711C09" w:rsidTr="000E4C9E">
        <w:trPr>
          <w:trHeight w:val="1719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 wyposażony w poniższe porty:</w:t>
            </w:r>
          </w:p>
          <w:p w:rsidR="00303DA4" w:rsidRPr="00711C09" w:rsidRDefault="00303DA4" w:rsidP="006949C2">
            <w:pPr>
              <w:pStyle w:val="Zwykytekst"/>
              <w:ind w:firstLine="459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2. 1. Co najmniej 48 portów dostępowych Ethernet 10/100/1000Base-T IEEE 802.3z Auto-MDI/MDIX</w:t>
            </w:r>
            <w:r w:rsidR="006949C2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;</w:t>
            </w:r>
          </w:p>
          <w:p w:rsidR="006949C2" w:rsidRPr="00711C09" w:rsidRDefault="006949C2" w:rsidP="00033862">
            <w:pPr>
              <w:pStyle w:val="Zwykytekst"/>
              <w:ind w:left="884" w:hanging="425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2. 2. Co najmniej 2 porty uplink 10 Gigabit Ethernet  SFP+,</w:t>
            </w:r>
            <w:r w:rsidR="00033862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obsługujące co najmniej moduły SFP TX, SX, LX/LH, LH/ZX,  zgodne ze standardem IEEE 802.3z, oraz SFP+ LR, SR. Każdy przełącznik musi być wyposażony w co najmniej 2 moduły SFP 1000BASE-T.</w:t>
            </w:r>
          </w:p>
          <w:p w:rsidR="00303DA4" w:rsidRPr="00711C09" w:rsidRDefault="00033862" w:rsidP="004E0CAE">
            <w:pPr>
              <w:pStyle w:val="Zwykytekst"/>
              <w:ind w:left="884" w:hanging="425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2.3. Dodatkowo przełącznik musi mieć możliwość doposażenia w 2 porty statkujące, każdy o przepustowości co najmniej 10Gb/s. poprzez</w:t>
            </w:r>
            <w:r w:rsidR="00E877E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dokupienie odpowiedniego modułu lub licencji. Musi istnieć możliwość połączenia w stos do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877E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4 urządzeń, tak aby były widoczne w sieci </w:t>
            </w:r>
            <w:r w:rsidR="00090A98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i administrowaniu</w:t>
            </w:r>
            <w:r w:rsidR="004E0CAE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jako jedno urządzenie bez straty funkcjonalności.</w:t>
            </w:r>
          </w:p>
          <w:p w:rsidR="006949C2" w:rsidRPr="00711C09" w:rsidRDefault="00303DA4" w:rsidP="003C5650">
            <w:pPr>
              <w:pStyle w:val="Zwykytekst"/>
              <w:ind w:left="884" w:hanging="425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2.4. Wszystkie porty muszą pracować z pełną prędkością interfejsów (wire-speed) dla pakietów dowolnej wielkości, czyli przełącznik </w:t>
            </w:r>
            <w:r w:rsidRPr="003C5650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</w:t>
            </w:r>
            <w:r w:rsidR="003C5650" w:rsidRPr="003C5650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mieć wydajność co najmniej</w:t>
            </w:r>
            <w:r w:rsidR="004E0CAE" w:rsidRPr="003C5650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C5650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130 Mpps</w:t>
            </w:r>
            <w:r w:rsidR="004E0CAE" w:rsidRPr="003C5650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E0CAE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( razem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 portami stackującymi).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4E0CAE" w:rsidP="00BB258F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dedykowanym urządzeniem sieciowym o wysokości 1U, przystosowanym do montażu w szafie rack 19’’ oraz </w:t>
            </w:r>
            <w:r w:rsidR="0008571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posiada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oprzyrządowanie niezbędne do zamocowania w takiej szafie.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BB0F6F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musi być wyposażony w minimum jeden zasilacz AC, przystosowany do zasilania z sieci 230V/50Hz. 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4E0CAE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najmniej 16000  adresów MAC, w tym co najmniej 1000 adresów MAC</w:t>
            </w:r>
            <w:r w:rsidR="001E692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możliwych do opisania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statycznie w konfiguracji.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1E692F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sieci VLAN zgodnie z IEEE 802.1Q w ilości nie mniejszej niż 1000 z zakresu 1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-4090 VLAN ID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C9050A" w:rsidP="00AC5FE6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agregowanie połączeń zgodn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ie z IEEE 802.3AD, nie mniej niż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6 grup LACP do 8 portów każda. Przy wysyłaniu pakietu IP przez interfejs LACP do wyznaczenia fizycznego portu na który pakiet będzie wysłany jest  brany pod uwagę co najmniej adres IP źródłowy i docelowy tego pakietu, w przypadku protokołów TC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 i UDP również numery portów, oraz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dla innych protokołów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ipv4/ipv6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j adres źródłowy i docelowy, dla innych protokołów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źródłowe i docelowe adresy MAC.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C9050A" w:rsidP="00F72778">
            <w:pPr>
              <w:pStyle w:val="Zwykytekst"/>
              <w:jc w:val="both"/>
              <w:rPr>
                <w:rFonts w:asciiTheme="minorHAnsi" w:hAnsiTheme="minorHAnsi" w:cs="Times New Roman"/>
                <w:strike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filtrowanie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ruchu wejściowego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najmniej na poziomie portu i sieci VLAN dla kryteriów z warstw 2-4 IPv4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, w szczególności  wg numerów  portów TCP/UDP oraz typi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e</w:t>
            </w:r>
            <w:r w:rsidR="00090A98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 kodzie ICMP. U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rządzenie musi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realizować sprzętowo nie mniej niż 500 reguł filtrowania ruchu dla ipv4 i 500 reguł dla ipv6 jednocześnie.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dostępna funkcja edycji reguł filtrowania ruchu na samym urządzeniu.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ramki jumbo (9216 bajtów) na wszystkich interfejsach.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przystosowany do pracy ciągłej przy temperaturze otoczenia z zakresu 0 – 45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C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oraz wyposażony w minimum 1 czujnik temperatury.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 musi być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wyposażony w port konsoli oraz dedykowany interfejs Ethernet do zarządzania OOB (out-of-band).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umożliwiać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wgranie systemu operacyjnego z zewnętrznego nośnika danych poprzez łącze szeregowe RS-232, USB lub dedykowany port ethernetowy. Musi istnieć możliwość ustawienia restartu urządzenia w zadanym terminie.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Zarządzanie urządzeniem musi być możliwe za pośrednictwem interfejsu linii komend (CLI) przez port konsoli oraz zdalnie przez telnet lub ssh przy użyciu zarówno protokołu IPv4 jak i IPv6.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Przełącznik musi zostać dostarczony z kablem pozwalającym na połączenie portu konsoli z portem RS-232 komputera.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E2A40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 musi umożliwiać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zapisanie aktualnej konfiguracji w postaci tekstowej (może być skompresowana jeśli istnieje niezależny, bezpłatny program do jej rozpakowania) w wewnętrznej pamięci nieulotnej oraz na urządzeniach zewnętrznych przy pomocy protokołu tftp, ftp lub scp.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istnieć 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możliwość modyfikowania konfiguracji poza urządzeniem i ponownego jej wczytania do urządzenia.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E2A40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generować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logi dotyczące zdarzeń na nim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zachodzących. Użytkownik musi mieć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dostęp do dokumentacji producenta urządzenia z wyjaśnieniami znaczenia poszczegól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nych wpisów w logach. Logi te muszą być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dostępne lokalnie na urządzeniu oraz przesyłane do innych urządzeń z użyciem protokołu syslog (przy użyciu protokołu ipv4 lub ipv6, zależnie od konfiguracji dokonanej przez użytkownika).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uszczegóławiania logów (tryb debug) dotyczących konkretnych usług (np. STP, 802.1x itp.)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834278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ustawienie limitów pakietów akceptowanych na wskazanych portach w jednostce czasu (tzw. rate-limit). Przełącznik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odrzuca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pakiety przekraczające limit.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ustawiania limitów pakietów indywidualnie dla każdego interfejsu.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256C3D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ustawienie limitów pakietów typu broadcast oraz unknown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unicast w jednostce czasu indywidualnie na każdym interfejsie. Przełącznik odrzuca pakiety przekraczające zadany limit.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dynamiczne przyporządkowywanie komputerów do VLANu na podstawie adresu MAC (tzw. dynamic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vlans lub MAC based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vlans).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087E0F" w:rsidP="00DC150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Urządzenie musi obsługiwać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Private VLANs (across switches).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SNMP (wersje 2c i 3), oraz grupy RMON 1, 2, 3, 9. 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udostępnia</w:t>
            </w:r>
            <w:r w:rsidR="00087E0F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za pomocą protokołu SNMP i interfejsu CLI co najmniej 64 bitowe liczniki ramek i bajtów wysłanych i odebranych na poszczególnych portach. Ponadto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obsługi liczników odebranych ramek zawierających błędy na poszczególnych interfejsach oraz liczniki ramek których nie udało się wysłać lub wystąpiły błędy podczas ich wysyłania. 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F40575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być dostępna</w:t>
            </w:r>
            <w:r w:rsidR="00303DA4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funkcja kopiowania (mirroring) ruchu dla pakietów spełniających warunki określone w odpowiednim filtrze.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diagnostyki kabla, TDR (Time Domain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Reflectometer) na wszystkich portach 10/100/1000BASE-T.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Urządzenie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pozwala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na konfigurowanie maksymalnej, rozgłaszanej w czasie autonegocjacji, prędkości portu w standardzie 10/100/1000BASE-T.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umożliwia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zdefiniowanie czasu po jakim będzie próbował aktywować porty wyłączone automatycznie ze względu na nieprawidłowości występujące w przyłączonych do nich częściach sieci (errdisable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recovery).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posiadać funkcjonalność netfl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ow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(lite),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lub</w:t>
            </w:r>
            <w:r w:rsidR="00090A98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sflow (RFC3176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) umożliwiającą monitorowanie ruchu w warstwach 3 do 4 modelu OSI dla pakietów IPv4.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Spanning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 i Rapid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Spanni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n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g</w:t>
            </w:r>
            <w:r w:rsidR="00F40575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Tree, a także Multiple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Spanning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 (nie mniej niż 16 instancji MSTP) oraz VLAN Spanning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Protocol (lub równoważny) dla co najmniej 128 vlan-ów.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wyłączenia Spanning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Tree oraz filtrowania (ignorowania) ramek BPDU na wskazanych portach.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udostępnia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informacje dla każdej instancji SPT, kiedy przyszedł ostatni pakiet TCN (Topology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Change Notification) oraz liczniki pakietów TCN dla każdej instancji SPT lub informację z którego interfejsu przyszedł ostatni pakiet TCN.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Switch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opcję definiowania zapasowego portu dla portu podstawowego, tzn. tylko jeden z dwóch interfejsów jest aktywny w danej chwili (funkcjonalność </w:t>
            </w:r>
            <w:r w:rsidR="00090A98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c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isco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Flex Link lub juniper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Redundant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Trunk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Group)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LLDP i LLDP-MED, w tym p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rzydział numeru VLANu i klasy Qo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 dla telefonów VoIP.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0922B8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Urządzenie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posiada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mechanizmy priorytetyzowania i zarządzania ruchem sieciowym (QoS) w warstwie 2 i 3 dla ruchu wchodzącego i wychodzącego. Klasyfikacja ruchu może odbywać się w zależności od co najmniej: interfejsu, typu ramki Ethernet, sieci VLAN, priorytetu w warstwie 2 (802.1P), adresów MAC, adresów IP, wartości pola ToS/DSCP w nagłówkach IP, portów TCP i UDP. Urządzenie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sprzętowo nie mniej niż 8 kolejek na port fizyczny, w tym możliwość zdefiniowania co najmniej jednej kolejki jako kolejki priorytetowej (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stricte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priority) oraz co najmniej jedna kolejka umożliwia pracę w trybie shaping (wygładzania ruchu).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F931D2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IEEE 802.1x zarówno dla pojedynczego, jak i wielu suplikantów na porcie, autoryzowanych każdy indywidualnie. Przełącznik </w:t>
            </w:r>
            <w:r w:rsidR="00C14F36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przypisywać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ustawienia dla użytkownika na podstawie atrybutów (co najmniej VLAN oraz reguła filtrowania ruchu) zwracanych przez serwer RADIUS, dostępny zarówno przez ipv4 jak i ipv6.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istnieć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możliwość pominięcia uwierzytelnienia 802.1x dla zdefiniowanych adresów MAC. 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wspiera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co najmniej następujące typy EAP: MD5, TLS, TTLS, PEAP.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9E7824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musi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umożliwia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określanie maksymalnej liczby adresów MAC dopuszczalnych na wskazanym porcie. Po przekroczeniu limitu dopuszczalnych adresów MAC pakiety z adresami źródłowymi MAC nie znajdującymi się w zbudowanej tablicy MAC będą ignorowane.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Przełącznik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protokół MVR (Multicast VLAN Registration).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Zwykytekst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obsługiwać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sprzętowo takie mechanizmy bezpieczeństwa jak limitowanie adresów MAC, Dynamic ARP Inspection, IP Source Guard, DHCP Snooping (wraz z obsługą opcji 82), dla protokołu ipv4 i ich odpowiedniki w protokole ipv6, tzn.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Negihbor Discover Inspection oraz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filtrować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Router Advertisements na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niezaufanych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US"/>
              </w:rPr>
              <w:t>portach.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25" w:type="dxa"/>
          </w:tcPr>
          <w:p w:rsidR="00303DA4" w:rsidRPr="00711C09" w:rsidRDefault="00303DA4" w:rsidP="0060658B">
            <w:pPr>
              <w:pStyle w:val="Bezodstpw1"/>
              <w:tabs>
                <w:tab w:val="clear" w:pos="709"/>
              </w:tabs>
              <w:spacing w:after="0" w:line="240" w:lineRule="auto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Przełącznik 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musi posiadać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funkcjonalność IGMP (v2, v3) oraz MLD (v1 i v2) snooping i wysyła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ramki multicastowe tylko do nasłuchujących klientów. Funkcjonalność ta nie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może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zakłóca</w:t>
            </w:r>
            <w:r w:rsidR="0003542A"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poprawnej pracy multicastów IPv6, w tym standardu Neighbor Discovery.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C46CE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183AD3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Przełącznik musi obsługiwać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jednocześnie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co najmniej 500</w:t>
            </w:r>
            <w:r w:rsidR="0003542A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tras routingu unicast ipv4 i 25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 tras unicast i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pv6</w:t>
            </w:r>
            <w:r w:rsidR="0003542A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 co najmniej 75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 pozycji ARP i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750 Neighbor Discovery; 10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00 tras multicast ipv4/IGMP groups i ipv6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łącznie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 Przełącznik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musi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potrafi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ć</w:t>
            </w: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pracować w trybie proxy ARP oraz wykonywać DHCP relay  na zadanych interfejsach</w:t>
            </w:r>
            <w:r w:rsidR="00811FE6"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ipv4 oraz ipv6.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E7824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E56872" w:rsidRDefault="00303DA4" w:rsidP="009E5F9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 xml:space="preserve">Urządzenia muszą </w:t>
            </w:r>
            <w:r w:rsidR="00811FE6" w:rsidRPr="00E56872">
              <w:rPr>
                <w:rFonts w:asciiTheme="minorHAnsi" w:hAnsiTheme="minorHAnsi"/>
                <w:sz w:val="18"/>
                <w:szCs w:val="18"/>
              </w:rPr>
              <w:t xml:space="preserve">być nieużywane, fabrycznie nowe 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 i nie przewidziane do wycofania z produkcji</w:t>
            </w:r>
            <w:r w:rsidR="00811FE6" w:rsidRPr="00E56872">
              <w:rPr>
                <w:rFonts w:asciiTheme="minorHAnsi" w:hAnsiTheme="minorHAnsi"/>
                <w:sz w:val="18"/>
                <w:szCs w:val="18"/>
              </w:rPr>
              <w:t xml:space="preserve"> w momencie składania oferty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, pochodzić z legalnych kanałów </w:t>
            </w:r>
            <w:r w:rsidR="008E6544">
              <w:rPr>
                <w:rFonts w:asciiTheme="minorHAnsi" w:hAnsiTheme="minorHAnsi"/>
                <w:sz w:val="18"/>
                <w:szCs w:val="18"/>
              </w:rPr>
              <w:t>dystrybucji producenta sprzętu.</w:t>
            </w:r>
          </w:p>
          <w:p w:rsidR="00303DA4" w:rsidRDefault="00303DA4" w:rsidP="009E5F9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>Urządzen</w:t>
            </w:r>
            <w:r w:rsidR="00FA6489" w:rsidRPr="00E56872">
              <w:rPr>
                <w:rFonts w:asciiTheme="minorHAnsi" w:hAnsiTheme="minorHAnsi"/>
                <w:sz w:val="18"/>
                <w:szCs w:val="18"/>
              </w:rPr>
              <w:t>ia muszą być objęte minimum 5-cio letnią gwarancją</w:t>
            </w:r>
            <w:r w:rsidR="00090A9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090A98" w:rsidRPr="00E56872" w:rsidRDefault="00090A98" w:rsidP="009E5F9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Musi istnieć możliwość zamówienia dodatkowych szkoleń z produktu, autoryzowanych przez producenta urządzeń.</w:t>
            </w:r>
          </w:p>
          <w:p w:rsidR="00303DA4" w:rsidRPr="00E56872" w:rsidRDefault="00303DA4" w:rsidP="009E5F9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>Pomoc techniczna oraz szkolenia z produktu muszą być świadczone w języku polskim.</w:t>
            </w:r>
          </w:p>
          <w:p w:rsidR="00303DA4" w:rsidRPr="00711C09" w:rsidRDefault="00FA6489" w:rsidP="00C12C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56872">
              <w:rPr>
                <w:rFonts w:asciiTheme="minorHAnsi" w:hAnsiTheme="minorHAnsi"/>
                <w:sz w:val="18"/>
                <w:szCs w:val="18"/>
              </w:rPr>
              <w:t>Nowe</w:t>
            </w:r>
            <w:r w:rsidR="00090A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03DA4" w:rsidRPr="00E56872">
              <w:rPr>
                <w:rFonts w:asciiTheme="minorHAnsi" w:hAnsiTheme="minorHAnsi"/>
                <w:sz w:val="18"/>
                <w:szCs w:val="18"/>
              </w:rPr>
              <w:t>wersj</w:t>
            </w:r>
            <w:r w:rsidR="00090A98">
              <w:rPr>
                <w:rFonts w:asciiTheme="minorHAnsi" w:hAnsiTheme="minorHAnsi"/>
                <w:sz w:val="18"/>
                <w:szCs w:val="18"/>
              </w:rPr>
              <w:t>e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03DA4" w:rsidRPr="00E56872">
              <w:rPr>
                <w:rFonts w:asciiTheme="minorHAnsi" w:hAnsiTheme="minorHAnsi"/>
                <w:sz w:val="18"/>
                <w:szCs w:val="18"/>
              </w:rPr>
              <w:t>firmware muszą być ogólnodostępne lub Zamawiający musi mieć zapewniony dostęp do nowych wersji oprogramowania</w:t>
            </w:r>
            <w:r w:rsidRPr="00E56872">
              <w:rPr>
                <w:rFonts w:asciiTheme="minorHAnsi" w:hAnsiTheme="minorHAnsi"/>
                <w:sz w:val="18"/>
                <w:szCs w:val="18"/>
              </w:rPr>
              <w:t xml:space="preserve"> oferowanych przez producenta oprogramowania</w:t>
            </w:r>
            <w:r w:rsidR="00303DA4" w:rsidRPr="00E56872">
              <w:rPr>
                <w:rFonts w:asciiTheme="minorHAnsi" w:hAnsiTheme="minorHAnsi"/>
                <w:sz w:val="18"/>
                <w:szCs w:val="18"/>
              </w:rPr>
              <w:t xml:space="preserve"> przez co najmniej 5 lat od podpisania protokołu odbioru.</w:t>
            </w:r>
          </w:p>
        </w:tc>
      </w:tr>
      <w:tr w:rsidR="00303DA4" w:rsidRPr="00711C09" w:rsidTr="00303DA4">
        <w:trPr>
          <w:trHeight w:val="76"/>
        </w:trPr>
        <w:tc>
          <w:tcPr>
            <w:tcW w:w="817" w:type="dxa"/>
            <w:vAlign w:val="center"/>
          </w:tcPr>
          <w:p w:rsidR="00303DA4" w:rsidRPr="00711C09" w:rsidRDefault="00303DA4" w:rsidP="00972463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25" w:type="dxa"/>
          </w:tcPr>
          <w:p w:rsidR="00303DA4" w:rsidRPr="00711C09" w:rsidRDefault="00303DA4" w:rsidP="001751F3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11C0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Dopuszcza się aby wymagane standardy były obsługiwane w wersjach nowszych niż wymienione powyżej.</w:t>
            </w:r>
          </w:p>
        </w:tc>
      </w:tr>
    </w:tbl>
    <w:p w:rsidR="000F55D8" w:rsidRPr="009A67B0" w:rsidRDefault="000F55D8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2058D7" w:rsidRPr="009A67B0" w:rsidRDefault="002058D7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3E5AE5" w:rsidRPr="009A67B0" w:rsidRDefault="003E5AE5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3E5AE5" w:rsidRPr="009A67B0" w:rsidRDefault="003E5AE5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FA0D8F" w:rsidRPr="009A67B0" w:rsidRDefault="00FA0D8F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p w:rsidR="00FA0D8F" w:rsidRPr="009A67B0" w:rsidRDefault="00FA0D8F" w:rsidP="00C60DCD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</w:p>
    <w:sectPr w:rsidR="00FA0D8F" w:rsidRPr="009A67B0" w:rsidSect="003E5AE5">
      <w:pgSz w:w="16838" w:h="11906" w:orient="landscape"/>
      <w:pgMar w:top="1021" w:right="1134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EB" w:rsidRDefault="00945EEB" w:rsidP="001052F7">
      <w:r>
        <w:separator/>
      </w:r>
    </w:p>
  </w:endnote>
  <w:endnote w:type="continuationSeparator" w:id="1">
    <w:p w:rsidR="00945EEB" w:rsidRDefault="00945EEB" w:rsidP="0010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EB" w:rsidRDefault="00945EEB" w:rsidP="001052F7">
      <w:r>
        <w:separator/>
      </w:r>
    </w:p>
  </w:footnote>
  <w:footnote w:type="continuationSeparator" w:id="1">
    <w:p w:rsidR="00945EEB" w:rsidRDefault="00945EEB" w:rsidP="00105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968"/>
    <w:multiLevelType w:val="hybridMultilevel"/>
    <w:tmpl w:val="AD508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E3672"/>
    <w:multiLevelType w:val="hybridMultilevel"/>
    <w:tmpl w:val="CDD4C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927F9"/>
    <w:multiLevelType w:val="multilevel"/>
    <w:tmpl w:val="57B40B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FE5BC4"/>
    <w:multiLevelType w:val="hybridMultilevel"/>
    <w:tmpl w:val="294CBF68"/>
    <w:lvl w:ilvl="0" w:tplc="4C70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82507"/>
    <w:multiLevelType w:val="hybridMultilevel"/>
    <w:tmpl w:val="8E4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4ECC"/>
    <w:multiLevelType w:val="hybridMultilevel"/>
    <w:tmpl w:val="454C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8D5"/>
    <w:multiLevelType w:val="hybridMultilevel"/>
    <w:tmpl w:val="E01E8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784C"/>
    <w:multiLevelType w:val="hybridMultilevel"/>
    <w:tmpl w:val="1BDC5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C4783"/>
    <w:multiLevelType w:val="multilevel"/>
    <w:tmpl w:val="3B8021E0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C792304"/>
    <w:multiLevelType w:val="multilevel"/>
    <w:tmpl w:val="E74C0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D19260A"/>
    <w:multiLevelType w:val="hybridMultilevel"/>
    <w:tmpl w:val="1BDC5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2B6C88"/>
    <w:multiLevelType w:val="multilevel"/>
    <w:tmpl w:val="E74C0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EBF4519"/>
    <w:multiLevelType w:val="hybridMultilevel"/>
    <w:tmpl w:val="CD3292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0EE3"/>
    <w:rsid w:val="00007CED"/>
    <w:rsid w:val="00011DC6"/>
    <w:rsid w:val="00011EC8"/>
    <w:rsid w:val="0001357A"/>
    <w:rsid w:val="00014BBC"/>
    <w:rsid w:val="00017EBE"/>
    <w:rsid w:val="00024D43"/>
    <w:rsid w:val="000254AE"/>
    <w:rsid w:val="00026599"/>
    <w:rsid w:val="00026C45"/>
    <w:rsid w:val="00027125"/>
    <w:rsid w:val="00032228"/>
    <w:rsid w:val="00033862"/>
    <w:rsid w:val="000347B5"/>
    <w:rsid w:val="0003542A"/>
    <w:rsid w:val="000422AD"/>
    <w:rsid w:val="00044757"/>
    <w:rsid w:val="00044987"/>
    <w:rsid w:val="000449F4"/>
    <w:rsid w:val="0004586C"/>
    <w:rsid w:val="00057B44"/>
    <w:rsid w:val="00064236"/>
    <w:rsid w:val="000649D4"/>
    <w:rsid w:val="00065877"/>
    <w:rsid w:val="00066BBF"/>
    <w:rsid w:val="000676C5"/>
    <w:rsid w:val="00067725"/>
    <w:rsid w:val="00075F52"/>
    <w:rsid w:val="00085719"/>
    <w:rsid w:val="00087E0F"/>
    <w:rsid w:val="00090A98"/>
    <w:rsid w:val="00090BFD"/>
    <w:rsid w:val="000922B8"/>
    <w:rsid w:val="000938BA"/>
    <w:rsid w:val="00096362"/>
    <w:rsid w:val="000B056D"/>
    <w:rsid w:val="000B4134"/>
    <w:rsid w:val="000C1D29"/>
    <w:rsid w:val="000C3191"/>
    <w:rsid w:val="000C6F75"/>
    <w:rsid w:val="000D342A"/>
    <w:rsid w:val="000D47F6"/>
    <w:rsid w:val="000D66D2"/>
    <w:rsid w:val="000E159F"/>
    <w:rsid w:val="000E2A40"/>
    <w:rsid w:val="000E4596"/>
    <w:rsid w:val="000F4454"/>
    <w:rsid w:val="000F55D8"/>
    <w:rsid w:val="00101EA4"/>
    <w:rsid w:val="001030FF"/>
    <w:rsid w:val="0010382E"/>
    <w:rsid w:val="001052F7"/>
    <w:rsid w:val="001058F2"/>
    <w:rsid w:val="001244C9"/>
    <w:rsid w:val="001302C7"/>
    <w:rsid w:val="001331FC"/>
    <w:rsid w:val="00140B06"/>
    <w:rsid w:val="00147E40"/>
    <w:rsid w:val="0015236E"/>
    <w:rsid w:val="00163D87"/>
    <w:rsid w:val="00164977"/>
    <w:rsid w:val="00164B08"/>
    <w:rsid w:val="001673B8"/>
    <w:rsid w:val="00170835"/>
    <w:rsid w:val="00173B2E"/>
    <w:rsid w:val="001751F3"/>
    <w:rsid w:val="00181F32"/>
    <w:rsid w:val="001834D6"/>
    <w:rsid w:val="00183AD3"/>
    <w:rsid w:val="00185E08"/>
    <w:rsid w:val="00191AFA"/>
    <w:rsid w:val="00193693"/>
    <w:rsid w:val="001A08D1"/>
    <w:rsid w:val="001A2FE7"/>
    <w:rsid w:val="001A528E"/>
    <w:rsid w:val="001A68F2"/>
    <w:rsid w:val="001A69C2"/>
    <w:rsid w:val="001A7A52"/>
    <w:rsid w:val="001B1414"/>
    <w:rsid w:val="001B15D2"/>
    <w:rsid w:val="001B643D"/>
    <w:rsid w:val="001B7B1C"/>
    <w:rsid w:val="001C0CAE"/>
    <w:rsid w:val="001C226E"/>
    <w:rsid w:val="001C6F09"/>
    <w:rsid w:val="001D2811"/>
    <w:rsid w:val="001E692F"/>
    <w:rsid w:val="001F55E3"/>
    <w:rsid w:val="00200D84"/>
    <w:rsid w:val="00201F2D"/>
    <w:rsid w:val="002058D7"/>
    <w:rsid w:val="00227481"/>
    <w:rsid w:val="00232642"/>
    <w:rsid w:val="00236B5E"/>
    <w:rsid w:val="00246105"/>
    <w:rsid w:val="0024653A"/>
    <w:rsid w:val="00252F6C"/>
    <w:rsid w:val="00256C3D"/>
    <w:rsid w:val="00272351"/>
    <w:rsid w:val="002725FC"/>
    <w:rsid w:val="00275132"/>
    <w:rsid w:val="00280377"/>
    <w:rsid w:val="002931B8"/>
    <w:rsid w:val="002A37A5"/>
    <w:rsid w:val="002A7491"/>
    <w:rsid w:val="002B7E95"/>
    <w:rsid w:val="002C0D6D"/>
    <w:rsid w:val="002D60D9"/>
    <w:rsid w:val="002E1F48"/>
    <w:rsid w:val="002E3CCB"/>
    <w:rsid w:val="002F0319"/>
    <w:rsid w:val="002F0F81"/>
    <w:rsid w:val="00303858"/>
    <w:rsid w:val="00303DA4"/>
    <w:rsid w:val="00304709"/>
    <w:rsid w:val="00306755"/>
    <w:rsid w:val="0030772D"/>
    <w:rsid w:val="00311B8C"/>
    <w:rsid w:val="0033057C"/>
    <w:rsid w:val="00331CAA"/>
    <w:rsid w:val="00340987"/>
    <w:rsid w:val="00342C3C"/>
    <w:rsid w:val="00350F51"/>
    <w:rsid w:val="0035347E"/>
    <w:rsid w:val="00353CED"/>
    <w:rsid w:val="00356057"/>
    <w:rsid w:val="003719D1"/>
    <w:rsid w:val="003757A2"/>
    <w:rsid w:val="00377921"/>
    <w:rsid w:val="0038246E"/>
    <w:rsid w:val="0039543E"/>
    <w:rsid w:val="003A2A45"/>
    <w:rsid w:val="003B7C11"/>
    <w:rsid w:val="003C5650"/>
    <w:rsid w:val="003D109E"/>
    <w:rsid w:val="003D28FA"/>
    <w:rsid w:val="003D50CE"/>
    <w:rsid w:val="003D7D10"/>
    <w:rsid w:val="003E4A77"/>
    <w:rsid w:val="003E564D"/>
    <w:rsid w:val="003E5AE5"/>
    <w:rsid w:val="003F44E7"/>
    <w:rsid w:val="003F6CC8"/>
    <w:rsid w:val="0040093E"/>
    <w:rsid w:val="004009A1"/>
    <w:rsid w:val="00401337"/>
    <w:rsid w:val="00424E86"/>
    <w:rsid w:val="0042605E"/>
    <w:rsid w:val="0043164A"/>
    <w:rsid w:val="0044751B"/>
    <w:rsid w:val="00455A42"/>
    <w:rsid w:val="00456540"/>
    <w:rsid w:val="004602D7"/>
    <w:rsid w:val="004605F8"/>
    <w:rsid w:val="00460CBF"/>
    <w:rsid w:val="00464484"/>
    <w:rsid w:val="00466EEA"/>
    <w:rsid w:val="0046772A"/>
    <w:rsid w:val="004760BE"/>
    <w:rsid w:val="0048439A"/>
    <w:rsid w:val="004A3547"/>
    <w:rsid w:val="004A659B"/>
    <w:rsid w:val="004A7C93"/>
    <w:rsid w:val="004B260E"/>
    <w:rsid w:val="004B3813"/>
    <w:rsid w:val="004B6001"/>
    <w:rsid w:val="004C4A04"/>
    <w:rsid w:val="004C4FBA"/>
    <w:rsid w:val="004D01C3"/>
    <w:rsid w:val="004D0FD4"/>
    <w:rsid w:val="004D40E9"/>
    <w:rsid w:val="004D5798"/>
    <w:rsid w:val="004D5E25"/>
    <w:rsid w:val="004E0CAE"/>
    <w:rsid w:val="004E1BCB"/>
    <w:rsid w:val="004E3663"/>
    <w:rsid w:val="004F0201"/>
    <w:rsid w:val="004F3247"/>
    <w:rsid w:val="004F5E3F"/>
    <w:rsid w:val="00511303"/>
    <w:rsid w:val="00515DFF"/>
    <w:rsid w:val="00527275"/>
    <w:rsid w:val="00530BFE"/>
    <w:rsid w:val="00530ED4"/>
    <w:rsid w:val="005415ED"/>
    <w:rsid w:val="00547F94"/>
    <w:rsid w:val="00550BD5"/>
    <w:rsid w:val="00550D95"/>
    <w:rsid w:val="00556479"/>
    <w:rsid w:val="00560BCE"/>
    <w:rsid w:val="00563E84"/>
    <w:rsid w:val="005652E2"/>
    <w:rsid w:val="00570125"/>
    <w:rsid w:val="005828AD"/>
    <w:rsid w:val="00587C27"/>
    <w:rsid w:val="00590653"/>
    <w:rsid w:val="005A4074"/>
    <w:rsid w:val="005A467C"/>
    <w:rsid w:val="005A797A"/>
    <w:rsid w:val="005B2601"/>
    <w:rsid w:val="005B4B25"/>
    <w:rsid w:val="005B7B22"/>
    <w:rsid w:val="005C19B4"/>
    <w:rsid w:val="005C69D1"/>
    <w:rsid w:val="005D5146"/>
    <w:rsid w:val="005D576F"/>
    <w:rsid w:val="005D5F1F"/>
    <w:rsid w:val="005E2207"/>
    <w:rsid w:val="005E3112"/>
    <w:rsid w:val="005E3337"/>
    <w:rsid w:val="005E528E"/>
    <w:rsid w:val="005F0E7D"/>
    <w:rsid w:val="005F4041"/>
    <w:rsid w:val="005F40CF"/>
    <w:rsid w:val="005F501A"/>
    <w:rsid w:val="0060314D"/>
    <w:rsid w:val="00603E5D"/>
    <w:rsid w:val="00605F8F"/>
    <w:rsid w:val="0060658B"/>
    <w:rsid w:val="00610CC5"/>
    <w:rsid w:val="006111CC"/>
    <w:rsid w:val="0061492E"/>
    <w:rsid w:val="00614DDD"/>
    <w:rsid w:val="00633788"/>
    <w:rsid w:val="00633CB8"/>
    <w:rsid w:val="00641E2A"/>
    <w:rsid w:val="00643F26"/>
    <w:rsid w:val="00645F43"/>
    <w:rsid w:val="00650C98"/>
    <w:rsid w:val="00650DEA"/>
    <w:rsid w:val="0065194C"/>
    <w:rsid w:val="00654230"/>
    <w:rsid w:val="00660272"/>
    <w:rsid w:val="006608F3"/>
    <w:rsid w:val="00672CF2"/>
    <w:rsid w:val="006778F2"/>
    <w:rsid w:val="006811B5"/>
    <w:rsid w:val="00686735"/>
    <w:rsid w:val="00690A77"/>
    <w:rsid w:val="006949C2"/>
    <w:rsid w:val="00695083"/>
    <w:rsid w:val="006A1227"/>
    <w:rsid w:val="006A3506"/>
    <w:rsid w:val="006A6BAC"/>
    <w:rsid w:val="006B2567"/>
    <w:rsid w:val="006C1B28"/>
    <w:rsid w:val="006C1FEB"/>
    <w:rsid w:val="006C4559"/>
    <w:rsid w:val="006C6851"/>
    <w:rsid w:val="006D4927"/>
    <w:rsid w:val="006E4C9F"/>
    <w:rsid w:val="006F3A28"/>
    <w:rsid w:val="00700871"/>
    <w:rsid w:val="00701806"/>
    <w:rsid w:val="00702B8B"/>
    <w:rsid w:val="00711C09"/>
    <w:rsid w:val="00712341"/>
    <w:rsid w:val="00715E14"/>
    <w:rsid w:val="007226D3"/>
    <w:rsid w:val="00722C6A"/>
    <w:rsid w:val="007231E2"/>
    <w:rsid w:val="00724000"/>
    <w:rsid w:val="00732B99"/>
    <w:rsid w:val="007415EA"/>
    <w:rsid w:val="007534CE"/>
    <w:rsid w:val="007562E0"/>
    <w:rsid w:val="00756C74"/>
    <w:rsid w:val="007612C9"/>
    <w:rsid w:val="0076577E"/>
    <w:rsid w:val="00765CBB"/>
    <w:rsid w:val="00766E4A"/>
    <w:rsid w:val="00781E83"/>
    <w:rsid w:val="007827CD"/>
    <w:rsid w:val="00783441"/>
    <w:rsid w:val="007876C6"/>
    <w:rsid w:val="00787C68"/>
    <w:rsid w:val="00791586"/>
    <w:rsid w:val="00794EBC"/>
    <w:rsid w:val="007C0B77"/>
    <w:rsid w:val="007C658D"/>
    <w:rsid w:val="007C679C"/>
    <w:rsid w:val="007D2219"/>
    <w:rsid w:val="007D2B24"/>
    <w:rsid w:val="007D469E"/>
    <w:rsid w:val="007D565A"/>
    <w:rsid w:val="007D5A0D"/>
    <w:rsid w:val="007D6B3E"/>
    <w:rsid w:val="007E299D"/>
    <w:rsid w:val="007F4C52"/>
    <w:rsid w:val="007F72F3"/>
    <w:rsid w:val="00805058"/>
    <w:rsid w:val="00805852"/>
    <w:rsid w:val="00811FE6"/>
    <w:rsid w:val="0081723B"/>
    <w:rsid w:val="00826299"/>
    <w:rsid w:val="00826678"/>
    <w:rsid w:val="0082716D"/>
    <w:rsid w:val="00831747"/>
    <w:rsid w:val="00832DB3"/>
    <w:rsid w:val="00834278"/>
    <w:rsid w:val="00835156"/>
    <w:rsid w:val="00840138"/>
    <w:rsid w:val="00843673"/>
    <w:rsid w:val="00846462"/>
    <w:rsid w:val="008561AE"/>
    <w:rsid w:val="0086003F"/>
    <w:rsid w:val="00863B0C"/>
    <w:rsid w:val="008649EB"/>
    <w:rsid w:val="0087186D"/>
    <w:rsid w:val="00871F8A"/>
    <w:rsid w:val="00880195"/>
    <w:rsid w:val="00893118"/>
    <w:rsid w:val="00896B14"/>
    <w:rsid w:val="008C2145"/>
    <w:rsid w:val="008C235B"/>
    <w:rsid w:val="008C285F"/>
    <w:rsid w:val="008C5BC0"/>
    <w:rsid w:val="008D1344"/>
    <w:rsid w:val="008E0BB6"/>
    <w:rsid w:val="008E123D"/>
    <w:rsid w:val="008E4188"/>
    <w:rsid w:val="008E4980"/>
    <w:rsid w:val="008E6544"/>
    <w:rsid w:val="008E74FD"/>
    <w:rsid w:val="008F624D"/>
    <w:rsid w:val="009006DC"/>
    <w:rsid w:val="009050D8"/>
    <w:rsid w:val="00906DB1"/>
    <w:rsid w:val="0091102D"/>
    <w:rsid w:val="0091111A"/>
    <w:rsid w:val="00915CB0"/>
    <w:rsid w:val="009227DD"/>
    <w:rsid w:val="00924B0E"/>
    <w:rsid w:val="00932997"/>
    <w:rsid w:val="009330BA"/>
    <w:rsid w:val="00934872"/>
    <w:rsid w:val="00941C3D"/>
    <w:rsid w:val="00945EEB"/>
    <w:rsid w:val="00947F06"/>
    <w:rsid w:val="00952B2A"/>
    <w:rsid w:val="00954D39"/>
    <w:rsid w:val="0096097D"/>
    <w:rsid w:val="0096109F"/>
    <w:rsid w:val="00964143"/>
    <w:rsid w:val="00972463"/>
    <w:rsid w:val="00983851"/>
    <w:rsid w:val="00984823"/>
    <w:rsid w:val="00986DDC"/>
    <w:rsid w:val="00995874"/>
    <w:rsid w:val="009A5658"/>
    <w:rsid w:val="009A67B0"/>
    <w:rsid w:val="009B39A6"/>
    <w:rsid w:val="009D1FCB"/>
    <w:rsid w:val="009D77A7"/>
    <w:rsid w:val="009E09DC"/>
    <w:rsid w:val="009E5F9F"/>
    <w:rsid w:val="009E7824"/>
    <w:rsid w:val="009F128E"/>
    <w:rsid w:val="009F1ABA"/>
    <w:rsid w:val="00A00E09"/>
    <w:rsid w:val="00A13F59"/>
    <w:rsid w:val="00A2157B"/>
    <w:rsid w:val="00A25578"/>
    <w:rsid w:val="00A2568A"/>
    <w:rsid w:val="00A54F81"/>
    <w:rsid w:val="00A565E8"/>
    <w:rsid w:val="00A603E3"/>
    <w:rsid w:val="00A605FE"/>
    <w:rsid w:val="00A61513"/>
    <w:rsid w:val="00A70019"/>
    <w:rsid w:val="00A716E4"/>
    <w:rsid w:val="00A80E1B"/>
    <w:rsid w:val="00A90EE3"/>
    <w:rsid w:val="00A92328"/>
    <w:rsid w:val="00AA0ACF"/>
    <w:rsid w:val="00AA12BA"/>
    <w:rsid w:val="00AA2B7E"/>
    <w:rsid w:val="00AA530A"/>
    <w:rsid w:val="00AA5E72"/>
    <w:rsid w:val="00AB04C1"/>
    <w:rsid w:val="00AB0755"/>
    <w:rsid w:val="00AB7C86"/>
    <w:rsid w:val="00AC14AD"/>
    <w:rsid w:val="00AC2168"/>
    <w:rsid w:val="00AC5FE6"/>
    <w:rsid w:val="00AC7B51"/>
    <w:rsid w:val="00AD7ACC"/>
    <w:rsid w:val="00AE0E26"/>
    <w:rsid w:val="00AE421E"/>
    <w:rsid w:val="00AF1100"/>
    <w:rsid w:val="00AF498A"/>
    <w:rsid w:val="00AF4B0A"/>
    <w:rsid w:val="00B10E00"/>
    <w:rsid w:val="00B1254F"/>
    <w:rsid w:val="00B130BF"/>
    <w:rsid w:val="00B2171C"/>
    <w:rsid w:val="00B30CD4"/>
    <w:rsid w:val="00B326E2"/>
    <w:rsid w:val="00B37015"/>
    <w:rsid w:val="00B43D57"/>
    <w:rsid w:val="00B54DD7"/>
    <w:rsid w:val="00B56331"/>
    <w:rsid w:val="00B57CA5"/>
    <w:rsid w:val="00B60A16"/>
    <w:rsid w:val="00B62A54"/>
    <w:rsid w:val="00B66B2C"/>
    <w:rsid w:val="00B73A40"/>
    <w:rsid w:val="00B740B4"/>
    <w:rsid w:val="00B754ED"/>
    <w:rsid w:val="00B76125"/>
    <w:rsid w:val="00B801B9"/>
    <w:rsid w:val="00B87161"/>
    <w:rsid w:val="00BA25F1"/>
    <w:rsid w:val="00BB0F6F"/>
    <w:rsid w:val="00BB258F"/>
    <w:rsid w:val="00BB68BF"/>
    <w:rsid w:val="00BB6A4B"/>
    <w:rsid w:val="00BB7516"/>
    <w:rsid w:val="00BC51FC"/>
    <w:rsid w:val="00BD21FC"/>
    <w:rsid w:val="00BD3B3B"/>
    <w:rsid w:val="00BD3BC1"/>
    <w:rsid w:val="00BE1CE2"/>
    <w:rsid w:val="00BE2E28"/>
    <w:rsid w:val="00BE2F6A"/>
    <w:rsid w:val="00BE3955"/>
    <w:rsid w:val="00BE77CD"/>
    <w:rsid w:val="00C01A61"/>
    <w:rsid w:val="00C107EE"/>
    <w:rsid w:val="00C12C8C"/>
    <w:rsid w:val="00C14F36"/>
    <w:rsid w:val="00C448E3"/>
    <w:rsid w:val="00C45122"/>
    <w:rsid w:val="00C4594A"/>
    <w:rsid w:val="00C467E6"/>
    <w:rsid w:val="00C46CEF"/>
    <w:rsid w:val="00C50313"/>
    <w:rsid w:val="00C5307A"/>
    <w:rsid w:val="00C534F8"/>
    <w:rsid w:val="00C562CD"/>
    <w:rsid w:val="00C56D3B"/>
    <w:rsid w:val="00C60DCD"/>
    <w:rsid w:val="00C6565C"/>
    <w:rsid w:val="00C701F9"/>
    <w:rsid w:val="00C80034"/>
    <w:rsid w:val="00C80652"/>
    <w:rsid w:val="00C9050A"/>
    <w:rsid w:val="00CA4C84"/>
    <w:rsid w:val="00CB697D"/>
    <w:rsid w:val="00CD2282"/>
    <w:rsid w:val="00CD4D0E"/>
    <w:rsid w:val="00CD56B2"/>
    <w:rsid w:val="00CE6D90"/>
    <w:rsid w:val="00CF00E5"/>
    <w:rsid w:val="00CF1C07"/>
    <w:rsid w:val="00D01A27"/>
    <w:rsid w:val="00D020D1"/>
    <w:rsid w:val="00D02C1F"/>
    <w:rsid w:val="00D04BC4"/>
    <w:rsid w:val="00D07D69"/>
    <w:rsid w:val="00D12A20"/>
    <w:rsid w:val="00D20630"/>
    <w:rsid w:val="00D21DEF"/>
    <w:rsid w:val="00D224D4"/>
    <w:rsid w:val="00D24565"/>
    <w:rsid w:val="00D25711"/>
    <w:rsid w:val="00D25A6F"/>
    <w:rsid w:val="00D3400D"/>
    <w:rsid w:val="00D3723E"/>
    <w:rsid w:val="00D44233"/>
    <w:rsid w:val="00D4634E"/>
    <w:rsid w:val="00D51671"/>
    <w:rsid w:val="00D55DA6"/>
    <w:rsid w:val="00D6431A"/>
    <w:rsid w:val="00D75092"/>
    <w:rsid w:val="00D80AD9"/>
    <w:rsid w:val="00D82C1B"/>
    <w:rsid w:val="00D862F7"/>
    <w:rsid w:val="00D92E97"/>
    <w:rsid w:val="00D9347B"/>
    <w:rsid w:val="00DA1D71"/>
    <w:rsid w:val="00DA747F"/>
    <w:rsid w:val="00DB604B"/>
    <w:rsid w:val="00DC10C6"/>
    <w:rsid w:val="00DC1504"/>
    <w:rsid w:val="00DC3245"/>
    <w:rsid w:val="00DE3A77"/>
    <w:rsid w:val="00DF1ABF"/>
    <w:rsid w:val="00DF6B87"/>
    <w:rsid w:val="00E06635"/>
    <w:rsid w:val="00E169D9"/>
    <w:rsid w:val="00E20F22"/>
    <w:rsid w:val="00E20F4A"/>
    <w:rsid w:val="00E32436"/>
    <w:rsid w:val="00E32B0F"/>
    <w:rsid w:val="00E5032E"/>
    <w:rsid w:val="00E51E6A"/>
    <w:rsid w:val="00E56872"/>
    <w:rsid w:val="00E57DD0"/>
    <w:rsid w:val="00E71F2C"/>
    <w:rsid w:val="00E73397"/>
    <w:rsid w:val="00E82F29"/>
    <w:rsid w:val="00E84EE1"/>
    <w:rsid w:val="00E877EA"/>
    <w:rsid w:val="00E92662"/>
    <w:rsid w:val="00E92B06"/>
    <w:rsid w:val="00EA1E1C"/>
    <w:rsid w:val="00EA70D6"/>
    <w:rsid w:val="00EB1E82"/>
    <w:rsid w:val="00EB2F56"/>
    <w:rsid w:val="00EB53B5"/>
    <w:rsid w:val="00EC4994"/>
    <w:rsid w:val="00EC7C23"/>
    <w:rsid w:val="00ED5CE8"/>
    <w:rsid w:val="00EE0088"/>
    <w:rsid w:val="00F204CE"/>
    <w:rsid w:val="00F21D29"/>
    <w:rsid w:val="00F26024"/>
    <w:rsid w:val="00F267CA"/>
    <w:rsid w:val="00F27EF3"/>
    <w:rsid w:val="00F308BF"/>
    <w:rsid w:val="00F35586"/>
    <w:rsid w:val="00F40575"/>
    <w:rsid w:val="00F45AFF"/>
    <w:rsid w:val="00F50D6C"/>
    <w:rsid w:val="00F532C8"/>
    <w:rsid w:val="00F5424B"/>
    <w:rsid w:val="00F60665"/>
    <w:rsid w:val="00F6075C"/>
    <w:rsid w:val="00F6343A"/>
    <w:rsid w:val="00F638A0"/>
    <w:rsid w:val="00F6534B"/>
    <w:rsid w:val="00F67524"/>
    <w:rsid w:val="00F72778"/>
    <w:rsid w:val="00F77F89"/>
    <w:rsid w:val="00F81A02"/>
    <w:rsid w:val="00F82B68"/>
    <w:rsid w:val="00F931D2"/>
    <w:rsid w:val="00F93B02"/>
    <w:rsid w:val="00F94859"/>
    <w:rsid w:val="00FA0D8F"/>
    <w:rsid w:val="00FA2F62"/>
    <w:rsid w:val="00FA6489"/>
    <w:rsid w:val="00FC0A70"/>
    <w:rsid w:val="00FC3A41"/>
    <w:rsid w:val="00FD0B8B"/>
    <w:rsid w:val="00FD304C"/>
    <w:rsid w:val="00FD7155"/>
    <w:rsid w:val="00FE152C"/>
    <w:rsid w:val="00FE2312"/>
    <w:rsid w:val="00FF5836"/>
    <w:rsid w:val="00FF6BF7"/>
    <w:rsid w:val="00FF6C5B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EE3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EE3"/>
    <w:pPr>
      <w:keepNext/>
      <w:numPr>
        <w:ilvl w:val="1"/>
        <w:numId w:val="2"/>
      </w:numPr>
      <w:spacing w:before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0EE3"/>
    <w:pPr>
      <w:keepNext/>
      <w:numPr>
        <w:ilvl w:val="2"/>
        <w:numId w:val="2"/>
      </w:numPr>
      <w:spacing w:before="12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0EE3"/>
    <w:pPr>
      <w:keepNext/>
      <w:numPr>
        <w:ilvl w:val="3"/>
        <w:numId w:val="2"/>
      </w:numPr>
      <w:spacing w:line="360" w:lineRule="auto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0EE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0EE3"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0EE3"/>
    <w:pPr>
      <w:keepNext/>
      <w:numPr>
        <w:ilvl w:val="6"/>
        <w:numId w:val="2"/>
      </w:numPr>
      <w:spacing w:line="36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0EE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0EE3"/>
    <w:pPr>
      <w:keepNext/>
      <w:numPr>
        <w:ilvl w:val="8"/>
        <w:numId w:val="2"/>
      </w:numPr>
      <w:spacing w:line="360" w:lineRule="auto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EE3"/>
    <w:rPr>
      <w:b/>
      <w:bCs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rsid w:val="00563E8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563E8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563E8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563E8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563E84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563E8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563E8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563E84"/>
    <w:rPr>
      <w:rFonts w:ascii="Cambria" w:hAnsi="Cambria" w:cs="Cambria"/>
    </w:rPr>
  </w:style>
  <w:style w:type="table" w:styleId="Tabela-Siatka">
    <w:name w:val="Table Grid"/>
    <w:basedOn w:val="Standardowy"/>
    <w:uiPriority w:val="99"/>
    <w:rsid w:val="00A90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90EE3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A90EE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3E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63E8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90EE3"/>
  </w:style>
  <w:style w:type="character" w:styleId="Odwoaniedokomentarza">
    <w:name w:val="annotation reference"/>
    <w:uiPriority w:val="99"/>
    <w:semiHidden/>
    <w:rsid w:val="005F4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40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3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40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34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4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34D6"/>
    <w:rPr>
      <w:sz w:val="2"/>
      <w:szCs w:val="2"/>
    </w:rPr>
  </w:style>
  <w:style w:type="paragraph" w:styleId="Bezodstpw">
    <w:name w:val="No Spacing"/>
    <w:uiPriority w:val="99"/>
    <w:qFormat/>
    <w:rsid w:val="000D47F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1F2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EE3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EE3"/>
    <w:pPr>
      <w:keepNext/>
      <w:numPr>
        <w:ilvl w:val="1"/>
        <w:numId w:val="2"/>
      </w:numPr>
      <w:spacing w:before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0EE3"/>
    <w:pPr>
      <w:keepNext/>
      <w:numPr>
        <w:ilvl w:val="2"/>
        <w:numId w:val="2"/>
      </w:numPr>
      <w:spacing w:before="12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0EE3"/>
    <w:pPr>
      <w:keepNext/>
      <w:numPr>
        <w:ilvl w:val="3"/>
        <w:numId w:val="2"/>
      </w:numPr>
      <w:spacing w:line="360" w:lineRule="auto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0EE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0EE3"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0EE3"/>
    <w:pPr>
      <w:keepNext/>
      <w:numPr>
        <w:ilvl w:val="6"/>
        <w:numId w:val="2"/>
      </w:numPr>
      <w:spacing w:line="36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0EE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0EE3"/>
    <w:pPr>
      <w:keepNext/>
      <w:numPr>
        <w:ilvl w:val="8"/>
        <w:numId w:val="2"/>
      </w:numPr>
      <w:spacing w:line="360" w:lineRule="auto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EE3"/>
    <w:rPr>
      <w:b/>
      <w:bCs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rsid w:val="00563E8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563E8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563E8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563E8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563E84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563E8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563E8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563E84"/>
    <w:rPr>
      <w:rFonts w:ascii="Cambria" w:hAnsi="Cambria" w:cs="Cambria"/>
    </w:rPr>
  </w:style>
  <w:style w:type="table" w:styleId="Tabela-Siatka">
    <w:name w:val="Table Grid"/>
    <w:basedOn w:val="Standardowy"/>
    <w:uiPriority w:val="99"/>
    <w:rsid w:val="00A9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90EE3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A90EE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3E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0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63E8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90EE3"/>
  </w:style>
  <w:style w:type="character" w:styleId="Odwoaniedokomentarza">
    <w:name w:val="annotation reference"/>
    <w:uiPriority w:val="99"/>
    <w:semiHidden/>
    <w:rsid w:val="005F4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40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3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40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34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4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34D6"/>
    <w:rPr>
      <w:sz w:val="2"/>
      <w:szCs w:val="2"/>
    </w:rPr>
  </w:style>
  <w:style w:type="paragraph" w:styleId="Bezodstpw">
    <w:name w:val="No Spacing"/>
    <w:uiPriority w:val="99"/>
    <w:qFormat/>
    <w:rsid w:val="000D47F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1F2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7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 w części 1:</vt:lpstr>
    </vt:vector>
  </TitlesOfParts>
  <Company>UMCS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 w części 1:</dc:title>
  <dc:creator>SAN</dc:creator>
  <cp:lastModifiedBy>User</cp:lastModifiedBy>
  <cp:revision>36</cp:revision>
  <cp:lastPrinted>2017-05-16T06:50:00Z</cp:lastPrinted>
  <dcterms:created xsi:type="dcterms:W3CDTF">2017-02-27T10:22:00Z</dcterms:created>
  <dcterms:modified xsi:type="dcterms:W3CDTF">2017-05-16T06:50:00Z</dcterms:modified>
</cp:coreProperties>
</file>