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D3" w:rsidRPr="009C34B8" w:rsidRDefault="00AD3C79" w:rsidP="009C34B8">
      <w:pPr>
        <w:spacing w:line="360" w:lineRule="auto"/>
        <w:rPr>
          <w:rFonts w:ascii="Calibri" w:hAnsi="Calibri"/>
          <w:szCs w:val="18"/>
          <w:u w:val="single"/>
        </w:rPr>
      </w:pPr>
      <w:r>
        <w:rPr>
          <w:rFonts w:ascii="Calibri" w:hAnsi="Calibri"/>
          <w:szCs w:val="18"/>
          <w:u w:val="single"/>
        </w:rPr>
        <w:t>Oznaczenie sprawy: PU/08</w:t>
      </w:r>
      <w:r w:rsidR="00E571D3" w:rsidRPr="00E571D3">
        <w:rPr>
          <w:rFonts w:ascii="Calibri" w:hAnsi="Calibri"/>
          <w:szCs w:val="18"/>
          <w:u w:val="single"/>
        </w:rPr>
        <w:t>-2016/DOP-a</w:t>
      </w:r>
      <w:r w:rsidR="00E571D3" w:rsidRPr="00E571D3">
        <w:rPr>
          <w:rFonts w:ascii="Calibri" w:hAnsi="Calibri"/>
          <w:szCs w:val="18"/>
          <w:u w:val="single"/>
        </w:rPr>
        <w:tab/>
      </w:r>
      <w:r w:rsidR="00E571D3" w:rsidRPr="00E571D3">
        <w:rPr>
          <w:rFonts w:ascii="Calibri" w:hAnsi="Calibri"/>
          <w:szCs w:val="18"/>
          <w:u w:val="single"/>
        </w:rPr>
        <w:tab/>
      </w:r>
      <w:r w:rsidR="00E571D3" w:rsidRPr="00E571D3">
        <w:rPr>
          <w:rFonts w:ascii="Calibri" w:hAnsi="Calibri"/>
          <w:szCs w:val="18"/>
          <w:u w:val="single"/>
        </w:rPr>
        <w:tab/>
      </w:r>
      <w:r w:rsidR="00E571D3" w:rsidRPr="00E571D3">
        <w:rPr>
          <w:rFonts w:ascii="Calibri" w:hAnsi="Calibri"/>
          <w:szCs w:val="18"/>
          <w:u w:val="single"/>
        </w:rPr>
        <w:tab/>
      </w:r>
      <w:r w:rsidR="00E571D3">
        <w:rPr>
          <w:rFonts w:ascii="Calibri" w:hAnsi="Calibri"/>
          <w:szCs w:val="18"/>
          <w:u w:val="single"/>
        </w:rPr>
        <w:t xml:space="preserve">                                         </w:t>
      </w:r>
      <w:r w:rsidR="00E571D3" w:rsidRPr="00E571D3">
        <w:rPr>
          <w:rFonts w:ascii="Calibri" w:hAnsi="Calibri"/>
          <w:szCs w:val="18"/>
          <w:u w:val="single"/>
        </w:rPr>
        <w:t>Załącznik Nr 1 do Zaproszenia</w:t>
      </w:r>
    </w:p>
    <w:p w:rsidR="00AD3C79" w:rsidRDefault="00AD3C79" w:rsidP="00E571D3">
      <w:pPr>
        <w:jc w:val="center"/>
        <w:rPr>
          <w:rFonts w:ascii="Calibri" w:hAnsi="Calibri"/>
          <w:b/>
          <w:sz w:val="22"/>
          <w:szCs w:val="22"/>
          <w:u w:val="single"/>
        </w:rPr>
      </w:pPr>
    </w:p>
    <w:p w:rsidR="00E571D3" w:rsidRDefault="00E571D3" w:rsidP="00E571D3">
      <w:pPr>
        <w:jc w:val="center"/>
        <w:rPr>
          <w:rFonts w:ascii="Calibri" w:hAnsi="Calibri"/>
          <w:b/>
          <w:sz w:val="22"/>
          <w:szCs w:val="22"/>
          <w:u w:val="single"/>
        </w:rPr>
      </w:pPr>
      <w:r>
        <w:rPr>
          <w:rFonts w:ascii="Calibri" w:hAnsi="Calibri"/>
          <w:b/>
          <w:sz w:val="22"/>
          <w:szCs w:val="22"/>
          <w:u w:val="single"/>
        </w:rPr>
        <w:t>OPIS PRZEDMIOTU ZAMÓWIENIA / OPIS OFEROWANEGO TOWARU</w:t>
      </w:r>
    </w:p>
    <w:p w:rsidR="00E571D3" w:rsidRPr="0044636D" w:rsidRDefault="00E571D3" w:rsidP="00E571D3">
      <w:pPr>
        <w:rPr>
          <w:rFonts w:ascii="Calibri" w:hAnsi="Calibri"/>
          <w:b/>
          <w:sz w:val="16"/>
          <w:szCs w:val="16"/>
          <w:u w:val="single"/>
        </w:rPr>
      </w:pPr>
    </w:p>
    <w:p w:rsidR="00E571D3" w:rsidRPr="0044636D" w:rsidRDefault="00E571D3" w:rsidP="0044636D">
      <w:pPr>
        <w:spacing w:line="276" w:lineRule="auto"/>
        <w:jc w:val="center"/>
        <w:rPr>
          <w:rFonts w:ascii="Calibri" w:hAnsi="Calibri"/>
          <w:b/>
          <w:sz w:val="22"/>
          <w:szCs w:val="22"/>
        </w:rPr>
      </w:pPr>
      <w:r>
        <w:rPr>
          <w:rFonts w:ascii="Calibri" w:hAnsi="Calibri"/>
          <w:b/>
          <w:sz w:val="22"/>
          <w:szCs w:val="22"/>
        </w:rPr>
        <w:t>Przedmiotem zamówienia jest dostawa</w:t>
      </w:r>
      <w:r w:rsidR="00872C30">
        <w:rPr>
          <w:rFonts w:ascii="Calibri" w:hAnsi="Calibri"/>
          <w:b/>
          <w:sz w:val="22"/>
          <w:szCs w:val="22"/>
        </w:rPr>
        <w:t xml:space="preserve"> </w:t>
      </w:r>
      <w:proofErr w:type="spellStart"/>
      <w:r w:rsidR="00AD3C79">
        <w:rPr>
          <w:rFonts w:ascii="Calibri" w:hAnsi="Calibri"/>
          <w:b/>
          <w:sz w:val="22"/>
          <w:szCs w:val="22"/>
        </w:rPr>
        <w:t>switcha</w:t>
      </w:r>
      <w:proofErr w:type="spellEnd"/>
      <w:r w:rsidR="00AD3C79">
        <w:rPr>
          <w:rFonts w:ascii="Calibri" w:hAnsi="Calibri"/>
          <w:b/>
          <w:sz w:val="22"/>
          <w:szCs w:val="22"/>
        </w:rPr>
        <w:t xml:space="preserve"> </w:t>
      </w:r>
      <w:proofErr w:type="spellStart"/>
      <w:r w:rsidR="00AD3C79">
        <w:rPr>
          <w:rFonts w:ascii="Calibri" w:hAnsi="Calibri"/>
          <w:b/>
          <w:sz w:val="22"/>
          <w:szCs w:val="22"/>
        </w:rPr>
        <w:t>zarządzalnego</w:t>
      </w:r>
      <w:proofErr w:type="spellEnd"/>
    </w:p>
    <w:p w:rsidR="00AD3C79" w:rsidRDefault="00AD3C79" w:rsidP="007266C3">
      <w:pPr>
        <w:jc w:val="center"/>
        <w:rPr>
          <w:rFonts w:ascii="Calibri" w:hAnsi="Calibri"/>
          <w:b/>
          <w:szCs w:val="18"/>
        </w:rPr>
      </w:pPr>
    </w:p>
    <w:p w:rsidR="00AD3C79" w:rsidRPr="0044636D" w:rsidRDefault="00AD3C79" w:rsidP="007266C3">
      <w:pPr>
        <w:jc w:val="center"/>
        <w:rPr>
          <w:rFonts w:ascii="Calibri" w:hAnsi="Calibri"/>
          <w:b/>
          <w:sz w:val="16"/>
          <w:szCs w:val="16"/>
        </w:rPr>
      </w:pPr>
    </w:p>
    <w:p w:rsidR="0044636D" w:rsidRPr="00E20FF9" w:rsidRDefault="0044636D" w:rsidP="0044636D">
      <w:pPr>
        <w:jc w:val="center"/>
        <w:rPr>
          <w:rFonts w:ascii="Calibri" w:hAnsi="Calibri"/>
          <w:b/>
          <w:sz w:val="22"/>
        </w:rPr>
      </w:pPr>
      <w:r w:rsidRPr="00E20FF9">
        <w:rPr>
          <w:rFonts w:ascii="Calibri" w:hAnsi="Calibri"/>
          <w:b/>
          <w:sz w:val="22"/>
          <w:szCs w:val="22"/>
        </w:rPr>
        <w:t>Producent...........................  Model......................................   Rok produkcji...............................</w:t>
      </w:r>
    </w:p>
    <w:p w:rsidR="00872C30" w:rsidRDefault="0044636D" w:rsidP="0044636D">
      <w:pPr>
        <w:jc w:val="both"/>
        <w:rPr>
          <w:rFonts w:ascii="Calibri" w:hAnsi="Calibri"/>
          <w:b/>
          <w:sz w:val="22"/>
          <w:szCs w:val="22"/>
        </w:rPr>
      </w:pPr>
      <w:r>
        <w:rPr>
          <w:rFonts w:ascii="Calibri" w:hAnsi="Calibri"/>
          <w:b/>
          <w:sz w:val="22"/>
          <w:szCs w:val="22"/>
        </w:rPr>
        <w:t xml:space="preserve">                                                                     </w:t>
      </w:r>
      <w:r w:rsidRPr="00E20FF9">
        <w:rPr>
          <w:rFonts w:ascii="Calibri" w:hAnsi="Calibri"/>
          <w:b/>
          <w:sz w:val="22"/>
          <w:szCs w:val="22"/>
        </w:rPr>
        <w:t>(wypełnia Wykonawca)</w:t>
      </w:r>
    </w:p>
    <w:p w:rsidR="00AD3C79" w:rsidRDefault="00AD3C79" w:rsidP="0044636D">
      <w:pPr>
        <w:jc w:val="both"/>
        <w:rPr>
          <w:rFonts w:ascii="Calibri" w:hAnsi="Calibri"/>
          <w:b/>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4659"/>
        <w:gridCol w:w="6"/>
        <w:gridCol w:w="4113"/>
      </w:tblGrid>
      <w:tr w:rsidR="00AD3C79" w:rsidRPr="00FD304C" w:rsidTr="00AD3C79">
        <w:trPr>
          <w:trHeight w:val="505"/>
        </w:trPr>
        <w:tc>
          <w:tcPr>
            <w:tcW w:w="5000" w:type="pct"/>
            <w:gridSpan w:val="4"/>
          </w:tcPr>
          <w:p w:rsidR="00AD3C79" w:rsidRPr="00AD3C79" w:rsidRDefault="00AD3C79" w:rsidP="009E66CF">
            <w:pPr>
              <w:jc w:val="center"/>
              <w:rPr>
                <w:rFonts w:asciiTheme="minorHAnsi" w:hAnsiTheme="minorHAnsi"/>
                <w:b/>
                <w:bCs/>
                <w:color w:val="000000" w:themeColor="text1"/>
                <w:sz w:val="20"/>
                <w:szCs w:val="20"/>
              </w:rPr>
            </w:pPr>
          </w:p>
          <w:p w:rsidR="00AD3C79" w:rsidRPr="00AD3C79" w:rsidRDefault="00AD3C79" w:rsidP="009E66CF">
            <w:pPr>
              <w:jc w:val="center"/>
              <w:rPr>
                <w:rFonts w:asciiTheme="minorHAnsi" w:hAnsiTheme="minorHAnsi"/>
                <w:b/>
                <w:bCs/>
                <w:color w:val="000000" w:themeColor="text1"/>
                <w:sz w:val="20"/>
                <w:szCs w:val="20"/>
              </w:rPr>
            </w:pPr>
            <w:proofErr w:type="spellStart"/>
            <w:r w:rsidRPr="00AD3C79">
              <w:rPr>
                <w:rFonts w:asciiTheme="minorHAnsi" w:hAnsiTheme="minorHAnsi"/>
                <w:b/>
                <w:bCs/>
                <w:color w:val="000000" w:themeColor="text1"/>
                <w:sz w:val="20"/>
                <w:szCs w:val="20"/>
              </w:rPr>
              <w:t>Switch</w:t>
            </w:r>
            <w:proofErr w:type="spellEnd"/>
            <w:r w:rsidRPr="00AD3C79">
              <w:rPr>
                <w:rFonts w:asciiTheme="minorHAnsi" w:hAnsiTheme="minorHAnsi"/>
                <w:b/>
                <w:bCs/>
                <w:color w:val="000000" w:themeColor="text1"/>
                <w:sz w:val="20"/>
                <w:szCs w:val="20"/>
              </w:rPr>
              <w:t xml:space="preserve"> dostępowy 48 portowy</w:t>
            </w:r>
          </w:p>
          <w:p w:rsidR="00AD3C79" w:rsidRPr="00AD3C79" w:rsidRDefault="00AD3C79" w:rsidP="009E66CF">
            <w:pPr>
              <w:jc w:val="center"/>
              <w:rPr>
                <w:rFonts w:asciiTheme="minorHAnsi" w:hAnsiTheme="minorHAnsi"/>
                <w:b/>
                <w:bCs/>
                <w:color w:val="000000" w:themeColor="text1"/>
                <w:sz w:val="20"/>
                <w:szCs w:val="20"/>
              </w:rPr>
            </w:pPr>
          </w:p>
        </w:tc>
      </w:tr>
      <w:tr w:rsidR="00AD3C79" w:rsidRPr="00FD304C" w:rsidTr="00AD3C79">
        <w:trPr>
          <w:trHeight w:val="76"/>
        </w:trPr>
        <w:tc>
          <w:tcPr>
            <w:tcW w:w="482" w:type="pct"/>
            <w:vAlign w:val="center"/>
          </w:tcPr>
          <w:p w:rsidR="00AD3C79" w:rsidRPr="00AD3C79" w:rsidRDefault="00AD3C79" w:rsidP="00AD3C79">
            <w:pPr>
              <w:jc w:val="center"/>
              <w:rPr>
                <w:rFonts w:asciiTheme="minorHAnsi" w:hAnsiTheme="minorHAnsi"/>
                <w:color w:val="000000" w:themeColor="text1"/>
                <w:sz w:val="20"/>
                <w:szCs w:val="20"/>
              </w:rPr>
            </w:pPr>
            <w:r w:rsidRPr="00AD3C79">
              <w:rPr>
                <w:rFonts w:asciiTheme="minorHAnsi" w:hAnsiTheme="minorHAnsi"/>
                <w:color w:val="000000" w:themeColor="text1"/>
                <w:sz w:val="20"/>
                <w:szCs w:val="20"/>
              </w:rPr>
              <w:t>L.p.</w:t>
            </w:r>
          </w:p>
        </w:tc>
        <w:tc>
          <w:tcPr>
            <w:tcW w:w="2398" w:type="pct"/>
            <w:vAlign w:val="center"/>
          </w:tcPr>
          <w:p w:rsidR="00AD3C79" w:rsidRPr="00AD3C79" w:rsidRDefault="00AD3C79" w:rsidP="009E66CF">
            <w:pPr>
              <w:pStyle w:val="Zwykytekst"/>
              <w:rPr>
                <w:rFonts w:asciiTheme="minorHAnsi" w:hAnsiTheme="minorHAnsi" w:cs="Times New Roman"/>
                <w:b/>
                <w:bCs/>
                <w:color w:val="000000" w:themeColor="text1"/>
              </w:rPr>
            </w:pPr>
          </w:p>
          <w:p w:rsidR="00AD3C79" w:rsidRPr="00AD3C79" w:rsidRDefault="00AD3C79" w:rsidP="009E66CF">
            <w:pPr>
              <w:pStyle w:val="Zwykytekst"/>
              <w:jc w:val="center"/>
              <w:rPr>
                <w:rFonts w:asciiTheme="minorHAnsi" w:hAnsiTheme="minorHAnsi" w:cs="Times New Roman"/>
                <w:b/>
                <w:bCs/>
                <w:color w:val="000000" w:themeColor="text1"/>
              </w:rPr>
            </w:pPr>
            <w:r w:rsidRPr="00AD3C79">
              <w:rPr>
                <w:rFonts w:asciiTheme="minorHAnsi" w:hAnsiTheme="minorHAnsi" w:cs="Times New Roman"/>
                <w:b/>
                <w:bCs/>
                <w:color w:val="000000" w:themeColor="text1"/>
              </w:rPr>
              <w:t>Opis przedmiotu/funkcji/parametrów</w:t>
            </w:r>
          </w:p>
          <w:p w:rsidR="00AD3C79" w:rsidRPr="00AD3C79" w:rsidRDefault="00AD3C79" w:rsidP="009E66CF">
            <w:pPr>
              <w:pStyle w:val="Zwykytekst"/>
              <w:jc w:val="center"/>
              <w:rPr>
                <w:rFonts w:asciiTheme="minorHAnsi" w:hAnsiTheme="minorHAnsi" w:cs="Times New Roman"/>
                <w:b/>
                <w:bCs/>
                <w:color w:val="000000" w:themeColor="text1"/>
              </w:rPr>
            </w:pPr>
          </w:p>
        </w:tc>
        <w:tc>
          <w:tcPr>
            <w:tcW w:w="2120" w:type="pct"/>
            <w:gridSpan w:val="2"/>
            <w:vAlign w:val="center"/>
          </w:tcPr>
          <w:p w:rsidR="00AD3C79" w:rsidRDefault="00AD3C79" w:rsidP="009E66CF">
            <w:pPr>
              <w:pStyle w:val="Zwykytekst"/>
              <w:jc w:val="center"/>
              <w:rPr>
                <w:rFonts w:asciiTheme="minorHAnsi" w:hAnsiTheme="minorHAnsi" w:cs="Times New Roman"/>
                <w:b/>
                <w:bCs/>
                <w:color w:val="000000" w:themeColor="text1"/>
              </w:rPr>
            </w:pPr>
            <w:r>
              <w:rPr>
                <w:rFonts w:asciiTheme="minorHAnsi" w:hAnsiTheme="minorHAnsi" w:cs="Times New Roman"/>
                <w:b/>
                <w:bCs/>
                <w:color w:val="000000" w:themeColor="text1"/>
              </w:rPr>
              <w:t>Opis oferowanego towaru</w:t>
            </w:r>
          </w:p>
          <w:p w:rsidR="00AD3C79" w:rsidRPr="00AD3C79" w:rsidRDefault="00AD3C79" w:rsidP="009E66CF">
            <w:pPr>
              <w:pStyle w:val="Zwykytekst"/>
              <w:jc w:val="center"/>
              <w:rPr>
                <w:rFonts w:asciiTheme="minorHAnsi" w:hAnsiTheme="minorHAnsi" w:cs="Times New Roman"/>
                <w:b/>
                <w:bCs/>
                <w:color w:val="000000" w:themeColor="text1"/>
              </w:rPr>
            </w:pPr>
            <w:r>
              <w:rPr>
                <w:rFonts w:asciiTheme="minorHAnsi" w:hAnsiTheme="minorHAnsi" w:cs="Times New Roman"/>
                <w:b/>
                <w:bCs/>
                <w:color w:val="000000" w:themeColor="text1"/>
              </w:rPr>
              <w:t>(wypełnia WYKONAWCA)</w:t>
            </w: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musi posiadać architekturę umożliwiającą przełączanie w warstwie 2 </w:t>
            </w:r>
            <w:proofErr w:type="spellStart"/>
            <w:r w:rsidRPr="00AD3C79">
              <w:rPr>
                <w:rFonts w:asciiTheme="minorHAnsi" w:hAnsiTheme="minorHAnsi" w:cs="Times New Roman"/>
                <w:color w:val="000000" w:themeColor="text1"/>
                <w:sz w:val="18"/>
                <w:szCs w:val="18"/>
              </w:rPr>
              <w:t>ethernet</w:t>
            </w:r>
            <w:proofErr w:type="spellEnd"/>
            <w:r w:rsidRPr="00AD3C79">
              <w:rPr>
                <w:rFonts w:asciiTheme="minorHAnsi" w:hAnsiTheme="minorHAnsi" w:cs="Times New Roman"/>
                <w:color w:val="000000" w:themeColor="text1"/>
                <w:sz w:val="18"/>
                <w:szCs w:val="18"/>
              </w:rPr>
              <w:t xml:space="preserve"> i 3 ipv4 oraz ipv6.</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Przełącznik musi być wyposażony w poniższe porty</w:t>
            </w:r>
            <w:r w:rsidR="001754C1">
              <w:rPr>
                <w:rFonts w:asciiTheme="minorHAnsi" w:hAnsiTheme="minorHAnsi" w:cs="Times New Roman"/>
                <w:color w:val="000000" w:themeColor="text1"/>
                <w:sz w:val="18"/>
                <w:szCs w:val="18"/>
              </w:rPr>
              <w:t>.</w:t>
            </w:r>
          </w:p>
        </w:tc>
        <w:tc>
          <w:tcPr>
            <w:tcW w:w="2120" w:type="pct"/>
            <w:gridSpan w:val="2"/>
          </w:tcPr>
          <w:p w:rsidR="00AD3C79" w:rsidRPr="00AD3C79" w:rsidRDefault="00AD3C79" w:rsidP="00AD3C79">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9E66CF">
            <w:pPr>
              <w:jc w:val="center"/>
              <w:rPr>
                <w:rFonts w:asciiTheme="minorHAnsi" w:hAnsiTheme="minorHAnsi"/>
                <w:bCs/>
                <w:color w:val="000000" w:themeColor="text1"/>
                <w:szCs w:val="18"/>
              </w:rPr>
            </w:pPr>
            <w:r w:rsidRPr="00AD3C79">
              <w:rPr>
                <w:rFonts w:asciiTheme="minorHAnsi" w:hAnsiTheme="minorHAnsi"/>
                <w:bCs/>
                <w:color w:val="000000" w:themeColor="text1"/>
                <w:szCs w:val="18"/>
              </w:rPr>
              <w:t>2.1</w:t>
            </w:r>
          </w:p>
        </w:tc>
        <w:tc>
          <w:tcPr>
            <w:tcW w:w="2398" w:type="pct"/>
          </w:tcPr>
          <w:p w:rsidR="00AD3C79" w:rsidRPr="00AD3C79" w:rsidRDefault="001754C1" w:rsidP="009E66CF">
            <w:pPr>
              <w:pStyle w:val="Zwykytekst"/>
              <w:jc w:val="both"/>
              <w:rPr>
                <w:rFonts w:asciiTheme="minorHAnsi" w:hAnsiTheme="minorHAnsi" w:cs="Times New Roman"/>
                <w:color w:val="000000" w:themeColor="text1"/>
                <w:sz w:val="18"/>
                <w:szCs w:val="18"/>
              </w:rPr>
            </w:pPr>
            <w:r>
              <w:rPr>
                <w:rFonts w:asciiTheme="minorHAnsi" w:hAnsiTheme="minorHAnsi" w:cs="Times New Roman"/>
                <w:color w:val="000000" w:themeColor="text1"/>
                <w:sz w:val="18"/>
                <w:szCs w:val="18"/>
              </w:rPr>
              <w:t>C</w:t>
            </w:r>
            <w:r w:rsidR="00AD3C79" w:rsidRPr="00AD3C79">
              <w:rPr>
                <w:rFonts w:asciiTheme="minorHAnsi" w:hAnsiTheme="minorHAnsi" w:cs="Times New Roman"/>
                <w:color w:val="000000" w:themeColor="text1"/>
                <w:sz w:val="18"/>
                <w:szCs w:val="18"/>
              </w:rPr>
              <w:t xml:space="preserve">o najmniej </w:t>
            </w:r>
            <w:r w:rsidR="00AD3C79" w:rsidRPr="00AD3C79">
              <w:rPr>
                <w:rFonts w:asciiTheme="minorHAnsi" w:hAnsiTheme="minorHAnsi" w:cs="Times New Roman"/>
                <w:b/>
                <w:color w:val="000000" w:themeColor="text1"/>
                <w:sz w:val="18"/>
                <w:szCs w:val="18"/>
              </w:rPr>
              <w:t>48 porty dostępowe Ethernet 10/100/1000Base-T</w:t>
            </w:r>
            <w:r w:rsidR="00AD3C79" w:rsidRPr="00AD3C79">
              <w:rPr>
                <w:rFonts w:asciiTheme="minorHAnsi" w:hAnsiTheme="minorHAnsi" w:cs="Times New Roman"/>
                <w:color w:val="000000" w:themeColor="text1"/>
                <w:sz w:val="18"/>
                <w:szCs w:val="18"/>
              </w:rPr>
              <w:t xml:space="preserve"> IEEE 802.3z Auto-MDI/MDIX</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9E66CF">
            <w:pPr>
              <w:jc w:val="center"/>
              <w:rPr>
                <w:rFonts w:asciiTheme="minorHAnsi" w:hAnsiTheme="minorHAnsi"/>
                <w:bCs/>
                <w:color w:val="000000" w:themeColor="text1"/>
                <w:szCs w:val="18"/>
              </w:rPr>
            </w:pPr>
            <w:r w:rsidRPr="00AD3C79">
              <w:rPr>
                <w:rFonts w:asciiTheme="minorHAnsi" w:hAnsiTheme="minorHAnsi"/>
                <w:bCs/>
                <w:color w:val="000000" w:themeColor="text1"/>
                <w:szCs w:val="18"/>
              </w:rPr>
              <w:t>2.2</w:t>
            </w:r>
          </w:p>
        </w:tc>
        <w:tc>
          <w:tcPr>
            <w:tcW w:w="2398" w:type="pct"/>
          </w:tcPr>
          <w:p w:rsidR="00AD3C79" w:rsidRPr="00AD3C79" w:rsidRDefault="001754C1" w:rsidP="009E66CF">
            <w:pPr>
              <w:pStyle w:val="Zwykytekst"/>
              <w:jc w:val="both"/>
              <w:rPr>
                <w:rFonts w:asciiTheme="minorHAnsi" w:hAnsiTheme="minorHAnsi" w:cs="Times New Roman"/>
                <w:color w:val="000000" w:themeColor="text1"/>
                <w:sz w:val="18"/>
                <w:szCs w:val="18"/>
              </w:rPr>
            </w:pPr>
            <w:r>
              <w:rPr>
                <w:rFonts w:asciiTheme="minorHAnsi" w:hAnsiTheme="minorHAnsi" w:cs="Times New Roman"/>
                <w:color w:val="000000" w:themeColor="text1"/>
                <w:sz w:val="18"/>
                <w:szCs w:val="18"/>
              </w:rPr>
              <w:t>C</w:t>
            </w:r>
            <w:r w:rsidR="00AD3C79" w:rsidRPr="00AD3C79">
              <w:rPr>
                <w:rFonts w:asciiTheme="minorHAnsi" w:hAnsiTheme="minorHAnsi" w:cs="Times New Roman"/>
                <w:color w:val="000000" w:themeColor="text1"/>
                <w:sz w:val="18"/>
                <w:szCs w:val="18"/>
              </w:rPr>
              <w:t xml:space="preserve">o najmniej </w:t>
            </w:r>
            <w:r w:rsidR="00AD3C79" w:rsidRPr="00AD3C79">
              <w:rPr>
                <w:rFonts w:asciiTheme="minorHAnsi" w:hAnsiTheme="minorHAnsi" w:cs="Times New Roman"/>
                <w:b/>
                <w:color w:val="000000" w:themeColor="text1"/>
                <w:sz w:val="18"/>
                <w:szCs w:val="18"/>
              </w:rPr>
              <w:t xml:space="preserve">2 porty </w:t>
            </w:r>
            <w:proofErr w:type="spellStart"/>
            <w:r w:rsidR="00AD3C79" w:rsidRPr="00AD3C79">
              <w:rPr>
                <w:rFonts w:asciiTheme="minorHAnsi" w:hAnsiTheme="minorHAnsi" w:cs="Times New Roman"/>
                <w:b/>
                <w:color w:val="000000" w:themeColor="text1"/>
                <w:sz w:val="18"/>
                <w:szCs w:val="18"/>
              </w:rPr>
              <w:t>uplink</w:t>
            </w:r>
            <w:proofErr w:type="spellEnd"/>
            <w:r w:rsidR="00AD3C79" w:rsidRPr="00AD3C79">
              <w:rPr>
                <w:rFonts w:asciiTheme="minorHAnsi" w:hAnsiTheme="minorHAnsi" w:cs="Times New Roman"/>
                <w:b/>
                <w:color w:val="000000" w:themeColor="text1"/>
                <w:sz w:val="18"/>
                <w:szCs w:val="18"/>
              </w:rPr>
              <w:t xml:space="preserve"> 10 Gigabit Ethernet  SFP+,</w:t>
            </w:r>
            <w:r w:rsidR="00AD3C79" w:rsidRPr="00AD3C79">
              <w:rPr>
                <w:rFonts w:asciiTheme="minorHAnsi" w:hAnsiTheme="minorHAnsi" w:cs="Times New Roman"/>
                <w:color w:val="000000" w:themeColor="text1"/>
                <w:sz w:val="18"/>
                <w:szCs w:val="18"/>
              </w:rPr>
              <w:t xml:space="preserve"> obsługujące co najmniej moduły SFP TX, SX, LX/LH, LH/ZX,  zgodne ze standardem IEEE 802.3z, oraz SFP+ </w:t>
            </w:r>
            <w:proofErr w:type="spellStart"/>
            <w:r w:rsidR="00AD3C79" w:rsidRPr="00AD3C79">
              <w:rPr>
                <w:rFonts w:asciiTheme="minorHAnsi" w:hAnsiTheme="minorHAnsi" w:cs="Times New Roman"/>
                <w:color w:val="000000" w:themeColor="text1"/>
                <w:sz w:val="18"/>
                <w:szCs w:val="18"/>
              </w:rPr>
              <w:t>LR,SR</w:t>
            </w:r>
            <w:proofErr w:type="spellEnd"/>
            <w:r w:rsidR="00AD3C79" w:rsidRPr="00AD3C79">
              <w:rPr>
                <w:rFonts w:asciiTheme="minorHAnsi" w:hAnsiTheme="minorHAnsi" w:cs="Times New Roman"/>
                <w:color w:val="000000" w:themeColor="text1"/>
                <w:sz w:val="18"/>
                <w:szCs w:val="18"/>
              </w:rPr>
              <w:t xml:space="preserve">. </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9E66CF">
            <w:pPr>
              <w:jc w:val="center"/>
              <w:rPr>
                <w:rFonts w:asciiTheme="minorHAnsi" w:hAnsiTheme="minorHAnsi"/>
                <w:bCs/>
                <w:color w:val="000000" w:themeColor="text1"/>
                <w:szCs w:val="18"/>
              </w:rPr>
            </w:pPr>
            <w:r w:rsidRPr="00AD3C79">
              <w:rPr>
                <w:rFonts w:asciiTheme="minorHAnsi" w:hAnsiTheme="minorHAnsi"/>
                <w:bCs/>
                <w:color w:val="000000" w:themeColor="text1"/>
                <w:szCs w:val="18"/>
              </w:rPr>
              <w:t>2.3</w:t>
            </w:r>
          </w:p>
        </w:tc>
        <w:tc>
          <w:tcPr>
            <w:tcW w:w="2398" w:type="pct"/>
            <w:tcMar>
              <w:right w:w="0" w:type="dxa"/>
            </w:tcMar>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Wszystkie porty muszą pracować z pełną prędkością interfejsów (</w:t>
            </w:r>
            <w:proofErr w:type="spellStart"/>
            <w:r w:rsidRPr="00AD3C79">
              <w:rPr>
                <w:rFonts w:asciiTheme="minorHAnsi" w:hAnsiTheme="minorHAnsi" w:cs="Times New Roman"/>
                <w:color w:val="000000" w:themeColor="text1"/>
                <w:sz w:val="18"/>
                <w:szCs w:val="18"/>
              </w:rPr>
              <w:t>wire-speed</w:t>
            </w:r>
            <w:proofErr w:type="spellEnd"/>
            <w:r w:rsidRPr="00AD3C79">
              <w:rPr>
                <w:rFonts w:asciiTheme="minorHAnsi" w:hAnsiTheme="minorHAnsi" w:cs="Times New Roman"/>
                <w:color w:val="000000" w:themeColor="text1"/>
                <w:sz w:val="18"/>
                <w:szCs w:val="18"/>
              </w:rPr>
              <w:t xml:space="preserve">) dla pakietów dowolnej wielkości, czyli przełącznik musi mieć wydajność co najmniej 130 </w:t>
            </w:r>
            <w:proofErr w:type="spellStart"/>
            <w:r w:rsidRPr="00AD3C79">
              <w:rPr>
                <w:rFonts w:asciiTheme="minorHAnsi" w:hAnsiTheme="minorHAnsi" w:cs="Times New Roman"/>
                <w:color w:val="000000" w:themeColor="text1"/>
                <w:sz w:val="18"/>
                <w:szCs w:val="18"/>
              </w:rPr>
              <w:t>Mpps</w:t>
            </w:r>
            <w:proofErr w:type="spellEnd"/>
            <w:r w:rsidRPr="00AD3C79">
              <w:rPr>
                <w:rFonts w:asciiTheme="minorHAnsi" w:hAnsiTheme="minorHAnsi" w:cs="Times New Roman"/>
                <w:color w:val="000000" w:themeColor="text1"/>
                <w:sz w:val="18"/>
                <w:szCs w:val="18"/>
              </w:rPr>
              <w:t xml:space="preserve"> (razem z portami </w:t>
            </w:r>
            <w:proofErr w:type="spellStart"/>
            <w:r w:rsidRPr="00AD3C79">
              <w:rPr>
                <w:rFonts w:asciiTheme="minorHAnsi" w:hAnsiTheme="minorHAnsi" w:cs="Times New Roman"/>
                <w:color w:val="000000" w:themeColor="text1"/>
                <w:sz w:val="18"/>
                <w:szCs w:val="18"/>
              </w:rPr>
              <w:t>stackującymi</w:t>
            </w:r>
            <w:proofErr w:type="spellEnd"/>
            <w:r w:rsidRPr="00AD3C79">
              <w:rPr>
                <w:rFonts w:asciiTheme="minorHAnsi" w:hAnsiTheme="minorHAnsi" w:cs="Times New Roman"/>
                <w:color w:val="000000" w:themeColor="text1"/>
                <w:sz w:val="18"/>
                <w:szCs w:val="18"/>
              </w:rPr>
              <w:t>).</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jest dedykowanym urządzeniem sieciowym o wysokości 1U, przystosowanym do montażu w szafie </w:t>
            </w:r>
            <w:proofErr w:type="spellStart"/>
            <w:r w:rsidRPr="00AD3C79">
              <w:rPr>
                <w:rFonts w:asciiTheme="minorHAnsi" w:hAnsiTheme="minorHAnsi" w:cs="Times New Roman"/>
                <w:color w:val="000000" w:themeColor="text1"/>
                <w:sz w:val="18"/>
                <w:szCs w:val="18"/>
              </w:rPr>
              <w:t>rack</w:t>
            </w:r>
            <w:proofErr w:type="spellEnd"/>
            <w:r w:rsidRPr="00AD3C79">
              <w:rPr>
                <w:rFonts w:asciiTheme="minorHAnsi" w:hAnsiTheme="minorHAnsi" w:cs="Times New Roman"/>
                <w:color w:val="000000" w:themeColor="text1"/>
                <w:sz w:val="18"/>
                <w:szCs w:val="18"/>
              </w:rPr>
              <w:t xml:space="preserve"> 19’’ oraz posiada oprzyrządowanie niezbędne do zamocowania w takiej szafie.</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musi być wyposażony w minimum jeden zasilacz AC, przystosowany do zasilania z sieci 230V/50Hz. </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Przełączniki muszą posiadać możliwość łączenia w </w:t>
            </w:r>
            <w:r w:rsidRPr="00AD3C79">
              <w:rPr>
                <w:rFonts w:asciiTheme="minorHAnsi" w:hAnsiTheme="minorHAnsi" w:cs="Times New Roman"/>
                <w:b/>
                <w:color w:val="000000" w:themeColor="text1"/>
                <w:sz w:val="18"/>
                <w:szCs w:val="18"/>
              </w:rPr>
              <w:t>stos</w:t>
            </w:r>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virtual</w:t>
            </w:r>
            <w:proofErr w:type="spellEnd"/>
            <w:r w:rsidRPr="00AD3C79">
              <w:rPr>
                <w:rFonts w:asciiTheme="minorHAnsi" w:hAnsiTheme="minorHAnsi" w:cs="Times New Roman"/>
                <w:color w:val="000000" w:themeColor="text1"/>
                <w:sz w:val="18"/>
                <w:szCs w:val="18"/>
              </w:rPr>
              <w:t xml:space="preserve"> chassis), tak że do 4 przełączników jest widocznych w sieci jako jedno urządzenie bez utraty wymaganych funkcjonalności. Każdy </w:t>
            </w:r>
            <w:proofErr w:type="spellStart"/>
            <w:r w:rsidRPr="00AD3C79">
              <w:rPr>
                <w:rFonts w:asciiTheme="minorHAnsi" w:hAnsiTheme="minorHAnsi" w:cs="Times New Roman"/>
                <w:color w:val="000000" w:themeColor="text1"/>
                <w:sz w:val="18"/>
                <w:szCs w:val="18"/>
              </w:rPr>
              <w:t>switch</w:t>
            </w:r>
            <w:proofErr w:type="spellEnd"/>
            <w:r w:rsidRPr="00AD3C79">
              <w:rPr>
                <w:rFonts w:asciiTheme="minorHAnsi" w:hAnsiTheme="minorHAnsi" w:cs="Times New Roman"/>
                <w:color w:val="000000" w:themeColor="text1"/>
                <w:sz w:val="18"/>
                <w:szCs w:val="18"/>
              </w:rPr>
              <w:t xml:space="preserve"> musi posiadać co najmniej </w:t>
            </w:r>
            <w:r w:rsidRPr="00AD3C79">
              <w:rPr>
                <w:rFonts w:asciiTheme="minorHAnsi" w:hAnsiTheme="minorHAnsi" w:cs="Times New Roman"/>
                <w:b/>
                <w:color w:val="000000" w:themeColor="text1"/>
                <w:sz w:val="18"/>
                <w:szCs w:val="18"/>
              </w:rPr>
              <w:t xml:space="preserve">2 porty </w:t>
            </w:r>
            <w:proofErr w:type="spellStart"/>
            <w:r w:rsidRPr="00AD3C79">
              <w:rPr>
                <w:rFonts w:asciiTheme="minorHAnsi" w:hAnsiTheme="minorHAnsi" w:cs="Times New Roman"/>
                <w:b/>
                <w:color w:val="000000" w:themeColor="text1"/>
                <w:sz w:val="18"/>
                <w:szCs w:val="18"/>
              </w:rPr>
              <w:t>stackujące</w:t>
            </w:r>
            <w:proofErr w:type="spellEnd"/>
            <w:r w:rsidRPr="00AD3C79">
              <w:rPr>
                <w:rFonts w:asciiTheme="minorHAnsi" w:hAnsiTheme="minorHAnsi" w:cs="Times New Roman"/>
                <w:color w:val="000000" w:themeColor="text1"/>
                <w:sz w:val="18"/>
                <w:szCs w:val="18"/>
              </w:rPr>
              <w:t xml:space="preserve"> o przepustowości nie mniejszej niż 10 </w:t>
            </w:r>
            <w:proofErr w:type="spellStart"/>
            <w:r w:rsidRPr="00AD3C79">
              <w:rPr>
                <w:rFonts w:asciiTheme="minorHAnsi" w:hAnsiTheme="minorHAnsi" w:cs="Times New Roman"/>
                <w:color w:val="000000" w:themeColor="text1"/>
                <w:sz w:val="18"/>
                <w:szCs w:val="18"/>
              </w:rPr>
              <w:t>Gb</w:t>
            </w:r>
            <w:proofErr w:type="spellEnd"/>
            <w:r w:rsidRPr="00AD3C79">
              <w:rPr>
                <w:rFonts w:asciiTheme="minorHAnsi" w:hAnsiTheme="minorHAnsi" w:cs="Times New Roman"/>
                <w:color w:val="000000" w:themeColor="text1"/>
                <w:sz w:val="18"/>
                <w:szCs w:val="18"/>
              </w:rPr>
              <w:t xml:space="preserve">/s każdy, jednocześnie w obie strony; oraz co najmniej jeden </w:t>
            </w:r>
            <w:r w:rsidRPr="00AD3C79">
              <w:rPr>
                <w:rFonts w:asciiTheme="minorHAnsi" w:hAnsiTheme="minorHAnsi" w:cs="Times New Roman"/>
                <w:b/>
                <w:color w:val="000000" w:themeColor="text1"/>
                <w:sz w:val="18"/>
                <w:szCs w:val="18"/>
              </w:rPr>
              <w:t xml:space="preserve">kabel </w:t>
            </w:r>
            <w:proofErr w:type="spellStart"/>
            <w:r w:rsidRPr="00AD3C79">
              <w:rPr>
                <w:rFonts w:asciiTheme="minorHAnsi" w:hAnsiTheme="minorHAnsi" w:cs="Times New Roman"/>
                <w:b/>
                <w:color w:val="000000" w:themeColor="text1"/>
                <w:sz w:val="18"/>
                <w:szCs w:val="18"/>
              </w:rPr>
              <w:t>stackujący</w:t>
            </w:r>
            <w:proofErr w:type="spellEnd"/>
            <w:r w:rsidRPr="00AD3C79">
              <w:rPr>
                <w:rFonts w:asciiTheme="minorHAnsi" w:hAnsiTheme="minorHAnsi" w:cs="Times New Roman"/>
                <w:color w:val="000000" w:themeColor="text1"/>
                <w:sz w:val="18"/>
                <w:szCs w:val="18"/>
              </w:rPr>
              <w:t xml:space="preserve"> o długości nie mniejszej niż 50 </w:t>
            </w:r>
            <w:proofErr w:type="spellStart"/>
            <w:r w:rsidRPr="00AD3C79">
              <w:rPr>
                <w:rFonts w:asciiTheme="minorHAnsi" w:hAnsiTheme="minorHAnsi" w:cs="Times New Roman"/>
                <w:color w:val="000000" w:themeColor="text1"/>
                <w:sz w:val="18"/>
                <w:szCs w:val="18"/>
              </w:rPr>
              <w:t>cm</w:t>
            </w:r>
            <w:proofErr w:type="spellEnd"/>
            <w:r w:rsidRPr="00AD3C79">
              <w:rPr>
                <w:rFonts w:asciiTheme="minorHAnsi" w:hAnsiTheme="minorHAnsi" w:cs="Times New Roman"/>
                <w:color w:val="000000" w:themeColor="text1"/>
                <w:sz w:val="18"/>
                <w:szCs w:val="18"/>
              </w:rPr>
              <w:t>.</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Przełącznik obsługuje co najmniej 16000  adresów MAC, w tym co najmniej 1000 adresów MAC możliwych do opisania statycznie w konfiguracji.</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obsługuje sieci VLAN zgodnie z IEEE 802.1Q w ilości nie mniejszej niż 1000 z zakresu 1-4090 VLAN </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obsługuje agregowanie połączeń zgodnie z IEEE 802.3AD, nie mniej </w:t>
            </w:r>
            <w:proofErr w:type="spellStart"/>
            <w:r w:rsidRPr="00AD3C79">
              <w:rPr>
                <w:rFonts w:asciiTheme="minorHAnsi" w:hAnsiTheme="minorHAnsi" w:cs="Times New Roman"/>
                <w:color w:val="000000" w:themeColor="text1"/>
                <w:sz w:val="18"/>
                <w:szCs w:val="18"/>
              </w:rPr>
              <w:t>niz</w:t>
            </w:r>
            <w:proofErr w:type="spellEnd"/>
            <w:r w:rsidRPr="00AD3C79">
              <w:rPr>
                <w:rFonts w:asciiTheme="minorHAnsi" w:hAnsiTheme="minorHAnsi" w:cs="Times New Roman"/>
                <w:color w:val="000000" w:themeColor="text1"/>
                <w:sz w:val="18"/>
                <w:szCs w:val="18"/>
              </w:rPr>
              <w:t xml:space="preserve"> 6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źródłowy i docelowy, lub źródłowe i docelowe adresy MAC.</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strike/>
                <w:color w:val="000000" w:themeColor="text1"/>
                <w:sz w:val="18"/>
                <w:szCs w:val="18"/>
              </w:rPr>
            </w:pPr>
            <w:r w:rsidRPr="00AD3C79">
              <w:rPr>
                <w:rFonts w:asciiTheme="minorHAnsi" w:hAnsiTheme="minorHAnsi" w:cs="Times New Roman"/>
                <w:color w:val="000000" w:themeColor="text1"/>
                <w:sz w:val="18"/>
                <w:szCs w:val="18"/>
              </w:rPr>
              <w:t xml:space="preserve">Urządzenie obsługuje filtrowanie ruchu wejściowego i wyjściowego co najmniej na poziomie portu i sieci VLAN dla kryteriów z warstw 2-4 IPv4 (pole TTL protokołu IP może być obsługiwane tylko przy filtrowaniu ruchu wejściowego na interfejsach warstwy 3). Urządzenie realizuje sprzętowo nie mniej niż 1000 reguł filtrowania ruchu dla ipv4 i 500 reguł </w:t>
            </w:r>
            <w:r w:rsidRPr="00AD3C79">
              <w:rPr>
                <w:rFonts w:asciiTheme="minorHAnsi" w:hAnsiTheme="minorHAnsi" w:cs="Times New Roman"/>
                <w:color w:val="000000" w:themeColor="text1"/>
                <w:sz w:val="18"/>
                <w:szCs w:val="18"/>
              </w:rPr>
              <w:lastRenderedPageBreak/>
              <w:t>dla ipv6. Jest  dostępna funkcja edycji reguł filtrowania ruchu na samym urządzeniu.</w:t>
            </w:r>
          </w:p>
        </w:tc>
        <w:tc>
          <w:tcPr>
            <w:tcW w:w="2120" w:type="pct"/>
            <w:gridSpan w:val="2"/>
          </w:tcPr>
          <w:p w:rsidR="00AD3C79" w:rsidRPr="00AD3C79" w:rsidRDefault="00AD3C79" w:rsidP="009E66CF">
            <w:pPr>
              <w:pStyle w:val="Zwykytekst"/>
              <w:jc w:val="both"/>
              <w:rPr>
                <w:rFonts w:asciiTheme="minorHAnsi" w:hAnsiTheme="minorHAnsi" w:cs="Times New Roman"/>
                <w:strike/>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obsługuje ramki </w:t>
            </w:r>
            <w:proofErr w:type="spellStart"/>
            <w:r w:rsidRPr="00AD3C79">
              <w:rPr>
                <w:rFonts w:asciiTheme="minorHAnsi" w:hAnsiTheme="minorHAnsi" w:cs="Times New Roman"/>
                <w:color w:val="000000" w:themeColor="text1"/>
                <w:sz w:val="18"/>
                <w:szCs w:val="18"/>
              </w:rPr>
              <w:t>jumbo</w:t>
            </w:r>
            <w:proofErr w:type="spellEnd"/>
            <w:r w:rsidRPr="00AD3C79">
              <w:rPr>
                <w:rFonts w:asciiTheme="minorHAnsi" w:hAnsiTheme="minorHAnsi" w:cs="Times New Roman"/>
                <w:color w:val="000000" w:themeColor="text1"/>
                <w:sz w:val="18"/>
                <w:szCs w:val="18"/>
              </w:rPr>
              <w:t xml:space="preserve"> (9216 bajtów) na wszystkich interfejsach.</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Przełącznik jest  przystosowany do pracy ciągłej przy temperaturze otoczenia z zakresu 0 – 45</w:t>
            </w:r>
            <w:r w:rsidRPr="00AD3C79">
              <w:rPr>
                <w:rFonts w:asciiTheme="minorHAnsi" w:hAnsiTheme="minorHAnsi" w:cs="Times New Roman"/>
                <w:color w:val="000000" w:themeColor="text1"/>
                <w:sz w:val="18"/>
                <w:szCs w:val="18"/>
                <w:vertAlign w:val="superscript"/>
              </w:rPr>
              <w:t>o</w:t>
            </w:r>
            <w:r w:rsidRPr="00AD3C79">
              <w:rPr>
                <w:rFonts w:asciiTheme="minorHAnsi" w:hAnsiTheme="minorHAnsi" w:cs="Times New Roman"/>
                <w:color w:val="000000" w:themeColor="text1"/>
                <w:sz w:val="18"/>
                <w:szCs w:val="18"/>
              </w:rPr>
              <w:t>C oraz wyposażone w co najmniej 1 czujnik temperatury.</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Przełącznik jest  wyposażony w port konsoli oraz dedykowany interfejs Ethernet do zarządzania OOB (</w:t>
            </w:r>
            <w:proofErr w:type="spellStart"/>
            <w:r w:rsidRPr="00AD3C79">
              <w:rPr>
                <w:rFonts w:asciiTheme="minorHAnsi" w:hAnsiTheme="minorHAnsi" w:cs="Times New Roman"/>
                <w:color w:val="000000" w:themeColor="text1"/>
                <w:sz w:val="18"/>
                <w:szCs w:val="18"/>
              </w:rPr>
              <w:t>out-of-band</w:t>
            </w:r>
            <w:proofErr w:type="spellEnd"/>
            <w:r w:rsidRPr="00AD3C79">
              <w:rPr>
                <w:rFonts w:asciiTheme="minorHAnsi" w:hAnsiTheme="minorHAnsi" w:cs="Times New Roman"/>
                <w:color w:val="000000" w:themeColor="text1"/>
                <w:sz w:val="18"/>
                <w:szCs w:val="18"/>
              </w:rPr>
              <w:t>).</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umożliwia wgranie systemu operacyjnego z zewnętrznego nośnika danych poprzez łącze szeregowe RS-232, USB lub dedykowany port </w:t>
            </w:r>
            <w:proofErr w:type="spellStart"/>
            <w:r w:rsidRPr="00AD3C79">
              <w:rPr>
                <w:rFonts w:asciiTheme="minorHAnsi" w:hAnsiTheme="minorHAnsi" w:cs="Times New Roman"/>
                <w:color w:val="000000" w:themeColor="text1"/>
                <w:sz w:val="18"/>
                <w:szCs w:val="18"/>
              </w:rPr>
              <w:t>ethernetowy</w:t>
            </w:r>
            <w:proofErr w:type="spellEnd"/>
            <w:r w:rsidRPr="00AD3C79">
              <w:rPr>
                <w:rFonts w:asciiTheme="minorHAnsi" w:hAnsiTheme="minorHAnsi" w:cs="Times New Roman"/>
                <w:color w:val="000000" w:themeColor="text1"/>
                <w:sz w:val="18"/>
                <w:szCs w:val="18"/>
              </w:rPr>
              <w:t>. Musi istnieć możliwość ustawienia restartu urządzenia w zadanym terminie.</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Zarządzanie urządzeniem musi być możliwe za pośrednictwem interfejsu linii komend (CLI) przez port konsoli oraz zdalnie przez telnet lub </w:t>
            </w:r>
            <w:proofErr w:type="spellStart"/>
            <w:r w:rsidRPr="00AD3C79">
              <w:rPr>
                <w:rFonts w:asciiTheme="minorHAnsi" w:hAnsiTheme="minorHAnsi" w:cs="Times New Roman"/>
                <w:color w:val="000000" w:themeColor="text1"/>
                <w:sz w:val="18"/>
                <w:szCs w:val="18"/>
              </w:rPr>
              <w:t>ssh</w:t>
            </w:r>
            <w:proofErr w:type="spellEnd"/>
            <w:r w:rsidRPr="00AD3C79">
              <w:rPr>
                <w:rFonts w:asciiTheme="minorHAnsi" w:hAnsiTheme="minorHAnsi" w:cs="Times New Roman"/>
                <w:color w:val="000000" w:themeColor="text1"/>
                <w:sz w:val="18"/>
                <w:szCs w:val="18"/>
              </w:rPr>
              <w:t xml:space="preserve"> przy użyciu zarówno protokołu IPv4 jak i IPv6.</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398" w:type="pct"/>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umożliwia 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AD3C79">
              <w:rPr>
                <w:rFonts w:asciiTheme="minorHAnsi" w:hAnsiTheme="minorHAnsi" w:cs="Times New Roman"/>
                <w:color w:val="000000" w:themeColor="text1"/>
                <w:sz w:val="18"/>
                <w:szCs w:val="18"/>
              </w:rPr>
              <w:t>tftp</w:t>
            </w:r>
            <w:proofErr w:type="spellEnd"/>
            <w:r w:rsidRPr="00AD3C79">
              <w:rPr>
                <w:rFonts w:asciiTheme="minorHAnsi" w:hAnsiTheme="minorHAnsi" w:cs="Times New Roman"/>
                <w:color w:val="000000" w:themeColor="text1"/>
                <w:sz w:val="18"/>
                <w:szCs w:val="18"/>
              </w:rPr>
              <w:t xml:space="preserve">, ftp lub </w:t>
            </w:r>
            <w:proofErr w:type="spellStart"/>
            <w:r w:rsidRPr="00AD3C79">
              <w:rPr>
                <w:rFonts w:asciiTheme="minorHAnsi" w:hAnsiTheme="minorHAnsi" w:cs="Times New Roman"/>
                <w:color w:val="000000" w:themeColor="text1"/>
                <w:sz w:val="18"/>
                <w:szCs w:val="18"/>
              </w:rPr>
              <w:t>scp</w:t>
            </w:r>
            <w:proofErr w:type="spellEnd"/>
            <w:r w:rsidRPr="00AD3C79">
              <w:rPr>
                <w:rFonts w:asciiTheme="minorHAnsi" w:hAnsiTheme="minorHAnsi" w:cs="Times New Roman"/>
                <w:color w:val="000000" w:themeColor="text1"/>
                <w:sz w:val="18"/>
                <w:szCs w:val="18"/>
              </w:rPr>
              <w:t>. Istnieje możliwość modyfikowania konfiguracji poza urządzeniem i ponownego jej wczytania do urządzenia.</w:t>
            </w:r>
          </w:p>
        </w:tc>
        <w:tc>
          <w:tcPr>
            <w:tcW w:w="2120"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generuje logi dotyczące zdarzeń na nim zachodzących. Użytkownik ma dostęp do dokumentacji producenta urządzenia z wyjaśnieniami znaczenia poszczególnych wpisów w logach. Logi te są dostępne lokalnie na urządzeniu oraz przesyłane do innych urządzeń z użyciem protokołu </w:t>
            </w:r>
            <w:proofErr w:type="spellStart"/>
            <w:r w:rsidRPr="00AD3C79">
              <w:rPr>
                <w:rFonts w:asciiTheme="minorHAnsi" w:hAnsiTheme="minorHAnsi" w:cs="Times New Roman"/>
                <w:color w:val="000000" w:themeColor="text1"/>
                <w:sz w:val="18"/>
                <w:szCs w:val="18"/>
              </w:rPr>
              <w:t>syslog</w:t>
            </w:r>
            <w:proofErr w:type="spellEnd"/>
            <w:r w:rsidRPr="00AD3C79">
              <w:rPr>
                <w:rFonts w:asciiTheme="minorHAnsi" w:hAnsiTheme="minorHAnsi" w:cs="Times New Roman"/>
                <w:color w:val="000000" w:themeColor="text1"/>
                <w:sz w:val="18"/>
                <w:szCs w:val="18"/>
              </w:rPr>
              <w:t xml:space="preserve"> (przy użyciu protokołu ipv4 lub ipv6, zależnie od konfiguracji dokonanej przez użytkownika). Istnieje możliwość uszczegóławiania logów (tryb </w:t>
            </w:r>
            <w:proofErr w:type="spellStart"/>
            <w:r w:rsidRPr="00AD3C79">
              <w:rPr>
                <w:rFonts w:asciiTheme="minorHAnsi" w:hAnsiTheme="minorHAnsi" w:cs="Times New Roman"/>
                <w:color w:val="000000" w:themeColor="text1"/>
                <w:sz w:val="18"/>
                <w:szCs w:val="18"/>
              </w:rPr>
              <w:t>debug</w:t>
            </w:r>
            <w:proofErr w:type="spellEnd"/>
            <w:r w:rsidRPr="00AD3C79">
              <w:rPr>
                <w:rFonts w:asciiTheme="minorHAnsi" w:hAnsiTheme="minorHAnsi" w:cs="Times New Roman"/>
                <w:color w:val="000000" w:themeColor="text1"/>
                <w:sz w:val="18"/>
                <w:szCs w:val="18"/>
              </w:rPr>
              <w:t>) dotyczących konkretnych usług (np. STP, 802.1x itp.)</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umożliwia ustawienie  limitów pakietów akceptowanych na wskazanych portach w jednostce czasu (tzw. </w:t>
            </w:r>
            <w:proofErr w:type="spellStart"/>
            <w:r w:rsidRPr="00AD3C79">
              <w:rPr>
                <w:rFonts w:asciiTheme="minorHAnsi" w:hAnsiTheme="minorHAnsi" w:cs="Times New Roman"/>
                <w:color w:val="000000" w:themeColor="text1"/>
                <w:sz w:val="18"/>
                <w:szCs w:val="18"/>
              </w:rPr>
              <w:t>rate-limit</w:t>
            </w:r>
            <w:proofErr w:type="spellEnd"/>
            <w:r w:rsidRPr="00AD3C79">
              <w:rPr>
                <w:rFonts w:asciiTheme="minorHAnsi" w:hAnsiTheme="minorHAnsi" w:cs="Times New Roman"/>
                <w:color w:val="000000" w:themeColor="text1"/>
                <w:sz w:val="18"/>
                <w:szCs w:val="18"/>
              </w:rPr>
              <w:t>). Przełącznik odrzuca pakiety przekraczające limit. Istnieje możliwość ustawiania limitów pakietów indywidualnie dla każdego interfejsu.</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umożliwia ustawienie limitów pakietów typu </w:t>
            </w:r>
            <w:proofErr w:type="spellStart"/>
            <w:r w:rsidRPr="00AD3C79">
              <w:rPr>
                <w:rFonts w:asciiTheme="minorHAnsi" w:hAnsiTheme="minorHAnsi" w:cs="Times New Roman"/>
                <w:color w:val="000000" w:themeColor="text1"/>
                <w:sz w:val="18"/>
                <w:szCs w:val="18"/>
              </w:rPr>
              <w:t>broadcast</w:t>
            </w:r>
            <w:proofErr w:type="spellEnd"/>
            <w:r w:rsidRPr="00AD3C79">
              <w:rPr>
                <w:rFonts w:asciiTheme="minorHAnsi" w:hAnsiTheme="minorHAnsi" w:cs="Times New Roman"/>
                <w:color w:val="000000" w:themeColor="text1"/>
                <w:sz w:val="18"/>
                <w:szCs w:val="18"/>
              </w:rPr>
              <w:t xml:space="preserve"> oraz </w:t>
            </w:r>
            <w:proofErr w:type="spellStart"/>
            <w:r w:rsidRPr="00AD3C79">
              <w:rPr>
                <w:rFonts w:asciiTheme="minorHAnsi" w:hAnsiTheme="minorHAnsi" w:cs="Times New Roman"/>
                <w:color w:val="000000" w:themeColor="text1"/>
                <w:sz w:val="18"/>
                <w:szCs w:val="18"/>
              </w:rPr>
              <w:t>unknown</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unicast</w:t>
            </w:r>
            <w:proofErr w:type="spellEnd"/>
            <w:r w:rsidRPr="00AD3C79">
              <w:rPr>
                <w:rFonts w:asciiTheme="minorHAnsi" w:hAnsiTheme="minorHAnsi" w:cs="Times New Roman"/>
                <w:color w:val="000000" w:themeColor="text1"/>
                <w:sz w:val="18"/>
                <w:szCs w:val="18"/>
              </w:rPr>
              <w:t xml:space="preserve"> w jednostce czasu indywidualnie na każdym interfejsie. Przełącznik odrzuca pakiety przekraczające zadany limit.</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umożliwia dynamiczne przyporządkowywanie komputerów do </w:t>
            </w:r>
            <w:proofErr w:type="spellStart"/>
            <w:r w:rsidRPr="00AD3C79">
              <w:rPr>
                <w:rFonts w:asciiTheme="minorHAnsi" w:hAnsiTheme="minorHAnsi" w:cs="Times New Roman"/>
                <w:color w:val="000000" w:themeColor="text1"/>
                <w:sz w:val="18"/>
                <w:szCs w:val="18"/>
              </w:rPr>
              <w:t>VLANu</w:t>
            </w:r>
            <w:proofErr w:type="spellEnd"/>
            <w:r w:rsidRPr="00AD3C79">
              <w:rPr>
                <w:rFonts w:asciiTheme="minorHAnsi" w:hAnsiTheme="minorHAnsi" w:cs="Times New Roman"/>
                <w:color w:val="000000" w:themeColor="text1"/>
                <w:sz w:val="18"/>
                <w:szCs w:val="18"/>
              </w:rPr>
              <w:t xml:space="preserve"> na podstawie adresu MAC (tzw. </w:t>
            </w:r>
            <w:proofErr w:type="spellStart"/>
            <w:r w:rsidRPr="00AD3C79">
              <w:rPr>
                <w:rFonts w:asciiTheme="minorHAnsi" w:hAnsiTheme="minorHAnsi" w:cs="Times New Roman"/>
                <w:color w:val="000000" w:themeColor="text1"/>
                <w:sz w:val="18"/>
                <w:szCs w:val="18"/>
              </w:rPr>
              <w:t>dynamic</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vlans</w:t>
            </w:r>
            <w:proofErr w:type="spellEnd"/>
            <w:r w:rsidRPr="00AD3C79">
              <w:rPr>
                <w:rFonts w:asciiTheme="minorHAnsi" w:hAnsiTheme="minorHAnsi" w:cs="Times New Roman"/>
                <w:color w:val="000000" w:themeColor="text1"/>
                <w:sz w:val="18"/>
                <w:szCs w:val="18"/>
              </w:rPr>
              <w:t xml:space="preserve"> lub MAC </w:t>
            </w:r>
            <w:proofErr w:type="spellStart"/>
            <w:r w:rsidRPr="00AD3C79">
              <w:rPr>
                <w:rFonts w:asciiTheme="minorHAnsi" w:hAnsiTheme="minorHAnsi" w:cs="Times New Roman"/>
                <w:color w:val="000000" w:themeColor="text1"/>
                <w:sz w:val="18"/>
                <w:szCs w:val="18"/>
              </w:rPr>
              <w:t>based</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vlans</w:t>
            </w:r>
            <w:proofErr w:type="spellEnd"/>
            <w:r w:rsidRPr="00AD3C79">
              <w:rPr>
                <w:rFonts w:asciiTheme="minorHAnsi" w:hAnsiTheme="minorHAnsi" w:cs="Times New Roman"/>
                <w:color w:val="000000" w:themeColor="text1"/>
                <w:sz w:val="18"/>
                <w:szCs w:val="18"/>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lang w:val="en-US"/>
              </w:rPr>
            </w:pPr>
            <w:proofErr w:type="spellStart"/>
            <w:r w:rsidRPr="00AD3C79">
              <w:rPr>
                <w:rFonts w:asciiTheme="minorHAnsi" w:hAnsiTheme="minorHAnsi" w:cs="Times New Roman"/>
                <w:color w:val="000000" w:themeColor="text1"/>
                <w:sz w:val="18"/>
                <w:szCs w:val="18"/>
                <w:lang w:val="en-US"/>
              </w:rPr>
              <w:t>Urządzenie</w:t>
            </w:r>
            <w:proofErr w:type="spellEnd"/>
            <w:r w:rsidRPr="00AD3C79">
              <w:rPr>
                <w:rFonts w:asciiTheme="minorHAnsi" w:hAnsiTheme="minorHAnsi" w:cs="Times New Roman"/>
                <w:color w:val="000000" w:themeColor="text1"/>
                <w:sz w:val="18"/>
                <w:szCs w:val="18"/>
                <w:lang w:val="en-US"/>
              </w:rPr>
              <w:t xml:space="preserve"> </w:t>
            </w:r>
            <w:proofErr w:type="spellStart"/>
            <w:r w:rsidRPr="00AD3C79">
              <w:rPr>
                <w:rFonts w:asciiTheme="minorHAnsi" w:hAnsiTheme="minorHAnsi" w:cs="Times New Roman"/>
                <w:color w:val="000000" w:themeColor="text1"/>
                <w:sz w:val="18"/>
                <w:szCs w:val="18"/>
                <w:lang w:val="en-US"/>
              </w:rPr>
              <w:t>obsługuje</w:t>
            </w:r>
            <w:proofErr w:type="spellEnd"/>
            <w:r w:rsidRPr="00AD3C79">
              <w:rPr>
                <w:rFonts w:asciiTheme="minorHAnsi" w:hAnsiTheme="minorHAnsi" w:cs="Times New Roman"/>
                <w:color w:val="000000" w:themeColor="text1"/>
                <w:sz w:val="18"/>
                <w:szCs w:val="18"/>
                <w:lang w:val="en-US"/>
              </w:rPr>
              <w:t xml:space="preserve"> Private VLANs (across switches).</w:t>
            </w:r>
          </w:p>
        </w:tc>
        <w:tc>
          <w:tcPr>
            <w:tcW w:w="2117" w:type="pct"/>
          </w:tcPr>
          <w:p w:rsidR="00AD3C79" w:rsidRPr="00AD3C79" w:rsidRDefault="00AD3C79" w:rsidP="00AD3C79">
            <w:pPr>
              <w:pStyle w:val="Zwykytekst"/>
              <w:jc w:val="both"/>
              <w:rPr>
                <w:rFonts w:asciiTheme="minorHAnsi" w:hAnsiTheme="minorHAnsi" w:cs="Times New Roman"/>
                <w:color w:val="000000" w:themeColor="text1"/>
                <w:sz w:val="18"/>
                <w:szCs w:val="18"/>
                <w:lang w:val="en-US"/>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lang w:val="en-US"/>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obsługuje protokół SNMP (wersje 2c i 3), oraz grupy RMON 1, 2, 3, 9. </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udostępnia za pomocą protokołu SNMP i interfejsu CLI co najmniej 64 bitowe liczniki ramek i bajtów wysłanych i odebranych na poszczególnych portach. Ponadto istnieje możliwość obsługi liczników odebranych ramek zawierających błędy na poszczególnych interfejsach oraz liczniki ramek których nie udało się wysłać lub wystąpiły błędy podczas ich wysyłania. </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Dostępna jest funkcja kopiowania (mirroring) ruchu dla pakietów spełniających warunki określone w odpowiednim filtrze.</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w:t>
            </w:r>
            <w:r w:rsidR="006F1E4C">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6F1E4C">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możliwość diagnostyki kabla, TDR (Time </w:t>
            </w:r>
            <w:proofErr w:type="spellStart"/>
            <w:r w:rsidRPr="00AD3C79">
              <w:rPr>
                <w:rFonts w:asciiTheme="minorHAnsi" w:hAnsiTheme="minorHAnsi" w:cs="Times New Roman"/>
                <w:color w:val="000000" w:themeColor="text1"/>
                <w:sz w:val="18"/>
                <w:szCs w:val="18"/>
              </w:rPr>
              <w:t>Domain</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Reflectometer</w:t>
            </w:r>
            <w:proofErr w:type="spellEnd"/>
            <w:r w:rsidRPr="00AD3C79">
              <w:rPr>
                <w:rFonts w:asciiTheme="minorHAnsi" w:hAnsiTheme="minorHAnsi" w:cs="Times New Roman"/>
                <w:color w:val="000000" w:themeColor="text1"/>
                <w:sz w:val="18"/>
                <w:szCs w:val="18"/>
              </w:rPr>
              <w:t xml:space="preserve">) na wszystkich portach </w:t>
            </w:r>
            <w:r w:rsidRPr="00AD3C79">
              <w:rPr>
                <w:rFonts w:asciiTheme="minorHAnsi" w:hAnsiTheme="minorHAnsi" w:cs="Times New Roman"/>
                <w:color w:val="000000" w:themeColor="text1"/>
                <w:sz w:val="18"/>
                <w:szCs w:val="18"/>
              </w:rPr>
              <w:lastRenderedPageBreak/>
              <w:t xml:space="preserve">10/100/1000BASE-T. Urządzenie pozwala na konfigurowanie maksymalnej, rozgłaszanej w czasie </w:t>
            </w:r>
            <w:proofErr w:type="spellStart"/>
            <w:r w:rsidRPr="00AD3C79">
              <w:rPr>
                <w:rFonts w:asciiTheme="minorHAnsi" w:hAnsiTheme="minorHAnsi" w:cs="Times New Roman"/>
                <w:color w:val="000000" w:themeColor="text1"/>
                <w:sz w:val="18"/>
                <w:szCs w:val="18"/>
              </w:rPr>
              <w:t>autonegocjacji</w:t>
            </w:r>
            <w:proofErr w:type="spellEnd"/>
            <w:r w:rsidRPr="00AD3C79">
              <w:rPr>
                <w:rFonts w:asciiTheme="minorHAnsi" w:hAnsiTheme="minorHAnsi" w:cs="Times New Roman"/>
                <w:color w:val="000000" w:themeColor="text1"/>
                <w:sz w:val="18"/>
                <w:szCs w:val="18"/>
              </w:rPr>
              <w:t>, prędkości portu w standardzie 10/100/1000BASE-T.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6F1E4C">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umożliwia</w:t>
            </w:r>
            <w:r w:rsidR="006F1E4C">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zdefiniowanie czasu po jakim będzie próbował aktywować porty wyłączone automatycznie ze względu na nieprawidłowości występujące w przyłączonych do nich częściach sieci (</w:t>
            </w:r>
            <w:proofErr w:type="spellStart"/>
            <w:r w:rsidRPr="00AD3C79">
              <w:rPr>
                <w:rFonts w:asciiTheme="minorHAnsi" w:hAnsiTheme="minorHAnsi" w:cs="Times New Roman"/>
                <w:color w:val="000000" w:themeColor="text1"/>
                <w:sz w:val="18"/>
                <w:szCs w:val="18"/>
              </w:rPr>
              <w:t>errdisable</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recovery</w:t>
            </w:r>
            <w:proofErr w:type="spellEnd"/>
            <w:r w:rsidRPr="00AD3C79">
              <w:rPr>
                <w:rFonts w:asciiTheme="minorHAnsi" w:hAnsiTheme="minorHAnsi" w:cs="Times New Roman"/>
                <w:color w:val="000000" w:themeColor="text1"/>
                <w:sz w:val="18"/>
                <w:szCs w:val="18"/>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6F1E4C">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6F1E4C">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funkcjonalność </w:t>
            </w:r>
            <w:proofErr w:type="spellStart"/>
            <w:r w:rsidRPr="00AD3C79">
              <w:rPr>
                <w:rFonts w:asciiTheme="minorHAnsi" w:hAnsiTheme="minorHAnsi" w:cs="Times New Roman"/>
                <w:color w:val="000000" w:themeColor="text1"/>
                <w:sz w:val="18"/>
                <w:szCs w:val="18"/>
              </w:rPr>
              <w:t>netFlow</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netflow</w:t>
            </w:r>
            <w:proofErr w:type="spellEnd"/>
            <w:r w:rsidRPr="00AD3C79">
              <w:rPr>
                <w:rFonts w:asciiTheme="minorHAnsi" w:hAnsiTheme="minorHAnsi" w:cs="Times New Roman"/>
                <w:color w:val="000000" w:themeColor="text1"/>
                <w:sz w:val="18"/>
                <w:szCs w:val="18"/>
              </w:rPr>
              <w:t xml:space="preserve"> lite lub podobną (np. RFC3176 </w:t>
            </w:r>
            <w:proofErr w:type="spellStart"/>
            <w:r w:rsidRPr="00AD3C79">
              <w:rPr>
                <w:rFonts w:asciiTheme="minorHAnsi" w:hAnsiTheme="minorHAnsi" w:cs="Times New Roman"/>
                <w:color w:val="000000" w:themeColor="text1"/>
                <w:sz w:val="18"/>
                <w:szCs w:val="18"/>
              </w:rPr>
              <w:t>sFlow</w:t>
            </w:r>
            <w:proofErr w:type="spellEnd"/>
            <w:r w:rsidRPr="00AD3C79">
              <w:rPr>
                <w:rFonts w:asciiTheme="minorHAnsi" w:hAnsiTheme="minorHAnsi" w:cs="Times New Roman"/>
                <w:color w:val="000000" w:themeColor="text1"/>
                <w:sz w:val="18"/>
                <w:szCs w:val="18"/>
              </w:rPr>
              <w:t>) umożliwiającą monitorowanie ruchu w warstwach 3 do 4 modelu OSI dla pakietów IPv4.</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6F1E4C">
              <w:rPr>
                <w:rFonts w:asciiTheme="minorHAnsi" w:hAnsiTheme="minorHAnsi" w:cs="Times New Roman"/>
                <w:color w:val="000000" w:themeColor="text1"/>
                <w:sz w:val="18"/>
                <w:szCs w:val="18"/>
              </w:rPr>
              <w:t>musi obsługiwać</w:t>
            </w:r>
            <w:r w:rsidRPr="00AD3C79">
              <w:rPr>
                <w:rFonts w:asciiTheme="minorHAnsi" w:hAnsiTheme="minorHAnsi" w:cs="Times New Roman"/>
                <w:color w:val="000000" w:themeColor="text1"/>
                <w:sz w:val="18"/>
                <w:szCs w:val="18"/>
              </w:rPr>
              <w:t xml:space="preserve"> protokół </w:t>
            </w:r>
            <w:proofErr w:type="spellStart"/>
            <w:r w:rsidRPr="00AD3C79">
              <w:rPr>
                <w:rFonts w:asciiTheme="minorHAnsi" w:hAnsiTheme="minorHAnsi" w:cs="Times New Roman"/>
                <w:color w:val="000000" w:themeColor="text1"/>
                <w:sz w:val="18"/>
                <w:szCs w:val="18"/>
              </w:rPr>
              <w:t>Spanning</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Tree</w:t>
            </w:r>
            <w:proofErr w:type="spellEnd"/>
            <w:r w:rsidRPr="00AD3C79">
              <w:rPr>
                <w:rFonts w:asciiTheme="minorHAnsi" w:hAnsiTheme="minorHAnsi" w:cs="Times New Roman"/>
                <w:color w:val="000000" w:themeColor="text1"/>
                <w:sz w:val="18"/>
                <w:szCs w:val="18"/>
              </w:rPr>
              <w:t xml:space="preserve"> i </w:t>
            </w:r>
            <w:proofErr w:type="spellStart"/>
            <w:r w:rsidRPr="00AD3C79">
              <w:rPr>
                <w:rFonts w:asciiTheme="minorHAnsi" w:hAnsiTheme="minorHAnsi" w:cs="Times New Roman"/>
                <w:color w:val="000000" w:themeColor="text1"/>
                <w:sz w:val="18"/>
                <w:szCs w:val="18"/>
              </w:rPr>
              <w:t>Rapid</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Spannig</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Tree</w:t>
            </w:r>
            <w:proofErr w:type="spellEnd"/>
            <w:r w:rsidRPr="00AD3C79">
              <w:rPr>
                <w:rFonts w:asciiTheme="minorHAnsi" w:hAnsiTheme="minorHAnsi" w:cs="Times New Roman"/>
                <w:color w:val="000000" w:themeColor="text1"/>
                <w:sz w:val="18"/>
                <w:szCs w:val="18"/>
              </w:rPr>
              <w:t xml:space="preserve">, a także </w:t>
            </w:r>
            <w:proofErr w:type="spellStart"/>
            <w:r w:rsidRPr="00AD3C79">
              <w:rPr>
                <w:rFonts w:asciiTheme="minorHAnsi" w:hAnsiTheme="minorHAnsi" w:cs="Times New Roman"/>
                <w:color w:val="000000" w:themeColor="text1"/>
                <w:sz w:val="18"/>
                <w:szCs w:val="18"/>
              </w:rPr>
              <w:t>Multiple</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Spanning</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Tree</w:t>
            </w:r>
            <w:proofErr w:type="spellEnd"/>
            <w:r w:rsidRPr="00AD3C79">
              <w:rPr>
                <w:rFonts w:asciiTheme="minorHAnsi" w:hAnsiTheme="minorHAnsi" w:cs="Times New Roman"/>
                <w:color w:val="000000" w:themeColor="text1"/>
                <w:sz w:val="18"/>
                <w:szCs w:val="18"/>
              </w:rPr>
              <w:t xml:space="preserve"> (nie mniej niż 16 instancji MSTP) oraz VLAN </w:t>
            </w:r>
            <w:proofErr w:type="spellStart"/>
            <w:r w:rsidRPr="00AD3C79">
              <w:rPr>
                <w:rFonts w:asciiTheme="minorHAnsi" w:hAnsiTheme="minorHAnsi" w:cs="Times New Roman"/>
                <w:color w:val="000000" w:themeColor="text1"/>
                <w:sz w:val="18"/>
                <w:szCs w:val="18"/>
              </w:rPr>
              <w:t>Spanning</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Tree</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Protocol</w:t>
            </w:r>
            <w:proofErr w:type="spellEnd"/>
            <w:r w:rsidRPr="00AD3C79">
              <w:rPr>
                <w:rFonts w:asciiTheme="minorHAnsi" w:hAnsiTheme="minorHAnsi" w:cs="Times New Roman"/>
                <w:color w:val="000000" w:themeColor="text1"/>
                <w:sz w:val="18"/>
                <w:szCs w:val="18"/>
              </w:rPr>
              <w:t xml:space="preserve"> (lub równoważny) dla co najmniej 128 </w:t>
            </w:r>
            <w:proofErr w:type="spellStart"/>
            <w:r w:rsidRPr="00AD3C79">
              <w:rPr>
                <w:rFonts w:asciiTheme="minorHAnsi" w:hAnsiTheme="minorHAnsi" w:cs="Times New Roman"/>
                <w:color w:val="000000" w:themeColor="text1"/>
                <w:sz w:val="18"/>
                <w:szCs w:val="18"/>
              </w:rPr>
              <w:t>vlan-ów</w:t>
            </w:r>
            <w:proofErr w:type="spellEnd"/>
            <w:r w:rsidRPr="00AD3C79">
              <w:rPr>
                <w:rFonts w:asciiTheme="minorHAnsi" w:hAnsiTheme="minorHAnsi" w:cs="Times New Roman"/>
                <w:color w:val="000000" w:themeColor="text1"/>
                <w:sz w:val="18"/>
                <w:szCs w:val="18"/>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6F1E4C">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6F1E4C">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możliwość wyłączenia </w:t>
            </w:r>
            <w:proofErr w:type="spellStart"/>
            <w:r w:rsidRPr="00AD3C79">
              <w:rPr>
                <w:rFonts w:asciiTheme="minorHAnsi" w:hAnsiTheme="minorHAnsi" w:cs="Times New Roman"/>
                <w:color w:val="000000" w:themeColor="text1"/>
                <w:sz w:val="18"/>
                <w:szCs w:val="18"/>
              </w:rPr>
              <w:t>Spanning</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Tree</w:t>
            </w:r>
            <w:proofErr w:type="spellEnd"/>
            <w:r w:rsidRPr="00AD3C79">
              <w:rPr>
                <w:rFonts w:asciiTheme="minorHAnsi" w:hAnsiTheme="minorHAnsi" w:cs="Times New Roman"/>
                <w:color w:val="000000" w:themeColor="text1"/>
                <w:sz w:val="18"/>
                <w:szCs w:val="18"/>
              </w:rPr>
              <w:t xml:space="preserve"> oraz filtrowania (ignorowania) ramek BPDU na wskazanych portach.</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udostępnia</w:t>
            </w:r>
            <w:r w:rsidR="003F63BA">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informacje dla każdej instancji SPT, kiedy przyszedł ostatni pakiet TCN (</w:t>
            </w:r>
            <w:proofErr w:type="spellStart"/>
            <w:r w:rsidRPr="00AD3C79">
              <w:rPr>
                <w:rFonts w:asciiTheme="minorHAnsi" w:hAnsiTheme="minorHAnsi" w:cs="Times New Roman"/>
                <w:color w:val="000000" w:themeColor="text1"/>
                <w:sz w:val="18"/>
                <w:szCs w:val="18"/>
              </w:rPr>
              <w:t>Topology</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Change</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Notification</w:t>
            </w:r>
            <w:proofErr w:type="spellEnd"/>
            <w:r w:rsidRPr="00AD3C79">
              <w:rPr>
                <w:rFonts w:asciiTheme="minorHAnsi" w:hAnsiTheme="minorHAnsi" w:cs="Times New Roman"/>
                <w:color w:val="000000" w:themeColor="text1"/>
                <w:sz w:val="18"/>
                <w:szCs w:val="18"/>
              </w:rPr>
              <w:t>) oraz liczniki pakietów TCN dla każdej instancji SPT lub informację z którego interfejsu przyszedł ostatni pakiet TCN.</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roofErr w:type="spellStart"/>
            <w:r w:rsidRPr="00AD3C79">
              <w:rPr>
                <w:rFonts w:asciiTheme="minorHAnsi" w:hAnsiTheme="minorHAnsi" w:cs="Times New Roman"/>
                <w:color w:val="000000" w:themeColor="text1"/>
                <w:sz w:val="18"/>
                <w:szCs w:val="18"/>
              </w:rPr>
              <w:t>Switch</w:t>
            </w:r>
            <w:proofErr w:type="spellEnd"/>
            <w:r w:rsidRPr="00AD3C79">
              <w:rPr>
                <w:rFonts w:asciiTheme="minorHAnsi" w:hAnsiTheme="minorHAnsi" w:cs="Times New Roman"/>
                <w:color w:val="000000" w:themeColor="text1"/>
                <w:sz w:val="18"/>
                <w:szCs w:val="18"/>
              </w:rPr>
              <w:t xml:space="preserve"> </w:t>
            </w:r>
            <w:r w:rsidR="003F63BA">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3F63BA">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opcję definiowania zapasowego portu dla portu podstawowego, tzn. tylko jeden z dwóch interfejsów jest aktywny w danej chwili (funkcjonalność </w:t>
            </w:r>
            <w:proofErr w:type="spellStart"/>
            <w:r w:rsidRPr="00AD3C79">
              <w:rPr>
                <w:rFonts w:asciiTheme="minorHAnsi" w:hAnsiTheme="minorHAnsi" w:cs="Times New Roman"/>
                <w:color w:val="000000" w:themeColor="text1"/>
                <w:sz w:val="18"/>
                <w:szCs w:val="18"/>
              </w:rPr>
              <w:t>cisco</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Flex</w:t>
            </w:r>
            <w:proofErr w:type="spellEnd"/>
            <w:r w:rsidRPr="00AD3C79">
              <w:rPr>
                <w:rFonts w:asciiTheme="minorHAnsi" w:hAnsiTheme="minorHAnsi" w:cs="Times New Roman"/>
                <w:color w:val="000000" w:themeColor="text1"/>
                <w:sz w:val="18"/>
                <w:szCs w:val="18"/>
              </w:rPr>
              <w:t xml:space="preserve"> Link lub </w:t>
            </w:r>
            <w:proofErr w:type="spellStart"/>
            <w:r w:rsidRPr="00AD3C79">
              <w:rPr>
                <w:rFonts w:asciiTheme="minorHAnsi" w:hAnsiTheme="minorHAnsi" w:cs="Times New Roman"/>
                <w:color w:val="000000" w:themeColor="text1"/>
                <w:sz w:val="18"/>
                <w:szCs w:val="18"/>
              </w:rPr>
              <w:t>juniper</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Redundant</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Trunk</w:t>
            </w:r>
            <w:proofErr w:type="spellEnd"/>
            <w:r w:rsidRPr="00AD3C79">
              <w:rPr>
                <w:rFonts w:asciiTheme="minorHAnsi" w:hAnsiTheme="minorHAnsi" w:cs="Times New Roman"/>
                <w:color w:val="000000" w:themeColor="text1"/>
                <w:sz w:val="18"/>
                <w:szCs w:val="18"/>
              </w:rPr>
              <w:t xml:space="preserve"> Group)</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musi obsługiwać</w:t>
            </w:r>
            <w:r w:rsidRPr="00AD3C79">
              <w:rPr>
                <w:rFonts w:asciiTheme="minorHAnsi" w:hAnsiTheme="minorHAnsi" w:cs="Times New Roman"/>
                <w:color w:val="000000" w:themeColor="text1"/>
                <w:sz w:val="18"/>
                <w:szCs w:val="18"/>
              </w:rPr>
              <w:t xml:space="preserve"> protokół LLDP i </w:t>
            </w:r>
            <w:proofErr w:type="spellStart"/>
            <w:r w:rsidRPr="00AD3C79">
              <w:rPr>
                <w:rFonts w:asciiTheme="minorHAnsi" w:hAnsiTheme="minorHAnsi" w:cs="Times New Roman"/>
                <w:color w:val="000000" w:themeColor="text1"/>
                <w:sz w:val="18"/>
                <w:szCs w:val="18"/>
              </w:rPr>
              <w:t>LLDP-MED</w:t>
            </w:r>
            <w:proofErr w:type="spellEnd"/>
            <w:r w:rsidRPr="00AD3C79">
              <w:rPr>
                <w:rFonts w:asciiTheme="minorHAnsi" w:hAnsiTheme="minorHAnsi" w:cs="Times New Roman"/>
                <w:color w:val="000000" w:themeColor="text1"/>
                <w:sz w:val="18"/>
                <w:szCs w:val="18"/>
              </w:rPr>
              <w:t xml:space="preserve">, w tym przydział numeru </w:t>
            </w:r>
            <w:proofErr w:type="spellStart"/>
            <w:r w:rsidRPr="00AD3C79">
              <w:rPr>
                <w:rFonts w:asciiTheme="minorHAnsi" w:hAnsiTheme="minorHAnsi" w:cs="Times New Roman"/>
                <w:color w:val="000000" w:themeColor="text1"/>
                <w:sz w:val="18"/>
                <w:szCs w:val="18"/>
              </w:rPr>
              <w:t>VLANu</w:t>
            </w:r>
            <w:proofErr w:type="spellEnd"/>
            <w:r w:rsidRPr="00AD3C79">
              <w:rPr>
                <w:rFonts w:asciiTheme="minorHAnsi" w:hAnsiTheme="minorHAnsi" w:cs="Times New Roman"/>
                <w:color w:val="000000" w:themeColor="text1"/>
                <w:sz w:val="18"/>
                <w:szCs w:val="18"/>
              </w:rPr>
              <w:t xml:space="preserve"> i klasy QOS dla telefonów </w:t>
            </w:r>
            <w:proofErr w:type="spellStart"/>
            <w:r w:rsidRPr="00AD3C79">
              <w:rPr>
                <w:rFonts w:asciiTheme="minorHAnsi" w:hAnsiTheme="minorHAnsi" w:cs="Times New Roman"/>
                <w:color w:val="000000" w:themeColor="text1"/>
                <w:sz w:val="18"/>
                <w:szCs w:val="18"/>
              </w:rPr>
              <w:t>VoIP</w:t>
            </w:r>
            <w:proofErr w:type="spellEnd"/>
            <w:r w:rsidRPr="00AD3C79">
              <w:rPr>
                <w:rFonts w:asciiTheme="minorHAnsi" w:hAnsiTheme="minorHAnsi" w:cs="Times New Roman"/>
                <w:color w:val="000000" w:themeColor="text1"/>
                <w:sz w:val="18"/>
                <w:szCs w:val="18"/>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Urządzenie </w:t>
            </w:r>
            <w:r w:rsidR="003F63BA">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3F63BA">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mechanizmy </w:t>
            </w:r>
            <w:proofErr w:type="spellStart"/>
            <w:r w:rsidRPr="00AD3C79">
              <w:rPr>
                <w:rFonts w:asciiTheme="minorHAnsi" w:hAnsiTheme="minorHAnsi" w:cs="Times New Roman"/>
                <w:color w:val="000000" w:themeColor="text1"/>
                <w:sz w:val="18"/>
                <w:szCs w:val="18"/>
              </w:rPr>
              <w:t>priorytetyzowania</w:t>
            </w:r>
            <w:proofErr w:type="spellEnd"/>
            <w:r w:rsidRPr="00AD3C79">
              <w:rPr>
                <w:rFonts w:asciiTheme="minorHAnsi" w:hAnsiTheme="minorHAnsi" w:cs="Times New Roman"/>
                <w:color w:val="000000" w:themeColor="text1"/>
                <w:sz w:val="18"/>
                <w:szCs w:val="18"/>
              </w:rPr>
              <w:t xml:space="preserve"> i zarządzania ruchem sieciowym (</w:t>
            </w:r>
            <w:proofErr w:type="spellStart"/>
            <w:r w:rsidRPr="00AD3C79">
              <w:rPr>
                <w:rFonts w:asciiTheme="minorHAnsi" w:hAnsiTheme="minorHAnsi" w:cs="Times New Roman"/>
                <w:color w:val="000000" w:themeColor="text1"/>
                <w:sz w:val="18"/>
                <w:szCs w:val="18"/>
              </w:rPr>
              <w:t>QoS</w:t>
            </w:r>
            <w:proofErr w:type="spellEnd"/>
            <w:r w:rsidRPr="00AD3C79">
              <w:rPr>
                <w:rFonts w:asciiTheme="minorHAnsi" w:hAnsiTheme="minorHAnsi" w:cs="Times New Roman"/>
                <w:color w:val="000000" w:themeColor="text1"/>
                <w:sz w:val="18"/>
                <w:szCs w:val="18"/>
              </w:rPr>
              <w:t xml:space="preserve">) w warstwie 2 i 3 dla ruchu wchodzącego i wychodzącego. Klasyfikacja ruchu może odbywać się w zależności od co najmniej: interfejsu, typu ramki Ethernet, sieci VLAN, priorytetu w warstwie 2 (802.1P), adresów MAC, adresów IP, wartości pola </w:t>
            </w:r>
            <w:proofErr w:type="spellStart"/>
            <w:r w:rsidRPr="00AD3C79">
              <w:rPr>
                <w:rFonts w:asciiTheme="minorHAnsi" w:hAnsiTheme="minorHAnsi" w:cs="Times New Roman"/>
                <w:color w:val="000000" w:themeColor="text1"/>
                <w:sz w:val="18"/>
                <w:szCs w:val="18"/>
              </w:rPr>
              <w:t>ToS</w:t>
            </w:r>
            <w:proofErr w:type="spellEnd"/>
            <w:r w:rsidRPr="00AD3C79">
              <w:rPr>
                <w:rFonts w:asciiTheme="minorHAnsi" w:hAnsiTheme="minorHAnsi" w:cs="Times New Roman"/>
                <w:color w:val="000000" w:themeColor="text1"/>
                <w:sz w:val="18"/>
                <w:szCs w:val="18"/>
              </w:rPr>
              <w:t>/DSCP w nagłówkach IP, portów TCP i UDP. Urządzenie obsługuje sprzętowo nie mniej niż 8 kolejek na port fizyczny, w tym możliwość zdefiniowania co najmniej jednej kolejki jako kolejki priorytetowej (</w:t>
            </w:r>
            <w:proofErr w:type="spellStart"/>
            <w:r w:rsidRPr="00AD3C79">
              <w:rPr>
                <w:rFonts w:asciiTheme="minorHAnsi" w:hAnsiTheme="minorHAnsi" w:cs="Times New Roman"/>
                <w:color w:val="000000" w:themeColor="text1"/>
                <w:sz w:val="18"/>
                <w:szCs w:val="18"/>
              </w:rPr>
              <w:t>strict</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priority</w:t>
            </w:r>
            <w:proofErr w:type="spellEnd"/>
            <w:r w:rsidRPr="00AD3C79">
              <w:rPr>
                <w:rFonts w:asciiTheme="minorHAnsi" w:hAnsiTheme="minorHAnsi" w:cs="Times New Roman"/>
                <w:color w:val="000000" w:themeColor="text1"/>
                <w:sz w:val="18"/>
                <w:szCs w:val="18"/>
              </w:rPr>
              <w:t xml:space="preserve">) oraz co najmniej jedna kolejka umożliwia pracę w trybie </w:t>
            </w:r>
            <w:proofErr w:type="spellStart"/>
            <w:r w:rsidRPr="00AD3C79">
              <w:rPr>
                <w:rFonts w:asciiTheme="minorHAnsi" w:hAnsiTheme="minorHAnsi" w:cs="Times New Roman"/>
                <w:color w:val="000000" w:themeColor="text1"/>
                <w:sz w:val="18"/>
                <w:szCs w:val="18"/>
              </w:rPr>
              <w:t>shaping</w:t>
            </w:r>
            <w:proofErr w:type="spellEnd"/>
            <w:r w:rsidRPr="00AD3C79">
              <w:rPr>
                <w:rFonts w:asciiTheme="minorHAnsi" w:hAnsiTheme="minorHAnsi" w:cs="Times New Roman"/>
                <w:color w:val="000000" w:themeColor="text1"/>
                <w:sz w:val="18"/>
                <w:szCs w:val="18"/>
              </w:rPr>
              <w:t xml:space="preserve"> (wygładzania ruchu).</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musi obsługiwać</w:t>
            </w:r>
            <w:r w:rsidRPr="00AD3C79">
              <w:rPr>
                <w:rFonts w:asciiTheme="minorHAnsi" w:hAnsiTheme="minorHAnsi" w:cs="Times New Roman"/>
                <w:color w:val="000000" w:themeColor="text1"/>
                <w:sz w:val="18"/>
                <w:szCs w:val="18"/>
              </w:rPr>
              <w:t xml:space="preserve"> IEEE 802.1x zarówno dla pojedynczego, jak i wielu suplikantów na porcie, autoryzowanych każdy indywidualnie. Przełącznik przypisuje ustawienia dla użytkownika na podstawie atrybutów (co najmniej VLAN oraz reguła filtrowania ruchu) zwracanych przez serwer RADIUS, dostępny zarówno przez ipv4 jak i ipv6. Istnieje możliwość pominięcia uwierzytelnienia 802.1x dla zdefiniowanych adresów MAC. Przełącznik wspiera co najmniej następujące typy EAP: MD5, TLS, TTLS, PEAP.</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musi umożliwiać</w:t>
            </w:r>
            <w:r w:rsidRPr="00AD3C79">
              <w:rPr>
                <w:rFonts w:asciiTheme="minorHAnsi" w:hAnsiTheme="minorHAnsi" w:cs="Times New Roman"/>
                <w:color w:val="000000" w:themeColor="text1"/>
                <w:sz w:val="18"/>
                <w:szCs w:val="18"/>
              </w:rPr>
              <w:t xml:space="preserve"> określanie maksymalnej liczby adresów MAC dopuszczalnych na wskazanym porcie. Po przekroczeniu limitu dopuszczalnych adresów MAC pakiety z adresami źródłowymi MAC nie znajdującymi się w zbudowanej tablicy MAC będą ignorowane.</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musi obsługiwać</w:t>
            </w:r>
            <w:r w:rsidRPr="00AD3C79">
              <w:rPr>
                <w:rFonts w:asciiTheme="minorHAnsi" w:hAnsiTheme="minorHAnsi" w:cs="Times New Roman"/>
                <w:color w:val="000000" w:themeColor="text1"/>
                <w:sz w:val="18"/>
                <w:szCs w:val="18"/>
              </w:rPr>
              <w:t xml:space="preserve"> protokół MVR (</w:t>
            </w:r>
            <w:proofErr w:type="spellStart"/>
            <w:r w:rsidRPr="00AD3C79">
              <w:rPr>
                <w:rFonts w:asciiTheme="minorHAnsi" w:hAnsiTheme="minorHAnsi" w:cs="Times New Roman"/>
                <w:color w:val="000000" w:themeColor="text1"/>
                <w:sz w:val="18"/>
                <w:szCs w:val="18"/>
              </w:rPr>
              <w:t>Multicast</w:t>
            </w:r>
            <w:proofErr w:type="spellEnd"/>
            <w:r w:rsidRPr="00AD3C79">
              <w:rPr>
                <w:rFonts w:asciiTheme="minorHAnsi" w:hAnsiTheme="minorHAnsi" w:cs="Times New Roman"/>
                <w:color w:val="000000" w:themeColor="text1"/>
                <w:sz w:val="18"/>
                <w:szCs w:val="18"/>
              </w:rPr>
              <w:t xml:space="preserve"> VLAN </w:t>
            </w:r>
            <w:proofErr w:type="spellStart"/>
            <w:r w:rsidRPr="00AD3C79">
              <w:rPr>
                <w:rFonts w:asciiTheme="minorHAnsi" w:hAnsiTheme="minorHAnsi" w:cs="Times New Roman"/>
                <w:color w:val="000000" w:themeColor="text1"/>
                <w:sz w:val="18"/>
                <w:szCs w:val="18"/>
              </w:rPr>
              <w:t>Registration</w:t>
            </w:r>
            <w:proofErr w:type="spellEnd"/>
            <w:r w:rsidRPr="00AD3C79">
              <w:rPr>
                <w:rFonts w:asciiTheme="minorHAnsi" w:hAnsiTheme="minorHAnsi" w:cs="Times New Roman"/>
                <w:color w:val="000000" w:themeColor="text1"/>
                <w:sz w:val="18"/>
                <w:szCs w:val="18"/>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pStyle w:val="Zwykytekst"/>
              <w:jc w:val="both"/>
              <w:rPr>
                <w:rFonts w:asciiTheme="minorHAnsi" w:hAnsiTheme="minorHAnsi" w:cs="Times New Roman"/>
                <w:color w:val="000000" w:themeColor="text1"/>
                <w:sz w:val="18"/>
                <w:szCs w:val="18"/>
                <w:lang w:val="en-US"/>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musi obsługiwać</w:t>
            </w:r>
            <w:r w:rsidRPr="00AD3C79">
              <w:rPr>
                <w:rFonts w:asciiTheme="minorHAnsi" w:hAnsiTheme="minorHAnsi" w:cs="Times New Roman"/>
                <w:color w:val="000000" w:themeColor="text1"/>
                <w:sz w:val="18"/>
                <w:szCs w:val="18"/>
              </w:rPr>
              <w:t xml:space="preserve"> sprzętowo takie mechanizmy bezpieczeństwa jak limitowanie adresów MAC, </w:t>
            </w:r>
            <w:proofErr w:type="spellStart"/>
            <w:r w:rsidRPr="00AD3C79">
              <w:rPr>
                <w:rFonts w:asciiTheme="minorHAnsi" w:hAnsiTheme="minorHAnsi" w:cs="Times New Roman"/>
                <w:color w:val="000000" w:themeColor="text1"/>
                <w:sz w:val="18"/>
                <w:szCs w:val="18"/>
              </w:rPr>
              <w:t>Dynamic</w:t>
            </w:r>
            <w:proofErr w:type="spellEnd"/>
            <w:r w:rsidRPr="00AD3C79">
              <w:rPr>
                <w:rFonts w:asciiTheme="minorHAnsi" w:hAnsiTheme="minorHAnsi" w:cs="Times New Roman"/>
                <w:color w:val="000000" w:themeColor="text1"/>
                <w:sz w:val="18"/>
                <w:szCs w:val="18"/>
              </w:rPr>
              <w:t xml:space="preserve"> ARP </w:t>
            </w:r>
            <w:proofErr w:type="spellStart"/>
            <w:r w:rsidRPr="00AD3C79">
              <w:rPr>
                <w:rFonts w:asciiTheme="minorHAnsi" w:hAnsiTheme="minorHAnsi" w:cs="Times New Roman"/>
                <w:color w:val="000000" w:themeColor="text1"/>
                <w:sz w:val="18"/>
                <w:szCs w:val="18"/>
              </w:rPr>
              <w:t>Inspection</w:t>
            </w:r>
            <w:proofErr w:type="spellEnd"/>
            <w:r w:rsidRPr="00AD3C79">
              <w:rPr>
                <w:rFonts w:asciiTheme="minorHAnsi" w:hAnsiTheme="minorHAnsi" w:cs="Times New Roman"/>
                <w:color w:val="000000" w:themeColor="text1"/>
                <w:sz w:val="18"/>
                <w:szCs w:val="18"/>
              </w:rPr>
              <w:t xml:space="preserve">, IP </w:t>
            </w:r>
            <w:proofErr w:type="spellStart"/>
            <w:r w:rsidRPr="00AD3C79">
              <w:rPr>
                <w:rFonts w:asciiTheme="minorHAnsi" w:hAnsiTheme="minorHAnsi" w:cs="Times New Roman"/>
                <w:color w:val="000000" w:themeColor="text1"/>
                <w:sz w:val="18"/>
                <w:szCs w:val="18"/>
              </w:rPr>
              <w:t>Source</w:t>
            </w:r>
            <w:proofErr w:type="spellEnd"/>
            <w:r w:rsidRPr="00AD3C79">
              <w:rPr>
                <w:rFonts w:asciiTheme="minorHAnsi" w:hAnsiTheme="minorHAnsi" w:cs="Times New Roman"/>
                <w:color w:val="000000" w:themeColor="text1"/>
                <w:sz w:val="18"/>
                <w:szCs w:val="18"/>
              </w:rPr>
              <w:t xml:space="preserve"> </w:t>
            </w:r>
            <w:proofErr w:type="spellStart"/>
            <w:r w:rsidRPr="00AD3C79">
              <w:rPr>
                <w:rFonts w:asciiTheme="minorHAnsi" w:hAnsiTheme="minorHAnsi" w:cs="Times New Roman"/>
                <w:color w:val="000000" w:themeColor="text1"/>
                <w:sz w:val="18"/>
                <w:szCs w:val="18"/>
              </w:rPr>
              <w:t>Guard</w:t>
            </w:r>
            <w:proofErr w:type="spellEnd"/>
            <w:r w:rsidRPr="00AD3C79">
              <w:rPr>
                <w:rFonts w:asciiTheme="minorHAnsi" w:hAnsiTheme="minorHAnsi" w:cs="Times New Roman"/>
                <w:color w:val="000000" w:themeColor="text1"/>
                <w:sz w:val="18"/>
                <w:szCs w:val="18"/>
              </w:rPr>
              <w:t xml:space="preserve">, DHCP </w:t>
            </w:r>
            <w:proofErr w:type="spellStart"/>
            <w:r w:rsidRPr="00AD3C79">
              <w:rPr>
                <w:rFonts w:asciiTheme="minorHAnsi" w:hAnsiTheme="minorHAnsi" w:cs="Times New Roman"/>
                <w:color w:val="000000" w:themeColor="text1"/>
                <w:sz w:val="18"/>
                <w:szCs w:val="18"/>
              </w:rPr>
              <w:t>Snooping</w:t>
            </w:r>
            <w:proofErr w:type="spellEnd"/>
            <w:r w:rsidRPr="00AD3C79">
              <w:rPr>
                <w:rFonts w:asciiTheme="minorHAnsi" w:hAnsiTheme="minorHAnsi" w:cs="Times New Roman"/>
                <w:color w:val="000000" w:themeColor="text1"/>
                <w:sz w:val="18"/>
                <w:szCs w:val="18"/>
              </w:rPr>
              <w:t xml:space="preserve"> (wraz z obsługą opcji 82), dla protokołu ipv4 i ich odpowiedniki w protokole </w:t>
            </w:r>
            <w:r w:rsidRPr="00AD3C79">
              <w:rPr>
                <w:rFonts w:asciiTheme="minorHAnsi" w:hAnsiTheme="minorHAnsi" w:cs="Times New Roman"/>
                <w:color w:val="000000" w:themeColor="text1"/>
                <w:sz w:val="18"/>
                <w:szCs w:val="18"/>
              </w:rPr>
              <w:lastRenderedPageBreak/>
              <w:t xml:space="preserve">ipv6, tzn. </w:t>
            </w:r>
            <w:proofErr w:type="spellStart"/>
            <w:r w:rsidRPr="00AD3C79">
              <w:rPr>
                <w:rFonts w:asciiTheme="minorHAnsi" w:hAnsiTheme="minorHAnsi" w:cs="Times New Roman"/>
                <w:color w:val="000000" w:themeColor="text1"/>
                <w:sz w:val="18"/>
                <w:szCs w:val="18"/>
                <w:lang w:val="en-US"/>
              </w:rPr>
              <w:t>Negihbor</w:t>
            </w:r>
            <w:proofErr w:type="spellEnd"/>
            <w:r w:rsidRPr="00AD3C79">
              <w:rPr>
                <w:rFonts w:asciiTheme="minorHAnsi" w:hAnsiTheme="minorHAnsi" w:cs="Times New Roman"/>
                <w:color w:val="000000" w:themeColor="text1"/>
                <w:sz w:val="18"/>
                <w:szCs w:val="18"/>
                <w:lang w:val="en-US"/>
              </w:rPr>
              <w:t xml:space="preserve"> Discover Inspection </w:t>
            </w:r>
            <w:proofErr w:type="spellStart"/>
            <w:r w:rsidRPr="00AD3C79">
              <w:rPr>
                <w:rFonts w:asciiTheme="minorHAnsi" w:hAnsiTheme="minorHAnsi" w:cs="Times New Roman"/>
                <w:color w:val="000000" w:themeColor="text1"/>
                <w:sz w:val="18"/>
                <w:szCs w:val="18"/>
                <w:lang w:val="en-US"/>
              </w:rPr>
              <w:t>oraz</w:t>
            </w:r>
            <w:proofErr w:type="spellEnd"/>
            <w:r w:rsidRPr="00AD3C79">
              <w:rPr>
                <w:rFonts w:asciiTheme="minorHAnsi" w:hAnsiTheme="minorHAnsi" w:cs="Times New Roman"/>
                <w:color w:val="000000" w:themeColor="text1"/>
                <w:sz w:val="18"/>
                <w:szCs w:val="18"/>
                <w:lang w:val="en-US"/>
              </w:rPr>
              <w:t xml:space="preserve"> </w:t>
            </w:r>
            <w:proofErr w:type="spellStart"/>
            <w:r w:rsidRPr="00AD3C79">
              <w:rPr>
                <w:rFonts w:asciiTheme="minorHAnsi" w:hAnsiTheme="minorHAnsi" w:cs="Times New Roman"/>
                <w:color w:val="000000" w:themeColor="text1"/>
                <w:sz w:val="18"/>
                <w:szCs w:val="18"/>
                <w:lang w:val="en-US"/>
              </w:rPr>
              <w:t>filtruje</w:t>
            </w:r>
            <w:proofErr w:type="spellEnd"/>
            <w:r w:rsidRPr="00AD3C79">
              <w:rPr>
                <w:rFonts w:asciiTheme="minorHAnsi" w:hAnsiTheme="minorHAnsi" w:cs="Times New Roman"/>
                <w:color w:val="000000" w:themeColor="text1"/>
                <w:sz w:val="18"/>
                <w:szCs w:val="18"/>
                <w:lang w:val="en-US"/>
              </w:rPr>
              <w:t xml:space="preserve"> Router Advertisements </w:t>
            </w:r>
            <w:proofErr w:type="spellStart"/>
            <w:r w:rsidRPr="00AD3C79">
              <w:rPr>
                <w:rFonts w:asciiTheme="minorHAnsi" w:hAnsiTheme="minorHAnsi" w:cs="Times New Roman"/>
                <w:color w:val="000000" w:themeColor="text1"/>
                <w:sz w:val="18"/>
                <w:szCs w:val="18"/>
                <w:lang w:val="en-US"/>
              </w:rPr>
              <w:t>na</w:t>
            </w:r>
            <w:proofErr w:type="spellEnd"/>
            <w:r w:rsidRPr="00AD3C79">
              <w:rPr>
                <w:rFonts w:asciiTheme="minorHAnsi" w:hAnsiTheme="minorHAnsi" w:cs="Times New Roman"/>
                <w:color w:val="000000" w:themeColor="text1"/>
                <w:sz w:val="18"/>
                <w:szCs w:val="18"/>
                <w:lang w:val="en-US"/>
              </w:rPr>
              <w:t xml:space="preserve"> </w:t>
            </w:r>
            <w:proofErr w:type="spellStart"/>
            <w:r w:rsidRPr="00AD3C79">
              <w:rPr>
                <w:rFonts w:asciiTheme="minorHAnsi" w:hAnsiTheme="minorHAnsi" w:cs="Times New Roman"/>
                <w:color w:val="000000" w:themeColor="text1"/>
                <w:sz w:val="18"/>
                <w:szCs w:val="18"/>
                <w:lang w:val="en-US"/>
              </w:rPr>
              <w:t>niezaufanych</w:t>
            </w:r>
            <w:proofErr w:type="spellEnd"/>
            <w:r w:rsidRPr="00AD3C79">
              <w:rPr>
                <w:rFonts w:asciiTheme="minorHAnsi" w:hAnsiTheme="minorHAnsi" w:cs="Times New Roman"/>
                <w:color w:val="000000" w:themeColor="text1"/>
                <w:sz w:val="18"/>
                <w:szCs w:val="18"/>
                <w:lang w:val="en-US"/>
              </w:rPr>
              <w:t xml:space="preserve"> </w:t>
            </w:r>
            <w:proofErr w:type="spellStart"/>
            <w:r w:rsidRPr="00AD3C79">
              <w:rPr>
                <w:rFonts w:asciiTheme="minorHAnsi" w:hAnsiTheme="minorHAnsi" w:cs="Times New Roman"/>
                <w:color w:val="000000" w:themeColor="text1"/>
                <w:sz w:val="18"/>
                <w:szCs w:val="18"/>
                <w:lang w:val="en-US"/>
              </w:rPr>
              <w:t>portach</w:t>
            </w:r>
            <w:proofErr w:type="spellEnd"/>
            <w:r w:rsidRPr="00AD3C79">
              <w:rPr>
                <w:rFonts w:asciiTheme="minorHAnsi" w:hAnsiTheme="minorHAnsi" w:cs="Times New Roman"/>
                <w:color w:val="000000" w:themeColor="text1"/>
                <w:sz w:val="18"/>
                <w:szCs w:val="18"/>
                <w:lang w:val="en-US"/>
              </w:rPr>
              <w:t>.</w:t>
            </w:r>
          </w:p>
        </w:tc>
        <w:tc>
          <w:tcPr>
            <w:tcW w:w="2117" w:type="pct"/>
          </w:tcPr>
          <w:p w:rsidR="00AD3C79" w:rsidRPr="00AD3C79" w:rsidRDefault="00AD3C79" w:rsidP="009E66CF">
            <w:pPr>
              <w:pStyle w:val="Zwykytekst"/>
              <w:jc w:val="both"/>
              <w:rPr>
                <w:rFonts w:asciiTheme="minorHAnsi" w:hAnsiTheme="minorHAnsi" w:cs="Times New Roman"/>
                <w:color w:val="000000" w:themeColor="text1"/>
                <w:sz w:val="18"/>
                <w:szCs w:val="18"/>
                <w:lang w:val="en-US"/>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lang w:val="en-US"/>
              </w:rPr>
            </w:pPr>
          </w:p>
        </w:tc>
        <w:tc>
          <w:tcPr>
            <w:tcW w:w="2401" w:type="pct"/>
            <w:gridSpan w:val="2"/>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r w:rsidRPr="00AD3C79">
              <w:rPr>
                <w:rFonts w:asciiTheme="minorHAnsi" w:hAnsiTheme="minorHAnsi" w:cs="Times New Roman"/>
                <w:color w:val="000000" w:themeColor="text1"/>
                <w:sz w:val="18"/>
                <w:szCs w:val="18"/>
              </w:rPr>
              <w:t xml:space="preserve">Przełącznik </w:t>
            </w:r>
            <w:r w:rsidR="003F63BA">
              <w:rPr>
                <w:rFonts w:asciiTheme="minorHAnsi" w:hAnsiTheme="minorHAnsi" w:cs="Times New Roman"/>
                <w:color w:val="000000" w:themeColor="text1"/>
                <w:sz w:val="18"/>
                <w:szCs w:val="18"/>
              </w:rPr>
              <w:t xml:space="preserve">musi </w:t>
            </w:r>
            <w:r w:rsidRPr="00AD3C79">
              <w:rPr>
                <w:rFonts w:asciiTheme="minorHAnsi" w:hAnsiTheme="minorHAnsi" w:cs="Times New Roman"/>
                <w:color w:val="000000" w:themeColor="text1"/>
                <w:sz w:val="18"/>
                <w:szCs w:val="18"/>
              </w:rPr>
              <w:t>posiada</w:t>
            </w:r>
            <w:r w:rsidR="003F63BA">
              <w:rPr>
                <w:rFonts w:asciiTheme="minorHAnsi" w:hAnsiTheme="minorHAnsi" w:cs="Times New Roman"/>
                <w:color w:val="000000" w:themeColor="text1"/>
                <w:sz w:val="18"/>
                <w:szCs w:val="18"/>
              </w:rPr>
              <w:t>ć</w:t>
            </w:r>
            <w:r w:rsidRPr="00AD3C79">
              <w:rPr>
                <w:rFonts w:asciiTheme="minorHAnsi" w:hAnsiTheme="minorHAnsi" w:cs="Times New Roman"/>
                <w:color w:val="000000" w:themeColor="text1"/>
                <w:sz w:val="18"/>
                <w:szCs w:val="18"/>
              </w:rPr>
              <w:t xml:space="preserve"> funkcjonalność IGMP (v2, v3) oraz MLD (v1 i v2) </w:t>
            </w:r>
            <w:proofErr w:type="spellStart"/>
            <w:r w:rsidRPr="00AD3C79">
              <w:rPr>
                <w:rFonts w:asciiTheme="minorHAnsi" w:hAnsiTheme="minorHAnsi" w:cs="Times New Roman"/>
                <w:color w:val="000000" w:themeColor="text1"/>
                <w:sz w:val="18"/>
                <w:szCs w:val="18"/>
              </w:rPr>
              <w:t>snooping</w:t>
            </w:r>
            <w:proofErr w:type="spellEnd"/>
            <w:r w:rsidRPr="00AD3C79">
              <w:rPr>
                <w:rFonts w:asciiTheme="minorHAnsi" w:hAnsiTheme="minorHAnsi" w:cs="Times New Roman"/>
                <w:color w:val="000000" w:themeColor="text1"/>
                <w:sz w:val="18"/>
                <w:szCs w:val="18"/>
              </w:rPr>
              <w:t xml:space="preserve"> i wysyła ramki </w:t>
            </w:r>
            <w:proofErr w:type="spellStart"/>
            <w:r w:rsidRPr="00AD3C79">
              <w:rPr>
                <w:rFonts w:asciiTheme="minorHAnsi" w:hAnsiTheme="minorHAnsi" w:cs="Times New Roman"/>
                <w:color w:val="000000" w:themeColor="text1"/>
                <w:sz w:val="18"/>
                <w:szCs w:val="18"/>
              </w:rPr>
              <w:t>multicastowe</w:t>
            </w:r>
            <w:proofErr w:type="spellEnd"/>
            <w:r w:rsidRPr="00AD3C79">
              <w:rPr>
                <w:rFonts w:asciiTheme="minorHAnsi" w:hAnsiTheme="minorHAnsi" w:cs="Times New Roman"/>
                <w:color w:val="000000" w:themeColor="text1"/>
                <w:sz w:val="18"/>
                <w:szCs w:val="18"/>
              </w:rPr>
              <w:t xml:space="preserve"> tylko do nasłuchujących klientów. Funkcjonalność ta nie zakłóca poprawnej pracy </w:t>
            </w:r>
            <w:proofErr w:type="spellStart"/>
            <w:r w:rsidRPr="00AD3C79">
              <w:rPr>
                <w:rFonts w:asciiTheme="minorHAnsi" w:hAnsiTheme="minorHAnsi" w:cs="Times New Roman"/>
                <w:color w:val="000000" w:themeColor="text1"/>
                <w:sz w:val="18"/>
                <w:szCs w:val="18"/>
              </w:rPr>
              <w:t>multicastów</w:t>
            </w:r>
            <w:proofErr w:type="spellEnd"/>
            <w:r w:rsidRPr="00AD3C79">
              <w:rPr>
                <w:rFonts w:asciiTheme="minorHAnsi" w:hAnsiTheme="minorHAnsi" w:cs="Times New Roman"/>
                <w:color w:val="000000" w:themeColor="text1"/>
                <w:sz w:val="18"/>
                <w:szCs w:val="18"/>
              </w:rPr>
              <w:t xml:space="preserve"> IPv6, w tym standardu </w:t>
            </w:r>
            <w:proofErr w:type="spellStart"/>
            <w:r w:rsidRPr="00AD3C79">
              <w:rPr>
                <w:rFonts w:asciiTheme="minorHAnsi" w:hAnsiTheme="minorHAnsi" w:cs="Times New Roman"/>
                <w:color w:val="000000" w:themeColor="text1"/>
                <w:sz w:val="18"/>
                <w:szCs w:val="18"/>
              </w:rPr>
              <w:t>Neighbor</w:t>
            </w:r>
            <w:proofErr w:type="spellEnd"/>
            <w:r w:rsidRPr="00AD3C79">
              <w:rPr>
                <w:rFonts w:asciiTheme="minorHAnsi" w:hAnsiTheme="minorHAnsi" w:cs="Times New Roman"/>
                <w:color w:val="000000" w:themeColor="text1"/>
                <w:sz w:val="18"/>
                <w:szCs w:val="18"/>
              </w:rPr>
              <w:t xml:space="preserve"> Discovery.</w:t>
            </w:r>
          </w:p>
        </w:tc>
        <w:tc>
          <w:tcPr>
            <w:tcW w:w="2117" w:type="pct"/>
          </w:tcPr>
          <w:p w:rsidR="00AD3C79" w:rsidRPr="00AD3C79" w:rsidRDefault="00AD3C79" w:rsidP="009E66CF">
            <w:pPr>
              <w:pStyle w:val="Bezodstpw1"/>
              <w:tabs>
                <w:tab w:val="clear" w:pos="709"/>
              </w:tabs>
              <w:spacing w:after="0" w:line="240" w:lineRule="auto"/>
              <w:jc w:val="both"/>
              <w:rPr>
                <w:rFonts w:asciiTheme="minorHAnsi" w:hAnsiTheme="minorHAnsi" w:cs="Times New Roman"/>
                <w:color w:val="000000" w:themeColor="text1"/>
                <w:sz w:val="18"/>
                <w:szCs w:val="18"/>
              </w:rPr>
            </w:pPr>
          </w:p>
        </w:tc>
      </w:tr>
      <w:tr w:rsidR="00AD3C79" w:rsidRPr="00FD304C" w:rsidTr="00AD3C79">
        <w:trPr>
          <w:trHeight w:val="76"/>
        </w:trPr>
        <w:tc>
          <w:tcPr>
            <w:tcW w:w="482" w:type="pct"/>
            <w:vAlign w:val="center"/>
          </w:tcPr>
          <w:p w:rsidR="00AD3C79" w:rsidRPr="00AD3C79" w:rsidRDefault="00AD3C79" w:rsidP="00AD3C79">
            <w:pPr>
              <w:pStyle w:val="Akapitzlist"/>
              <w:numPr>
                <w:ilvl w:val="0"/>
                <w:numId w:val="3"/>
              </w:numPr>
              <w:jc w:val="center"/>
              <w:rPr>
                <w:rFonts w:asciiTheme="minorHAnsi" w:hAnsiTheme="minorHAnsi"/>
                <w:bCs/>
                <w:color w:val="000000" w:themeColor="text1"/>
                <w:sz w:val="18"/>
                <w:szCs w:val="18"/>
              </w:rPr>
            </w:pPr>
          </w:p>
        </w:tc>
        <w:tc>
          <w:tcPr>
            <w:tcW w:w="2401" w:type="pct"/>
            <w:gridSpan w:val="2"/>
          </w:tcPr>
          <w:p w:rsidR="00AD3C79" w:rsidRPr="003F63BA" w:rsidRDefault="00AD3C79" w:rsidP="009E66CF">
            <w:pPr>
              <w:jc w:val="both"/>
              <w:rPr>
                <w:rFonts w:asciiTheme="minorHAnsi" w:hAnsiTheme="minorHAnsi"/>
                <w:color w:val="000000" w:themeColor="text1"/>
                <w:szCs w:val="18"/>
              </w:rPr>
            </w:pPr>
            <w:r w:rsidRPr="003F63BA">
              <w:rPr>
                <w:rFonts w:asciiTheme="minorHAnsi" w:hAnsiTheme="minorHAnsi"/>
                <w:color w:val="000000" w:themeColor="text1"/>
                <w:szCs w:val="18"/>
              </w:rPr>
              <w:t xml:space="preserve">Przełącznik musi obsługiwać co najmniej 500 tras </w:t>
            </w:r>
            <w:proofErr w:type="spellStart"/>
            <w:r w:rsidRPr="003F63BA">
              <w:rPr>
                <w:rFonts w:asciiTheme="minorHAnsi" w:hAnsiTheme="minorHAnsi"/>
                <w:color w:val="000000" w:themeColor="text1"/>
                <w:szCs w:val="18"/>
              </w:rPr>
              <w:t>routingu</w:t>
            </w:r>
            <w:proofErr w:type="spellEnd"/>
            <w:r w:rsidRPr="003F63BA">
              <w:rPr>
                <w:rFonts w:asciiTheme="minorHAnsi" w:hAnsiTheme="minorHAnsi"/>
                <w:color w:val="000000" w:themeColor="text1"/>
                <w:szCs w:val="18"/>
              </w:rPr>
              <w:t xml:space="preserve"> </w:t>
            </w:r>
            <w:proofErr w:type="spellStart"/>
            <w:r w:rsidRPr="003F63BA">
              <w:rPr>
                <w:rFonts w:asciiTheme="minorHAnsi" w:hAnsiTheme="minorHAnsi"/>
                <w:color w:val="000000" w:themeColor="text1"/>
                <w:szCs w:val="18"/>
              </w:rPr>
              <w:t>unicast</w:t>
            </w:r>
            <w:proofErr w:type="spellEnd"/>
            <w:r w:rsidRPr="003F63BA">
              <w:rPr>
                <w:rFonts w:asciiTheme="minorHAnsi" w:hAnsiTheme="minorHAnsi"/>
                <w:color w:val="000000" w:themeColor="text1"/>
                <w:szCs w:val="18"/>
              </w:rPr>
              <w:t xml:space="preserve"> ipv4 i 100 tras </w:t>
            </w:r>
            <w:proofErr w:type="spellStart"/>
            <w:r w:rsidRPr="003F63BA">
              <w:rPr>
                <w:rFonts w:asciiTheme="minorHAnsi" w:hAnsiTheme="minorHAnsi"/>
                <w:color w:val="000000" w:themeColor="text1"/>
                <w:szCs w:val="18"/>
              </w:rPr>
              <w:t>unicast</w:t>
            </w:r>
            <w:proofErr w:type="spellEnd"/>
            <w:r w:rsidRPr="003F63BA">
              <w:rPr>
                <w:rFonts w:asciiTheme="minorHAnsi" w:hAnsiTheme="minorHAnsi"/>
                <w:color w:val="000000" w:themeColor="text1"/>
                <w:szCs w:val="18"/>
              </w:rPr>
              <w:t xml:space="preserve"> ipv6 jednocześnie; co najmniej 1000 pozycji ARP i 750 </w:t>
            </w:r>
            <w:proofErr w:type="spellStart"/>
            <w:r w:rsidRPr="003F63BA">
              <w:rPr>
                <w:rFonts w:asciiTheme="minorHAnsi" w:hAnsiTheme="minorHAnsi"/>
                <w:color w:val="000000" w:themeColor="text1"/>
                <w:szCs w:val="18"/>
              </w:rPr>
              <w:t>Neighbor</w:t>
            </w:r>
            <w:proofErr w:type="spellEnd"/>
            <w:r w:rsidRPr="003F63BA">
              <w:rPr>
                <w:rFonts w:asciiTheme="minorHAnsi" w:hAnsiTheme="minorHAnsi"/>
                <w:color w:val="000000" w:themeColor="text1"/>
                <w:szCs w:val="18"/>
              </w:rPr>
              <w:t xml:space="preserve"> Discovery; 1000 tras </w:t>
            </w:r>
            <w:proofErr w:type="spellStart"/>
            <w:r w:rsidRPr="003F63BA">
              <w:rPr>
                <w:rFonts w:asciiTheme="minorHAnsi" w:hAnsiTheme="minorHAnsi"/>
                <w:color w:val="000000" w:themeColor="text1"/>
                <w:szCs w:val="18"/>
              </w:rPr>
              <w:t>multicast</w:t>
            </w:r>
            <w:proofErr w:type="spellEnd"/>
            <w:r w:rsidRPr="003F63BA">
              <w:rPr>
                <w:rFonts w:asciiTheme="minorHAnsi" w:hAnsiTheme="minorHAnsi"/>
                <w:color w:val="000000" w:themeColor="text1"/>
                <w:szCs w:val="18"/>
              </w:rPr>
              <w:t xml:space="preserve"> ipv4/IGMP </w:t>
            </w:r>
            <w:proofErr w:type="spellStart"/>
            <w:r w:rsidRPr="003F63BA">
              <w:rPr>
                <w:rFonts w:asciiTheme="minorHAnsi" w:hAnsiTheme="minorHAnsi"/>
                <w:color w:val="000000" w:themeColor="text1"/>
                <w:szCs w:val="18"/>
              </w:rPr>
              <w:t>groups</w:t>
            </w:r>
            <w:proofErr w:type="spellEnd"/>
            <w:r w:rsidRPr="003F63BA">
              <w:rPr>
                <w:rFonts w:asciiTheme="minorHAnsi" w:hAnsiTheme="minorHAnsi"/>
                <w:color w:val="000000" w:themeColor="text1"/>
                <w:szCs w:val="18"/>
              </w:rPr>
              <w:t xml:space="preserve"> i ipv6 łącznie. Przełącznik potrafi pracować w trybie </w:t>
            </w:r>
            <w:proofErr w:type="spellStart"/>
            <w:r w:rsidRPr="003F63BA">
              <w:rPr>
                <w:rFonts w:asciiTheme="minorHAnsi" w:hAnsiTheme="minorHAnsi"/>
                <w:color w:val="000000" w:themeColor="text1"/>
                <w:szCs w:val="18"/>
              </w:rPr>
              <w:t>proxy</w:t>
            </w:r>
            <w:proofErr w:type="spellEnd"/>
            <w:r w:rsidRPr="003F63BA">
              <w:rPr>
                <w:rFonts w:asciiTheme="minorHAnsi" w:hAnsiTheme="minorHAnsi"/>
                <w:color w:val="000000" w:themeColor="text1"/>
                <w:szCs w:val="18"/>
              </w:rPr>
              <w:t xml:space="preserve"> ARP oraz wykonywać DHCP </w:t>
            </w:r>
            <w:proofErr w:type="spellStart"/>
            <w:r w:rsidRPr="003F63BA">
              <w:rPr>
                <w:rFonts w:asciiTheme="minorHAnsi" w:hAnsiTheme="minorHAnsi"/>
                <w:color w:val="000000" w:themeColor="text1"/>
                <w:szCs w:val="18"/>
              </w:rPr>
              <w:t>relay</w:t>
            </w:r>
            <w:proofErr w:type="spellEnd"/>
            <w:r w:rsidRPr="003F63BA">
              <w:rPr>
                <w:rFonts w:asciiTheme="minorHAnsi" w:hAnsiTheme="minorHAnsi"/>
                <w:color w:val="000000" w:themeColor="text1"/>
                <w:szCs w:val="18"/>
              </w:rPr>
              <w:t xml:space="preserve">  na zadanych interfejsach ipv4 oraz ipv6.</w:t>
            </w:r>
          </w:p>
        </w:tc>
        <w:tc>
          <w:tcPr>
            <w:tcW w:w="2117" w:type="pct"/>
          </w:tcPr>
          <w:p w:rsidR="00AD3C79" w:rsidRPr="00AD3C79" w:rsidRDefault="00AD3C79" w:rsidP="009E66CF">
            <w:pPr>
              <w:jc w:val="both"/>
              <w:rPr>
                <w:rFonts w:asciiTheme="minorHAnsi" w:hAnsiTheme="minorHAnsi"/>
                <w:color w:val="000000" w:themeColor="text1"/>
                <w:szCs w:val="18"/>
              </w:rPr>
            </w:pPr>
          </w:p>
        </w:tc>
      </w:tr>
      <w:tr w:rsidR="00AD3C79" w:rsidRPr="00515F96" w:rsidTr="00AD3C79">
        <w:trPr>
          <w:trHeight w:val="76"/>
        </w:trPr>
        <w:tc>
          <w:tcPr>
            <w:tcW w:w="482" w:type="pct"/>
            <w:vAlign w:val="center"/>
          </w:tcPr>
          <w:p w:rsidR="00AD3C79" w:rsidRPr="00AD3C79" w:rsidRDefault="00AD3C79" w:rsidP="00AD3C79">
            <w:pPr>
              <w:pStyle w:val="Akapitzlist"/>
              <w:numPr>
                <w:ilvl w:val="0"/>
                <w:numId w:val="3"/>
              </w:numPr>
              <w:jc w:val="center"/>
              <w:rPr>
                <w:rFonts w:asciiTheme="minorHAnsi" w:hAnsiTheme="minorHAnsi"/>
                <w:bCs/>
                <w:color w:val="000000" w:themeColor="text1"/>
                <w:sz w:val="18"/>
                <w:szCs w:val="18"/>
              </w:rPr>
            </w:pPr>
          </w:p>
        </w:tc>
        <w:tc>
          <w:tcPr>
            <w:tcW w:w="2401" w:type="pct"/>
            <w:gridSpan w:val="2"/>
          </w:tcPr>
          <w:p w:rsidR="00AD3C79" w:rsidRPr="00AD3C79" w:rsidRDefault="00AD3C79" w:rsidP="009E66CF">
            <w:pPr>
              <w:jc w:val="both"/>
              <w:rPr>
                <w:rFonts w:asciiTheme="minorHAnsi" w:hAnsiTheme="minorHAnsi"/>
                <w:color w:val="000000" w:themeColor="text1"/>
                <w:szCs w:val="18"/>
              </w:rPr>
            </w:pPr>
            <w:r w:rsidRPr="00AD3C79">
              <w:rPr>
                <w:rFonts w:asciiTheme="minorHAnsi" w:hAnsiTheme="minorHAnsi"/>
                <w:color w:val="000000" w:themeColor="text1"/>
                <w:szCs w:val="18"/>
              </w:rPr>
              <w:t xml:space="preserve">Przełącznik musi obsługiwać co najmniej </w:t>
            </w:r>
            <w:r w:rsidRPr="00AD3C79">
              <w:rPr>
                <w:rFonts w:asciiTheme="minorHAnsi" w:hAnsiTheme="minorHAnsi"/>
                <w:b/>
                <w:color w:val="000000" w:themeColor="text1"/>
                <w:szCs w:val="18"/>
              </w:rPr>
              <w:t xml:space="preserve">jeden z wymienionych protokół </w:t>
            </w:r>
            <w:proofErr w:type="spellStart"/>
            <w:r w:rsidRPr="00AD3C79">
              <w:rPr>
                <w:rFonts w:asciiTheme="minorHAnsi" w:hAnsiTheme="minorHAnsi"/>
                <w:b/>
                <w:color w:val="000000" w:themeColor="text1"/>
                <w:szCs w:val="18"/>
              </w:rPr>
              <w:t>routingu</w:t>
            </w:r>
            <w:proofErr w:type="spellEnd"/>
            <w:r w:rsidRPr="00AD3C79">
              <w:rPr>
                <w:rFonts w:asciiTheme="minorHAnsi" w:hAnsiTheme="minorHAnsi"/>
                <w:b/>
                <w:color w:val="000000" w:themeColor="text1"/>
                <w:szCs w:val="18"/>
              </w:rPr>
              <w:t xml:space="preserve"> </w:t>
            </w:r>
            <w:proofErr w:type="spellStart"/>
            <w:r w:rsidRPr="00AD3C79">
              <w:rPr>
                <w:rFonts w:asciiTheme="minorHAnsi" w:hAnsiTheme="minorHAnsi"/>
                <w:b/>
                <w:color w:val="000000" w:themeColor="text1"/>
                <w:szCs w:val="18"/>
              </w:rPr>
              <w:t>dynamicznego</w:t>
            </w:r>
            <w:r w:rsidRPr="00AD3C79">
              <w:rPr>
                <w:rFonts w:asciiTheme="minorHAnsi" w:hAnsiTheme="minorHAnsi"/>
                <w:color w:val="000000" w:themeColor="text1"/>
                <w:szCs w:val="18"/>
              </w:rPr>
              <w:t>j</w:t>
            </w:r>
            <w:proofErr w:type="spellEnd"/>
            <w:r w:rsidRPr="00AD3C79">
              <w:rPr>
                <w:rFonts w:asciiTheme="minorHAnsi" w:hAnsiTheme="minorHAnsi"/>
                <w:color w:val="000000" w:themeColor="text1"/>
                <w:szCs w:val="18"/>
              </w:rPr>
              <w:t xml:space="preserve">: OSPF, RIP, ISIS dla ipv4, co najmniej na dwóch portach </w:t>
            </w:r>
            <w:proofErr w:type="spellStart"/>
            <w:r w:rsidRPr="00AD3C79">
              <w:rPr>
                <w:rFonts w:asciiTheme="minorHAnsi" w:hAnsiTheme="minorHAnsi"/>
                <w:color w:val="000000" w:themeColor="text1"/>
                <w:szCs w:val="18"/>
              </w:rPr>
              <w:t>uplinkowych</w:t>
            </w:r>
            <w:proofErr w:type="spellEnd"/>
            <w:r w:rsidRPr="00AD3C79">
              <w:rPr>
                <w:rFonts w:asciiTheme="minorHAnsi" w:hAnsiTheme="minorHAnsi"/>
                <w:color w:val="000000" w:themeColor="text1"/>
                <w:szCs w:val="18"/>
              </w:rPr>
              <w:t>. Musi istnieć możliwość dokupienia licencji lub modułu obsługującego OSPFv2/3 i RIP2/3/</w:t>
            </w:r>
            <w:proofErr w:type="spellStart"/>
            <w:r w:rsidRPr="00AD3C79">
              <w:rPr>
                <w:rFonts w:asciiTheme="minorHAnsi" w:hAnsiTheme="minorHAnsi"/>
                <w:color w:val="000000" w:themeColor="text1"/>
                <w:szCs w:val="18"/>
              </w:rPr>
              <w:t>ng</w:t>
            </w:r>
            <w:proofErr w:type="spellEnd"/>
            <w:r w:rsidRPr="00AD3C79">
              <w:rPr>
                <w:rFonts w:asciiTheme="minorHAnsi" w:hAnsiTheme="minorHAnsi"/>
                <w:color w:val="000000" w:themeColor="text1"/>
                <w:szCs w:val="18"/>
              </w:rPr>
              <w:t xml:space="preserve"> dla ipv4/ipv6.</w:t>
            </w:r>
          </w:p>
        </w:tc>
        <w:tc>
          <w:tcPr>
            <w:tcW w:w="2117" w:type="pct"/>
          </w:tcPr>
          <w:p w:rsidR="00AD3C79" w:rsidRPr="00AD3C79" w:rsidRDefault="00AD3C79" w:rsidP="009E66CF">
            <w:pPr>
              <w:jc w:val="both"/>
              <w:rPr>
                <w:rFonts w:asciiTheme="minorHAnsi" w:hAnsiTheme="minorHAnsi"/>
                <w:color w:val="000000" w:themeColor="text1"/>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jc w:val="both"/>
              <w:rPr>
                <w:rFonts w:asciiTheme="minorHAnsi" w:hAnsiTheme="minorHAnsi"/>
                <w:color w:val="000000" w:themeColor="text1"/>
                <w:szCs w:val="18"/>
              </w:rPr>
            </w:pPr>
            <w:r w:rsidRPr="00AD3C79">
              <w:rPr>
                <w:rFonts w:asciiTheme="minorHAnsi" w:hAnsiTheme="minorHAnsi"/>
                <w:color w:val="000000" w:themeColor="text1"/>
                <w:szCs w:val="18"/>
              </w:rPr>
              <w:t xml:space="preserve">Urządzenia muszą być nieużywane, fabrycznie nowe i nie przewidziane do wycofania z produkcji w momencie składania oferty, pochodzić z legalnych kanałów dystrybucji producenta sprzętu. Urządzenie musi być objęte </w:t>
            </w:r>
            <w:r w:rsidRPr="00AD3C79">
              <w:rPr>
                <w:rFonts w:asciiTheme="minorHAnsi" w:hAnsiTheme="minorHAnsi"/>
                <w:b/>
                <w:color w:val="000000" w:themeColor="text1"/>
                <w:szCs w:val="18"/>
              </w:rPr>
              <w:t>co najmniej 5 letnią gwarancją</w:t>
            </w:r>
            <w:r w:rsidRPr="00AD3C79">
              <w:rPr>
                <w:rFonts w:asciiTheme="minorHAnsi" w:hAnsiTheme="minorHAnsi"/>
                <w:color w:val="000000" w:themeColor="text1"/>
                <w:szCs w:val="18"/>
              </w:rPr>
              <w:t xml:space="preserve">. Musi istnieć możliwość zamówienia dodatkowych szkoleń z produktu, autoryzowanych przez Producenta sprzętu, na terenie Polski i w języku polskim. Nowe wersje </w:t>
            </w:r>
            <w:proofErr w:type="spellStart"/>
            <w:r w:rsidRPr="00AD3C79">
              <w:rPr>
                <w:rFonts w:asciiTheme="minorHAnsi" w:hAnsiTheme="minorHAnsi"/>
                <w:color w:val="000000" w:themeColor="text1"/>
                <w:szCs w:val="18"/>
              </w:rPr>
              <w:t>firmware</w:t>
            </w:r>
            <w:proofErr w:type="spellEnd"/>
            <w:r w:rsidRPr="00AD3C79">
              <w:rPr>
                <w:rFonts w:asciiTheme="minorHAnsi" w:hAnsiTheme="minorHAnsi"/>
                <w:color w:val="000000" w:themeColor="text1"/>
                <w:szCs w:val="18"/>
              </w:rPr>
              <w:t xml:space="preserve"> muszą być ogólnodostępne lub Zamawiający musi mieć zapewniony </w:t>
            </w:r>
            <w:r w:rsidRPr="00AD3C79">
              <w:rPr>
                <w:rFonts w:asciiTheme="minorHAnsi" w:hAnsiTheme="minorHAnsi"/>
                <w:b/>
                <w:color w:val="000000" w:themeColor="text1"/>
                <w:szCs w:val="18"/>
              </w:rPr>
              <w:t>dostęp do nowych wersji oprogramowania oferowanych przez producenta urządzenia przez co najmniej 5 lat</w:t>
            </w:r>
            <w:r w:rsidRPr="00AD3C79">
              <w:rPr>
                <w:rFonts w:asciiTheme="minorHAnsi" w:hAnsiTheme="minorHAnsi"/>
                <w:color w:val="000000" w:themeColor="text1"/>
                <w:szCs w:val="18"/>
              </w:rPr>
              <w:t xml:space="preserve"> od podpisania protokołu odbioru.</w:t>
            </w:r>
          </w:p>
        </w:tc>
        <w:tc>
          <w:tcPr>
            <w:tcW w:w="2117" w:type="pct"/>
          </w:tcPr>
          <w:p w:rsidR="00AD3C79" w:rsidRPr="00AD3C79" w:rsidRDefault="00AD3C79" w:rsidP="009E66CF">
            <w:pPr>
              <w:jc w:val="both"/>
              <w:rPr>
                <w:rFonts w:asciiTheme="minorHAnsi" w:hAnsiTheme="minorHAnsi"/>
                <w:color w:val="000000" w:themeColor="text1"/>
                <w:szCs w:val="18"/>
              </w:rPr>
            </w:pPr>
          </w:p>
        </w:tc>
      </w:tr>
      <w:tr w:rsidR="00AD3C79" w:rsidRPr="00FD304C" w:rsidTr="00AD3C79">
        <w:trPr>
          <w:trHeight w:val="76"/>
        </w:trPr>
        <w:tc>
          <w:tcPr>
            <w:tcW w:w="482" w:type="pct"/>
            <w:vAlign w:val="center"/>
          </w:tcPr>
          <w:p w:rsidR="00AD3C79" w:rsidRPr="00AD3C79" w:rsidRDefault="00AD3C79" w:rsidP="00AD3C79">
            <w:pPr>
              <w:numPr>
                <w:ilvl w:val="0"/>
                <w:numId w:val="3"/>
              </w:numPr>
              <w:jc w:val="center"/>
              <w:rPr>
                <w:rFonts w:asciiTheme="minorHAnsi" w:hAnsiTheme="minorHAnsi"/>
                <w:bCs/>
                <w:color w:val="000000" w:themeColor="text1"/>
                <w:szCs w:val="18"/>
              </w:rPr>
            </w:pPr>
          </w:p>
        </w:tc>
        <w:tc>
          <w:tcPr>
            <w:tcW w:w="2401" w:type="pct"/>
            <w:gridSpan w:val="2"/>
          </w:tcPr>
          <w:p w:rsidR="00AD3C79" w:rsidRPr="00AD3C79" w:rsidRDefault="00AD3C79" w:rsidP="009E66CF">
            <w:pPr>
              <w:jc w:val="both"/>
              <w:rPr>
                <w:rFonts w:asciiTheme="minorHAnsi" w:hAnsiTheme="minorHAnsi"/>
                <w:color w:val="000000" w:themeColor="text1"/>
                <w:szCs w:val="18"/>
              </w:rPr>
            </w:pPr>
            <w:r w:rsidRPr="00AD3C79">
              <w:rPr>
                <w:rFonts w:asciiTheme="minorHAnsi" w:hAnsiTheme="minorHAnsi"/>
                <w:color w:val="000000" w:themeColor="text1"/>
                <w:szCs w:val="18"/>
              </w:rPr>
              <w:t>Dopuszcza się aby wymagane standardy były obsługiwane w wersjach nowszych niż wymienione powyżej.</w:t>
            </w:r>
          </w:p>
        </w:tc>
        <w:tc>
          <w:tcPr>
            <w:tcW w:w="2117" w:type="pct"/>
          </w:tcPr>
          <w:p w:rsidR="00AD3C79" w:rsidRPr="00AD3C79" w:rsidRDefault="00AD3C79" w:rsidP="009E66CF">
            <w:pPr>
              <w:jc w:val="both"/>
              <w:rPr>
                <w:rFonts w:asciiTheme="minorHAnsi" w:hAnsiTheme="minorHAnsi"/>
                <w:color w:val="000000" w:themeColor="text1"/>
                <w:szCs w:val="18"/>
              </w:rPr>
            </w:pPr>
          </w:p>
        </w:tc>
      </w:tr>
    </w:tbl>
    <w:p w:rsidR="00BA03F4" w:rsidRDefault="00BA03F4" w:rsidP="00BA03F4"/>
    <w:p w:rsidR="00AD3C79" w:rsidRDefault="00AD3C79" w:rsidP="00BA03F4"/>
    <w:p w:rsidR="00AD3C79" w:rsidRDefault="00AD3C79" w:rsidP="00BA03F4"/>
    <w:p w:rsidR="00AD3C79" w:rsidRDefault="00AD3C79" w:rsidP="00BA03F4"/>
    <w:p w:rsidR="00AD3C79" w:rsidRDefault="00AD3C79" w:rsidP="00BA03F4"/>
    <w:p w:rsidR="003F63BA" w:rsidRDefault="003F63BA" w:rsidP="00BA03F4"/>
    <w:p w:rsidR="00AD3C79" w:rsidRDefault="00AD3C79" w:rsidP="00BA03F4"/>
    <w:p w:rsidR="007266C3" w:rsidRDefault="007266C3" w:rsidP="00BA03F4"/>
    <w:p w:rsidR="00BA03F4" w:rsidRPr="00E20FF9" w:rsidRDefault="00BA03F4" w:rsidP="00BA03F4">
      <w:pPr>
        <w:suppressAutoHyphens/>
        <w:jc w:val="both"/>
        <w:rPr>
          <w:rFonts w:ascii="Calibri" w:hAnsi="Calibri"/>
          <w:lang w:eastAsia="ar-SA"/>
        </w:rPr>
      </w:pPr>
      <w:r>
        <w:rPr>
          <w:rFonts w:ascii="Calibri" w:hAnsi="Calibri"/>
        </w:rPr>
        <w:t>…</w:t>
      </w:r>
      <w:r w:rsidRPr="00E20FF9">
        <w:rPr>
          <w:rFonts w:ascii="Calibri" w:hAnsi="Calibri"/>
        </w:rPr>
        <w:t>................................................</w:t>
      </w:r>
      <w:r w:rsidRPr="00E20FF9">
        <w:rPr>
          <w:rFonts w:ascii="Calibri" w:hAnsi="Calibri"/>
        </w:rPr>
        <w:tab/>
      </w:r>
      <w:r w:rsidRPr="00E20FF9">
        <w:rPr>
          <w:rFonts w:ascii="Calibri" w:hAnsi="Calibri"/>
        </w:rPr>
        <w:tab/>
        <w:t xml:space="preserve">                            </w:t>
      </w:r>
      <w:r>
        <w:rPr>
          <w:rFonts w:ascii="Calibri" w:hAnsi="Calibri"/>
        </w:rPr>
        <w:t xml:space="preserve">              </w:t>
      </w:r>
      <w:r w:rsidR="00AD3C79">
        <w:rPr>
          <w:rFonts w:ascii="Calibri" w:hAnsi="Calibri"/>
        </w:rPr>
        <w:t xml:space="preserve">            </w:t>
      </w:r>
      <w:r>
        <w:rPr>
          <w:rFonts w:ascii="Calibri" w:hAnsi="Calibri"/>
        </w:rPr>
        <w:t xml:space="preserve"> </w:t>
      </w:r>
      <w:r w:rsidRPr="00E20FF9">
        <w:rPr>
          <w:rFonts w:ascii="Calibri" w:hAnsi="Calibri"/>
        </w:rPr>
        <w:t>…………………………………………………………..</w:t>
      </w:r>
    </w:p>
    <w:p w:rsidR="00BA03F4" w:rsidRPr="00E20FF9" w:rsidRDefault="00BA03F4" w:rsidP="00BA03F4">
      <w:pPr>
        <w:suppressAutoHyphens/>
        <w:ind w:left="6372" w:hanging="6372"/>
        <w:rPr>
          <w:rFonts w:ascii="Calibri" w:hAnsi="Calibri"/>
          <w:lang w:eastAsia="ar-SA"/>
        </w:rPr>
      </w:pPr>
      <w:r w:rsidRPr="00E20FF9">
        <w:rPr>
          <w:rFonts w:ascii="Calibri" w:hAnsi="Calibri"/>
        </w:rPr>
        <w:t xml:space="preserve">         (miejscowość i data)                                                            </w:t>
      </w:r>
      <w:r>
        <w:rPr>
          <w:rFonts w:ascii="Calibri" w:hAnsi="Calibri"/>
        </w:rPr>
        <w:t xml:space="preserve">                  </w:t>
      </w:r>
      <w:r w:rsidR="00AD3C79">
        <w:rPr>
          <w:rFonts w:ascii="Calibri" w:hAnsi="Calibri"/>
        </w:rPr>
        <w:t xml:space="preserve">            </w:t>
      </w:r>
      <w:r>
        <w:rPr>
          <w:rFonts w:ascii="Calibri" w:hAnsi="Calibri"/>
        </w:rPr>
        <w:t xml:space="preserve">   </w:t>
      </w:r>
      <w:r w:rsidRPr="00E20FF9">
        <w:rPr>
          <w:rFonts w:ascii="Calibri" w:hAnsi="Calibri"/>
        </w:rPr>
        <w:t xml:space="preserve">(podpis, pieczątka imienna osoby upoważnionej </w:t>
      </w:r>
    </w:p>
    <w:p w:rsidR="005E28EC" w:rsidRPr="009C34B8" w:rsidRDefault="00BA03F4" w:rsidP="009C34B8">
      <w:pPr>
        <w:jc w:val="both"/>
        <w:rPr>
          <w:rFonts w:ascii="Calibri" w:hAnsi="Calibri"/>
        </w:rPr>
      </w:pPr>
      <w:r w:rsidRPr="00E20FF9">
        <w:rPr>
          <w:rFonts w:ascii="Calibri" w:hAnsi="Calibri"/>
        </w:rPr>
        <w:t xml:space="preserve">                                                                                               </w:t>
      </w:r>
      <w:r>
        <w:rPr>
          <w:rFonts w:ascii="Calibri" w:hAnsi="Calibri"/>
        </w:rPr>
        <w:t xml:space="preserve">             </w:t>
      </w:r>
      <w:r w:rsidRPr="00E20FF9">
        <w:rPr>
          <w:rFonts w:ascii="Calibri" w:hAnsi="Calibri"/>
        </w:rPr>
        <w:t xml:space="preserve"> </w:t>
      </w:r>
      <w:r w:rsidR="00AD3C79">
        <w:rPr>
          <w:rFonts w:ascii="Calibri" w:hAnsi="Calibri"/>
        </w:rPr>
        <w:t xml:space="preserve">          </w:t>
      </w:r>
      <w:r w:rsidRPr="00E20FF9">
        <w:rPr>
          <w:rFonts w:ascii="Calibri" w:hAnsi="Calibri"/>
        </w:rPr>
        <w:t xml:space="preserve"> do składania oświadczeń woli w imieniu Wykonawcy)</w:t>
      </w:r>
    </w:p>
    <w:sectPr w:rsidR="005E28EC" w:rsidRPr="009C34B8" w:rsidSect="00E571D3">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6B" w:rsidRDefault="00F7036B" w:rsidP="00E571D3">
      <w:r>
        <w:separator/>
      </w:r>
    </w:p>
  </w:endnote>
  <w:endnote w:type="continuationSeparator" w:id="0">
    <w:p w:rsidR="00F7036B" w:rsidRDefault="00F7036B" w:rsidP="00E57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3244"/>
      <w:docPartObj>
        <w:docPartGallery w:val="Page Numbers (Bottom of Page)"/>
        <w:docPartUnique/>
      </w:docPartObj>
    </w:sdtPr>
    <w:sdtContent>
      <w:p w:rsidR="00134E9F" w:rsidRDefault="00F952BC">
        <w:pPr>
          <w:pStyle w:val="Stopka"/>
          <w:jc w:val="right"/>
        </w:pPr>
        <w:fldSimple w:instr=" PAGE   \* MERGEFORMAT ">
          <w:r w:rsidR="003F63BA">
            <w:rPr>
              <w:noProof/>
            </w:rPr>
            <w:t>1</w:t>
          </w:r>
        </w:fldSimple>
      </w:p>
    </w:sdtContent>
  </w:sdt>
  <w:p w:rsidR="00134E9F" w:rsidRDefault="00134E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6B" w:rsidRDefault="00F7036B" w:rsidP="00E571D3">
      <w:r>
        <w:separator/>
      </w:r>
    </w:p>
  </w:footnote>
  <w:footnote w:type="continuationSeparator" w:id="0">
    <w:p w:rsidR="00F7036B" w:rsidRDefault="00F7036B" w:rsidP="00E5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2EA"/>
    <w:multiLevelType w:val="hybridMultilevel"/>
    <w:tmpl w:val="30B85B10"/>
    <w:lvl w:ilvl="0" w:tplc="96BAD94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EBF4519"/>
    <w:multiLevelType w:val="hybridMultilevel"/>
    <w:tmpl w:val="CD329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71D3"/>
    <w:rsid w:val="000F67DB"/>
    <w:rsid w:val="00134E9F"/>
    <w:rsid w:val="00140060"/>
    <w:rsid w:val="001422F4"/>
    <w:rsid w:val="00173523"/>
    <w:rsid w:val="001754C1"/>
    <w:rsid w:val="00185633"/>
    <w:rsid w:val="001A739B"/>
    <w:rsid w:val="00204BC0"/>
    <w:rsid w:val="002407FA"/>
    <w:rsid w:val="00242373"/>
    <w:rsid w:val="00242BCB"/>
    <w:rsid w:val="00255B6A"/>
    <w:rsid w:val="0027523B"/>
    <w:rsid w:val="002827DD"/>
    <w:rsid w:val="00295124"/>
    <w:rsid w:val="00330396"/>
    <w:rsid w:val="00341451"/>
    <w:rsid w:val="00350903"/>
    <w:rsid w:val="0039684B"/>
    <w:rsid w:val="003F63BA"/>
    <w:rsid w:val="003F77D7"/>
    <w:rsid w:val="00404B14"/>
    <w:rsid w:val="00435B64"/>
    <w:rsid w:val="0044636D"/>
    <w:rsid w:val="00490D82"/>
    <w:rsid w:val="004A4FCB"/>
    <w:rsid w:val="0052501C"/>
    <w:rsid w:val="00531E66"/>
    <w:rsid w:val="0055285E"/>
    <w:rsid w:val="00587C6B"/>
    <w:rsid w:val="005E28EC"/>
    <w:rsid w:val="005E51BE"/>
    <w:rsid w:val="006433D2"/>
    <w:rsid w:val="006A1403"/>
    <w:rsid w:val="006F1E4C"/>
    <w:rsid w:val="00722E90"/>
    <w:rsid w:val="007266C3"/>
    <w:rsid w:val="00741403"/>
    <w:rsid w:val="0074518B"/>
    <w:rsid w:val="007A673C"/>
    <w:rsid w:val="00802343"/>
    <w:rsid w:val="00807DED"/>
    <w:rsid w:val="00841C0B"/>
    <w:rsid w:val="00853607"/>
    <w:rsid w:val="00866AD5"/>
    <w:rsid w:val="00872C30"/>
    <w:rsid w:val="00883C2C"/>
    <w:rsid w:val="008857D6"/>
    <w:rsid w:val="008B02B8"/>
    <w:rsid w:val="008E756B"/>
    <w:rsid w:val="00945D2C"/>
    <w:rsid w:val="0099439E"/>
    <w:rsid w:val="009A7F75"/>
    <w:rsid w:val="009C0E46"/>
    <w:rsid w:val="009C34B8"/>
    <w:rsid w:val="009E4A9A"/>
    <w:rsid w:val="00A1082F"/>
    <w:rsid w:val="00A636F1"/>
    <w:rsid w:val="00A83EF3"/>
    <w:rsid w:val="00AC383E"/>
    <w:rsid w:val="00AD3C79"/>
    <w:rsid w:val="00AE2997"/>
    <w:rsid w:val="00AE7D29"/>
    <w:rsid w:val="00AF2567"/>
    <w:rsid w:val="00B24A8B"/>
    <w:rsid w:val="00B3323A"/>
    <w:rsid w:val="00B704B9"/>
    <w:rsid w:val="00B949E3"/>
    <w:rsid w:val="00BA03F4"/>
    <w:rsid w:val="00BA314B"/>
    <w:rsid w:val="00BC7C16"/>
    <w:rsid w:val="00C17D7D"/>
    <w:rsid w:val="00C321C1"/>
    <w:rsid w:val="00C34024"/>
    <w:rsid w:val="00C86417"/>
    <w:rsid w:val="00CB5269"/>
    <w:rsid w:val="00CD535D"/>
    <w:rsid w:val="00D60E1D"/>
    <w:rsid w:val="00D716ED"/>
    <w:rsid w:val="00E42FF8"/>
    <w:rsid w:val="00E54924"/>
    <w:rsid w:val="00E571D3"/>
    <w:rsid w:val="00E62F93"/>
    <w:rsid w:val="00E92201"/>
    <w:rsid w:val="00EE5EF8"/>
    <w:rsid w:val="00F7036B"/>
    <w:rsid w:val="00F952BC"/>
    <w:rsid w:val="00FE2C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1D3"/>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571D3"/>
    <w:pPr>
      <w:widowControl w:val="0"/>
      <w:suppressAutoHyphens/>
      <w:autoSpaceDN w:val="0"/>
      <w:spacing w:line="100" w:lineRule="atLeast"/>
    </w:pPr>
    <w:rPr>
      <w:rFonts w:ascii="Courier New" w:eastAsia="Courier New" w:hAnsi="Courier New" w:cs="Courier New"/>
      <w:kern w:val="3"/>
      <w:sz w:val="20"/>
      <w:szCs w:val="20"/>
      <w:lang w:eastAsia="zh-CN" w:bidi="hi-IN"/>
    </w:rPr>
  </w:style>
  <w:style w:type="paragraph" w:customStyle="1" w:styleId="Standard">
    <w:name w:val="Standard"/>
    <w:rsid w:val="00E571D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semiHidden/>
    <w:unhideWhenUsed/>
    <w:rsid w:val="00E571D3"/>
    <w:pPr>
      <w:tabs>
        <w:tab w:val="center" w:pos="4536"/>
        <w:tab w:val="right" w:pos="9072"/>
      </w:tabs>
    </w:pPr>
  </w:style>
  <w:style w:type="character" w:customStyle="1" w:styleId="NagwekZnak">
    <w:name w:val="Nagłówek Znak"/>
    <w:basedOn w:val="Domylnaczcionkaakapitu"/>
    <w:link w:val="Nagwek"/>
    <w:uiPriority w:val="99"/>
    <w:semiHidden/>
    <w:rsid w:val="00E571D3"/>
    <w:rPr>
      <w:rFonts w:ascii="Times New Roman" w:eastAsia="Times New Roman" w:hAnsi="Times New Roman" w:cs="Arial"/>
      <w:sz w:val="18"/>
      <w:szCs w:val="24"/>
      <w:lang w:eastAsia="pl-PL"/>
    </w:rPr>
  </w:style>
  <w:style w:type="paragraph" w:styleId="Stopka">
    <w:name w:val="footer"/>
    <w:basedOn w:val="Normalny"/>
    <w:link w:val="StopkaZnak"/>
    <w:uiPriority w:val="99"/>
    <w:unhideWhenUsed/>
    <w:rsid w:val="00E571D3"/>
    <w:pPr>
      <w:tabs>
        <w:tab w:val="center" w:pos="4536"/>
        <w:tab w:val="right" w:pos="9072"/>
      </w:tabs>
    </w:pPr>
  </w:style>
  <w:style w:type="character" w:customStyle="1" w:styleId="StopkaZnak">
    <w:name w:val="Stopka Znak"/>
    <w:basedOn w:val="Domylnaczcionkaakapitu"/>
    <w:link w:val="Stopka"/>
    <w:uiPriority w:val="99"/>
    <w:rsid w:val="00E571D3"/>
    <w:rPr>
      <w:rFonts w:ascii="Times New Roman" w:eastAsia="Times New Roman" w:hAnsi="Times New Roman" w:cs="Arial"/>
      <w:sz w:val="18"/>
      <w:szCs w:val="24"/>
      <w:lang w:eastAsia="pl-PL"/>
    </w:rPr>
  </w:style>
  <w:style w:type="paragraph" w:styleId="Bezodstpw">
    <w:name w:val="No Spacing"/>
    <w:qFormat/>
    <w:rsid w:val="00AE7D29"/>
    <w:pPr>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8B02B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02B8"/>
    <w:rPr>
      <w:rFonts w:ascii="Consolas" w:eastAsia="Times New Roman" w:hAnsi="Consolas" w:cs="Arial"/>
      <w:sz w:val="20"/>
      <w:szCs w:val="20"/>
      <w:lang w:eastAsia="pl-PL"/>
    </w:rPr>
  </w:style>
  <w:style w:type="character" w:styleId="Hipercze">
    <w:name w:val="Hyperlink"/>
    <w:basedOn w:val="Domylnaczcionkaakapitu"/>
    <w:uiPriority w:val="99"/>
    <w:unhideWhenUsed/>
    <w:rsid w:val="008B02B8"/>
    <w:rPr>
      <w:color w:val="0000FF" w:themeColor="hyperlink"/>
      <w:u w:val="single"/>
    </w:rPr>
  </w:style>
  <w:style w:type="paragraph" w:styleId="Tekstprzypisukocowego">
    <w:name w:val="endnote text"/>
    <w:basedOn w:val="Normalny"/>
    <w:link w:val="TekstprzypisukocowegoZnak"/>
    <w:uiPriority w:val="99"/>
    <w:semiHidden/>
    <w:unhideWhenUsed/>
    <w:rsid w:val="007A673C"/>
    <w:rPr>
      <w:sz w:val="20"/>
      <w:szCs w:val="20"/>
    </w:rPr>
  </w:style>
  <w:style w:type="character" w:customStyle="1" w:styleId="TekstprzypisukocowegoZnak">
    <w:name w:val="Tekst przypisu końcowego Znak"/>
    <w:basedOn w:val="Domylnaczcionkaakapitu"/>
    <w:link w:val="Tekstprzypisukocowego"/>
    <w:uiPriority w:val="99"/>
    <w:semiHidden/>
    <w:rsid w:val="007A673C"/>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7A673C"/>
    <w:rPr>
      <w:vertAlign w:val="superscript"/>
    </w:rPr>
  </w:style>
  <w:style w:type="paragraph" w:styleId="Zwykytekst">
    <w:name w:val="Plain Text"/>
    <w:basedOn w:val="Normalny"/>
    <w:link w:val="ZwykytekstZnak"/>
    <w:uiPriority w:val="99"/>
    <w:rsid w:val="00AD3C79"/>
    <w:rPr>
      <w:rFonts w:ascii="Courier New" w:hAnsi="Courier New" w:cs="Courier New"/>
      <w:sz w:val="20"/>
      <w:szCs w:val="20"/>
    </w:rPr>
  </w:style>
  <w:style w:type="character" w:customStyle="1" w:styleId="ZwykytekstZnak">
    <w:name w:val="Zwykły tekst Znak"/>
    <w:basedOn w:val="Domylnaczcionkaakapitu"/>
    <w:link w:val="Zwykytekst"/>
    <w:uiPriority w:val="99"/>
    <w:rsid w:val="00AD3C79"/>
    <w:rPr>
      <w:rFonts w:ascii="Courier New" w:eastAsia="Times New Roman" w:hAnsi="Courier New" w:cs="Courier New"/>
      <w:sz w:val="20"/>
      <w:szCs w:val="20"/>
      <w:lang w:eastAsia="pl-PL"/>
    </w:rPr>
  </w:style>
  <w:style w:type="paragraph" w:customStyle="1" w:styleId="Bezodstpw1">
    <w:name w:val="Bez odstępów1"/>
    <w:uiPriority w:val="99"/>
    <w:rsid w:val="00AD3C79"/>
    <w:pPr>
      <w:widowControl w:val="0"/>
      <w:tabs>
        <w:tab w:val="left" w:pos="709"/>
      </w:tabs>
      <w:suppressAutoHyphens/>
      <w:spacing w:line="276" w:lineRule="atLeast"/>
    </w:pPr>
    <w:rPr>
      <w:rFonts w:ascii="Calibri" w:eastAsia="Times New Roman" w:hAnsi="Calibri" w:cs="Calibri"/>
      <w:lang w:eastAsia="pl-PL"/>
    </w:rPr>
  </w:style>
  <w:style w:type="character" w:styleId="Odwoaniedokomentarza">
    <w:name w:val="annotation reference"/>
    <w:uiPriority w:val="99"/>
    <w:semiHidden/>
    <w:rsid w:val="00AD3C79"/>
    <w:rPr>
      <w:sz w:val="16"/>
      <w:szCs w:val="16"/>
    </w:rPr>
  </w:style>
  <w:style w:type="paragraph" w:styleId="Tekstkomentarza">
    <w:name w:val="annotation text"/>
    <w:basedOn w:val="Normalny"/>
    <w:link w:val="TekstkomentarzaZnak"/>
    <w:uiPriority w:val="99"/>
    <w:semiHidden/>
    <w:rsid w:val="00AD3C79"/>
    <w:rPr>
      <w:rFonts w:cs="Times New Roman"/>
      <w:sz w:val="20"/>
      <w:szCs w:val="20"/>
    </w:rPr>
  </w:style>
  <w:style w:type="character" w:customStyle="1" w:styleId="TekstkomentarzaZnak">
    <w:name w:val="Tekst komentarza Znak"/>
    <w:basedOn w:val="Domylnaczcionkaakapitu"/>
    <w:link w:val="Tekstkomentarza"/>
    <w:uiPriority w:val="99"/>
    <w:semiHidden/>
    <w:rsid w:val="00AD3C7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D3C79"/>
    <w:pPr>
      <w:ind w:left="720"/>
      <w:contextualSpacing/>
    </w:pPr>
    <w:rPr>
      <w:rFonts w:cs="Times New Roman"/>
      <w:sz w:val="24"/>
    </w:rPr>
  </w:style>
  <w:style w:type="paragraph" w:styleId="Tekstdymka">
    <w:name w:val="Balloon Text"/>
    <w:basedOn w:val="Normalny"/>
    <w:link w:val="TekstdymkaZnak"/>
    <w:uiPriority w:val="99"/>
    <w:semiHidden/>
    <w:unhideWhenUsed/>
    <w:rsid w:val="00AD3C79"/>
    <w:rPr>
      <w:rFonts w:ascii="Tahoma" w:hAnsi="Tahoma" w:cs="Tahoma"/>
      <w:sz w:val="16"/>
      <w:szCs w:val="16"/>
    </w:rPr>
  </w:style>
  <w:style w:type="character" w:customStyle="1" w:styleId="TekstdymkaZnak">
    <w:name w:val="Tekst dymka Znak"/>
    <w:basedOn w:val="Domylnaczcionkaakapitu"/>
    <w:link w:val="Tekstdymka"/>
    <w:uiPriority w:val="99"/>
    <w:semiHidden/>
    <w:rsid w:val="00AD3C7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03004025">
      <w:bodyDiv w:val="1"/>
      <w:marLeft w:val="0"/>
      <w:marRight w:val="0"/>
      <w:marTop w:val="0"/>
      <w:marBottom w:val="0"/>
      <w:divBdr>
        <w:top w:val="none" w:sz="0" w:space="0" w:color="auto"/>
        <w:left w:val="none" w:sz="0" w:space="0" w:color="auto"/>
        <w:bottom w:val="none" w:sz="0" w:space="0" w:color="auto"/>
        <w:right w:val="none" w:sz="0" w:space="0" w:color="auto"/>
      </w:divBdr>
    </w:div>
    <w:div w:id="319845222">
      <w:bodyDiv w:val="1"/>
      <w:marLeft w:val="0"/>
      <w:marRight w:val="0"/>
      <w:marTop w:val="0"/>
      <w:marBottom w:val="0"/>
      <w:divBdr>
        <w:top w:val="none" w:sz="0" w:space="0" w:color="auto"/>
        <w:left w:val="none" w:sz="0" w:space="0" w:color="auto"/>
        <w:bottom w:val="none" w:sz="0" w:space="0" w:color="auto"/>
        <w:right w:val="none" w:sz="0" w:space="0" w:color="auto"/>
      </w:divBdr>
    </w:div>
    <w:div w:id="1115949632">
      <w:bodyDiv w:val="1"/>
      <w:marLeft w:val="0"/>
      <w:marRight w:val="0"/>
      <w:marTop w:val="0"/>
      <w:marBottom w:val="0"/>
      <w:divBdr>
        <w:top w:val="none" w:sz="0" w:space="0" w:color="auto"/>
        <w:left w:val="none" w:sz="0" w:space="0" w:color="auto"/>
        <w:bottom w:val="none" w:sz="0" w:space="0" w:color="auto"/>
        <w:right w:val="none" w:sz="0" w:space="0" w:color="auto"/>
      </w:divBdr>
    </w:div>
    <w:div w:id="1232042958">
      <w:bodyDiv w:val="1"/>
      <w:marLeft w:val="0"/>
      <w:marRight w:val="0"/>
      <w:marTop w:val="0"/>
      <w:marBottom w:val="0"/>
      <w:divBdr>
        <w:top w:val="none" w:sz="0" w:space="0" w:color="auto"/>
        <w:left w:val="none" w:sz="0" w:space="0" w:color="auto"/>
        <w:bottom w:val="none" w:sz="0" w:space="0" w:color="auto"/>
        <w:right w:val="none" w:sz="0" w:space="0" w:color="auto"/>
      </w:divBdr>
    </w:div>
    <w:div w:id="1387414364">
      <w:bodyDiv w:val="1"/>
      <w:marLeft w:val="0"/>
      <w:marRight w:val="0"/>
      <w:marTop w:val="0"/>
      <w:marBottom w:val="0"/>
      <w:divBdr>
        <w:top w:val="none" w:sz="0" w:space="0" w:color="auto"/>
        <w:left w:val="none" w:sz="0" w:space="0" w:color="auto"/>
        <w:bottom w:val="none" w:sz="0" w:space="0" w:color="auto"/>
        <w:right w:val="none" w:sz="0" w:space="0" w:color="auto"/>
      </w:divBdr>
    </w:div>
    <w:div w:id="1425884706">
      <w:bodyDiv w:val="1"/>
      <w:marLeft w:val="0"/>
      <w:marRight w:val="0"/>
      <w:marTop w:val="0"/>
      <w:marBottom w:val="0"/>
      <w:divBdr>
        <w:top w:val="none" w:sz="0" w:space="0" w:color="auto"/>
        <w:left w:val="none" w:sz="0" w:space="0" w:color="auto"/>
        <w:bottom w:val="none" w:sz="0" w:space="0" w:color="auto"/>
        <w:right w:val="none" w:sz="0" w:space="0" w:color="auto"/>
      </w:divBdr>
    </w:div>
    <w:div w:id="1602909659">
      <w:bodyDiv w:val="1"/>
      <w:marLeft w:val="0"/>
      <w:marRight w:val="0"/>
      <w:marTop w:val="0"/>
      <w:marBottom w:val="0"/>
      <w:divBdr>
        <w:top w:val="none" w:sz="0" w:space="0" w:color="auto"/>
        <w:left w:val="none" w:sz="0" w:space="0" w:color="auto"/>
        <w:bottom w:val="none" w:sz="0" w:space="0" w:color="auto"/>
        <w:right w:val="none" w:sz="0" w:space="0" w:color="auto"/>
      </w:divBdr>
    </w:div>
    <w:div w:id="1902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764C-77B6-4886-947F-DB6BD2E6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1621</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dc:creator>
  <cp:keywords/>
  <dc:description/>
  <cp:lastModifiedBy>Zespół</cp:lastModifiedBy>
  <cp:revision>35</cp:revision>
  <cp:lastPrinted>2016-08-11T07:02:00Z</cp:lastPrinted>
  <dcterms:created xsi:type="dcterms:W3CDTF">2016-03-04T10:15:00Z</dcterms:created>
  <dcterms:modified xsi:type="dcterms:W3CDTF">2016-08-11T07:03:00Z</dcterms:modified>
</cp:coreProperties>
</file>