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351F">
              <w:rPr>
                <w:rFonts w:ascii="Arial" w:hAnsi="Arial" w:cs="Arial"/>
                <w:b/>
                <w:szCs w:val="20"/>
                <w:lang w:val="en-US"/>
              </w:rPr>
              <w:t>Methods of in vitro tissue culture</w:t>
            </w:r>
          </w:p>
        </w:tc>
      </w:tr>
      <w:tr w:rsidR="004B3AC2" w:rsidRPr="0021143D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21143D" w:rsidRDefault="004B3AC2" w:rsidP="000F2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143D">
              <w:rPr>
                <w:rFonts w:ascii="Arial" w:hAnsi="Arial" w:cs="Arial"/>
                <w:sz w:val="20"/>
                <w:szCs w:val="20"/>
              </w:rPr>
              <w:t>B-BC.BE.220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hAnsi="Arial" w:cs="Arial"/>
                <w:sz w:val="20"/>
                <w:szCs w:val="20"/>
              </w:rPr>
              <w:t xml:space="preserve">0511: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297">
              <w:rPr>
                <w:rFonts w:ascii="Arial" w:hAnsi="Arial" w:cs="Arial"/>
                <w:sz w:val="20"/>
                <w:szCs w:val="20"/>
                <w:lang w:val="en-US"/>
              </w:rPr>
              <w:t>Iº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351F">
              <w:rPr>
                <w:rFonts w:ascii="Arial" w:hAnsi="Arial" w:cs="Arial"/>
                <w:sz w:val="20"/>
                <w:szCs w:val="20"/>
                <w:lang w:val="en-US"/>
              </w:rPr>
              <w:t>winter or summer  semester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Responsible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 module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hAnsi="Arial" w:cs="Arial"/>
                <w:sz w:val="20"/>
                <w:szCs w:val="20"/>
              </w:rPr>
              <w:t xml:space="preserve">mgr Kinga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Lewtak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hAnsi="Arial" w:cs="Arial"/>
                <w:sz w:val="20"/>
                <w:szCs w:val="20"/>
              </w:rPr>
              <w:t>kinga.lewtak@gmail.com, +48 81 537 50 97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7351F">
              <w:rPr>
                <w:rFonts w:ascii="Arial" w:hAnsi="Arial" w:cs="Arial"/>
                <w:sz w:val="20"/>
                <w:szCs w:val="20"/>
              </w:rPr>
              <w:t>nglish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351F">
              <w:rPr>
                <w:rFonts w:ascii="Arial" w:hAnsi="Arial" w:cs="Arial"/>
                <w:sz w:val="20"/>
                <w:szCs w:val="20"/>
                <w:lang w:val="en-US"/>
              </w:rPr>
              <w:t xml:space="preserve">botany, plant physiology 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3,5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B735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 w:rsidRPr="00B7351F"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– 45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hrs</w:t>
            </w:r>
            <w:proofErr w:type="spellEnd"/>
          </w:p>
          <w:p w:rsidR="004B3AC2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B735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1,5</w:t>
            </w:r>
            <w:r w:rsidRPr="00B735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– 60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hrs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Total number of non-contact hours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– 60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hrs</w:t>
            </w:r>
            <w:proofErr w:type="spellEnd"/>
          </w:p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TS points for non-contact hours – 2 </w:t>
            </w:r>
          </w:p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35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3,5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continuous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735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module covers the knowledge in the area of </w:t>
            </w:r>
          </w:p>
          <w:p w:rsidR="004B3AC2" w:rsidRPr="00B7351F" w:rsidRDefault="004B3AC2" w:rsidP="000F2F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4B3AC2" w:rsidRPr="00B7351F" w:rsidRDefault="004B3AC2" w:rsidP="000F2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hAnsi="Arial" w:cs="Arial"/>
                <w:sz w:val="20"/>
                <w:szCs w:val="20"/>
                <w:lang w:val="en-GB"/>
              </w:rPr>
              <w:t xml:space="preserve">Organization and equipment of the laboratory of plant cultures in vitro. Safety principles of work in sterile conditions. Stages of preparation of sterile media for plant propagation.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  <w:lang w:val="en-GB"/>
              </w:rPr>
              <w:t>Totipotency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  <w:lang w:val="en-GB"/>
              </w:rPr>
              <w:t xml:space="preserve"> of plant cells, regeneration ability of plants from primary explants, processes of plant morphogenesis in vitro; hormonal orientation of development (direct and indirect organogenesis). </w:t>
            </w:r>
            <w:proofErr w:type="spellStart"/>
            <w:r w:rsidRPr="00B7351F">
              <w:rPr>
                <w:rFonts w:ascii="Arial" w:hAnsi="Arial" w:cs="Arial"/>
                <w:sz w:val="20"/>
                <w:szCs w:val="20"/>
                <w:lang w:val="en-GB"/>
              </w:rPr>
              <w:t>Micropropagation</w:t>
            </w:r>
            <w:proofErr w:type="spellEnd"/>
            <w:r w:rsidRPr="00B7351F">
              <w:rPr>
                <w:rFonts w:ascii="Arial" w:hAnsi="Arial" w:cs="Arial"/>
                <w:sz w:val="20"/>
                <w:szCs w:val="20"/>
                <w:lang w:val="en-GB"/>
              </w:rPr>
              <w:t xml:space="preserve"> methods. Introduction to basic plant in vitro tissue cultures (callus culture, plant organ and suspension cultures) and their use in plant biotechnology.</w:t>
            </w:r>
          </w:p>
          <w:p w:rsidR="004B3AC2" w:rsidRPr="00B7351F" w:rsidRDefault="004B3AC2" w:rsidP="000F2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  <w:p w:rsidR="004B3AC2" w:rsidRPr="00B7351F" w:rsidRDefault="004B3AC2" w:rsidP="004B3AC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Student knows the principles of directed culturing of plant cells and tissue using methods of in vitro culture;</w:t>
            </w:r>
          </w:p>
          <w:p w:rsidR="004B3AC2" w:rsidRPr="00B7351F" w:rsidRDefault="004B3AC2" w:rsidP="004B3AC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Student knows the principles of preparation of sterile media, proliferation of cell mass and carrying out different types of plant cultures in sterile conditions.</w:t>
            </w:r>
          </w:p>
          <w:p w:rsidR="004B3AC2" w:rsidRPr="00B7351F" w:rsidRDefault="004B3AC2" w:rsidP="000F2FB0">
            <w:pPr>
              <w:spacing w:after="0" w:line="240" w:lineRule="auto"/>
              <w:ind w:left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B3AC2" w:rsidRPr="00B7351F" w:rsidRDefault="004B3AC2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  <w:p w:rsidR="004B3AC2" w:rsidRPr="00B7351F" w:rsidRDefault="004B3AC2" w:rsidP="004B3AC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B735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Student has the ability of directed regeneration of plants from primary explants;</w:t>
            </w:r>
          </w:p>
          <w:p w:rsidR="004B3AC2" w:rsidRPr="00B7351F" w:rsidRDefault="004B3AC2" w:rsidP="004B3AC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Student is able to initiate and conduct cultures of plant organs,  microspores, callus tissue, embryos;</w:t>
            </w:r>
          </w:p>
          <w:p w:rsidR="004B3AC2" w:rsidRPr="00B7351F" w:rsidRDefault="004B3AC2" w:rsidP="004B3AC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Student recognizes changes in plant tissue during in vitro culture.</w:t>
            </w:r>
          </w:p>
          <w:p w:rsidR="004B3AC2" w:rsidRPr="00B7351F" w:rsidRDefault="004B3AC2" w:rsidP="000F2FB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ATTITUDES</w:t>
            </w:r>
          </w:p>
          <w:p w:rsidR="004B3AC2" w:rsidRPr="00B7351F" w:rsidRDefault="004B3AC2" w:rsidP="004B3AC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Student understands the need of constant updating the knowledge and the possibility of its practical </w:t>
            </w:r>
            <w:r w:rsidRPr="00B735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applications;</w:t>
            </w:r>
          </w:p>
          <w:p w:rsidR="004B3AC2" w:rsidRPr="00B7351F" w:rsidRDefault="004B3AC2" w:rsidP="004B3AC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35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Student sees social and ethical issues arising from the implementation of methods for plant tissue culture.</w:t>
            </w:r>
          </w:p>
        </w:tc>
      </w:tr>
      <w:tr w:rsidR="004B3AC2" w:rsidRPr="00B7351F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B7351F" w:rsidRDefault="004B3AC2" w:rsidP="000F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C0A" w:rsidRDefault="00276C0A">
      <w:bookmarkStart w:id="0" w:name="_GoBack"/>
      <w:bookmarkEnd w:id="0"/>
    </w:p>
    <w:sectPr w:rsidR="0027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93"/>
    <w:multiLevelType w:val="hybridMultilevel"/>
    <w:tmpl w:val="63FE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2C84"/>
    <w:multiLevelType w:val="hybridMultilevel"/>
    <w:tmpl w:val="EFA0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0D8"/>
    <w:multiLevelType w:val="hybridMultilevel"/>
    <w:tmpl w:val="CD0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2"/>
    <w:rsid w:val="00276C0A"/>
    <w:rsid w:val="004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2016-04-20T12:33:00Z</dcterms:created>
  <dcterms:modified xsi:type="dcterms:W3CDTF">2016-04-20T12:33:00Z</dcterms:modified>
</cp:coreProperties>
</file>