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Module name</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b/>
                <w:szCs w:val="20"/>
                <w:lang w:val="en-GB"/>
              </w:rPr>
            </w:pPr>
            <w:r w:rsidRPr="00584018">
              <w:rPr>
                <w:rFonts w:ascii="Arial" w:hAnsi="Arial" w:cs="Arial"/>
                <w:b/>
                <w:szCs w:val="20"/>
                <w:lang w:val="en-GB"/>
              </w:rPr>
              <w:t>Biochemistry of Secondary Metabolites</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Module code</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b/>
                <w:sz w:val="20"/>
                <w:szCs w:val="20"/>
                <w:lang w:val="en-GB"/>
              </w:rPr>
            </w:pPr>
            <w:r w:rsidRPr="00584018">
              <w:rPr>
                <w:rFonts w:ascii="Arial" w:hAnsi="Arial" w:cs="Arial"/>
                <w:sz w:val="20"/>
                <w:szCs w:val="20"/>
              </w:rPr>
              <w:t>B-BC.216</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ISCED code</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0511: Biology</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Study cycle</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proofErr w:type="spellStart"/>
            <w:r w:rsidRPr="00584018">
              <w:rPr>
                <w:rFonts w:ascii="Arial" w:hAnsi="Arial" w:cs="Arial"/>
                <w:sz w:val="20"/>
                <w:szCs w:val="20"/>
                <w:lang w:val="en-GB"/>
              </w:rPr>
              <w:t>II</w:t>
            </w:r>
            <w:r w:rsidRPr="00584018">
              <w:rPr>
                <w:rFonts w:ascii="Arial" w:hAnsi="Arial" w:cs="Arial"/>
                <w:sz w:val="20"/>
                <w:szCs w:val="20"/>
                <w:vertAlign w:val="superscript"/>
                <w:lang w:val="en-GB"/>
              </w:rPr>
              <w:t>o</w:t>
            </w:r>
            <w:proofErr w:type="spellEnd"/>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Semester</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summer</w:t>
            </w:r>
          </w:p>
        </w:tc>
      </w:tr>
      <w:tr w:rsidR="00894E48" w:rsidRPr="005066B2"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 xml:space="preserve">Responsible for this module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066B2" w:rsidRDefault="00894E48" w:rsidP="000F2FB0">
            <w:pPr>
              <w:spacing w:after="0" w:line="240" w:lineRule="auto"/>
              <w:rPr>
                <w:rFonts w:ascii="Arial" w:hAnsi="Arial" w:cs="Arial"/>
                <w:sz w:val="20"/>
                <w:szCs w:val="20"/>
              </w:rPr>
            </w:pPr>
            <w:r w:rsidRPr="005066B2">
              <w:rPr>
                <w:rFonts w:ascii="Arial" w:hAnsi="Arial" w:cs="Arial"/>
                <w:sz w:val="20"/>
                <w:szCs w:val="20"/>
              </w:rPr>
              <w:t>dr hab. Anna Jarosz-</w:t>
            </w:r>
            <w:proofErr w:type="spellStart"/>
            <w:r w:rsidRPr="005066B2">
              <w:rPr>
                <w:rFonts w:ascii="Arial" w:hAnsi="Arial" w:cs="Arial"/>
                <w:sz w:val="20"/>
                <w:szCs w:val="20"/>
              </w:rPr>
              <w:t>Wilkołazka</w:t>
            </w:r>
            <w:proofErr w:type="spellEnd"/>
            <w:r w:rsidRPr="005066B2">
              <w:rPr>
                <w:rFonts w:ascii="Arial" w:hAnsi="Arial" w:cs="Arial"/>
                <w:sz w:val="20"/>
                <w:szCs w:val="20"/>
              </w:rPr>
              <w:t>, prof. UMCS</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Language of instruction</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English</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p>
        </w:tc>
      </w:tr>
      <w:tr w:rsidR="00894E48" w:rsidRPr="00584018" w:rsidTr="000F2FB0">
        <w:trPr>
          <w:trHeight w:val="33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Prerequisites</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Completed course of biochemistry</w:t>
            </w:r>
          </w:p>
        </w:tc>
      </w:tr>
      <w:tr w:rsidR="00894E48" w:rsidRPr="00584018" w:rsidTr="000F2FB0">
        <w:trPr>
          <w:trHeight w:val="33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eastAsia="Times New Roman" w:hAnsi="Arial" w:cs="Arial"/>
                <w:sz w:val="20"/>
                <w:szCs w:val="20"/>
                <w:lang w:val="en-GB"/>
              </w:rPr>
            </w:pPr>
            <w:r w:rsidRPr="00584018">
              <w:rPr>
                <w:rFonts w:ascii="Arial" w:eastAsia="Times New Roman" w:hAnsi="Arial" w:cs="Arial"/>
                <w:sz w:val="20"/>
                <w:szCs w:val="20"/>
                <w:lang w:val="en-GB"/>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5</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ECTS points hour equivalents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eastAsia="Times New Roman" w:hAnsi="Arial" w:cs="Arial"/>
                <w:sz w:val="20"/>
                <w:szCs w:val="20"/>
                <w:lang w:val="en-GB"/>
              </w:rPr>
            </w:pPr>
            <w:r w:rsidRPr="00584018">
              <w:rPr>
                <w:rFonts w:ascii="Arial" w:eastAsia="Times New Roman" w:hAnsi="Arial" w:cs="Arial"/>
                <w:bCs/>
                <w:sz w:val="20"/>
                <w:szCs w:val="20"/>
                <w:lang w:val="en-GB"/>
              </w:rPr>
              <w:t>Contact hours (work with an academic teacher)</w:t>
            </w:r>
            <w:r w:rsidRPr="00584018">
              <w:rPr>
                <w:rFonts w:ascii="Arial" w:eastAsia="Times New Roman" w:hAnsi="Arial" w:cs="Arial"/>
                <w:sz w:val="20"/>
                <w:szCs w:val="20"/>
                <w:lang w:val="en-GB"/>
              </w:rPr>
              <w:t xml:space="preserve"> – 30 (lectures) + 30 (laboratory practices)</w:t>
            </w:r>
          </w:p>
          <w:p w:rsidR="00894E48" w:rsidRPr="00584018" w:rsidRDefault="00894E48" w:rsidP="000F2FB0">
            <w:pPr>
              <w:spacing w:after="0" w:line="240" w:lineRule="auto"/>
              <w:rPr>
                <w:rFonts w:ascii="Arial" w:eastAsia="Times New Roman" w:hAnsi="Arial" w:cs="Arial"/>
                <w:b/>
                <w:bCs/>
                <w:sz w:val="20"/>
                <w:szCs w:val="20"/>
                <w:lang w:val="en-GB"/>
              </w:rPr>
            </w:pPr>
            <w:r w:rsidRPr="00584018">
              <w:rPr>
                <w:rFonts w:ascii="Arial" w:eastAsia="Times New Roman" w:hAnsi="Arial" w:cs="Arial"/>
                <w:bCs/>
                <w:sz w:val="20"/>
                <w:szCs w:val="20"/>
                <w:lang w:val="en-GB"/>
              </w:rPr>
              <w:t>Total number of hours with an academic teacher</w:t>
            </w:r>
            <w:r w:rsidRPr="00584018">
              <w:rPr>
                <w:rFonts w:ascii="Arial" w:eastAsia="Times New Roman" w:hAnsi="Arial" w:cs="Arial"/>
                <w:b/>
                <w:bCs/>
                <w:sz w:val="20"/>
                <w:szCs w:val="20"/>
                <w:lang w:val="en-GB"/>
              </w:rPr>
              <w:t xml:space="preserve"> </w:t>
            </w:r>
            <w:r w:rsidRPr="00584018">
              <w:rPr>
                <w:rFonts w:ascii="Arial" w:eastAsia="Times New Roman" w:hAnsi="Arial" w:cs="Arial"/>
                <w:bCs/>
                <w:sz w:val="20"/>
                <w:szCs w:val="20"/>
                <w:lang w:val="en-GB"/>
              </w:rPr>
              <w:t>- 75</w:t>
            </w:r>
          </w:p>
          <w:p w:rsidR="00894E48" w:rsidRPr="00584018" w:rsidRDefault="00894E48" w:rsidP="000F2FB0">
            <w:pPr>
              <w:spacing w:after="0" w:line="240" w:lineRule="auto"/>
              <w:rPr>
                <w:rFonts w:ascii="Arial" w:eastAsia="Times New Roman" w:hAnsi="Arial" w:cs="Arial"/>
                <w:b/>
                <w:bCs/>
                <w:sz w:val="20"/>
                <w:szCs w:val="20"/>
                <w:lang w:val="en-GB"/>
              </w:rPr>
            </w:pPr>
            <w:r w:rsidRPr="00584018">
              <w:rPr>
                <w:rFonts w:ascii="Arial" w:eastAsia="Times New Roman" w:hAnsi="Arial" w:cs="Arial"/>
                <w:bCs/>
                <w:sz w:val="20"/>
                <w:szCs w:val="20"/>
                <w:lang w:val="en-GB"/>
              </w:rPr>
              <w:t>Number of ECTS points with an academic teacher</w:t>
            </w:r>
            <w:r w:rsidRPr="00584018">
              <w:rPr>
                <w:rFonts w:ascii="Arial" w:eastAsia="Times New Roman" w:hAnsi="Arial" w:cs="Arial"/>
                <w:sz w:val="20"/>
                <w:szCs w:val="20"/>
                <w:lang w:val="en-GB"/>
              </w:rPr>
              <w:t xml:space="preserve"> – 2.5</w:t>
            </w:r>
            <w:r w:rsidRPr="00584018">
              <w:rPr>
                <w:rFonts w:ascii="Arial" w:eastAsia="Times New Roman" w:hAnsi="Arial" w:cs="Arial"/>
                <w:sz w:val="20"/>
                <w:szCs w:val="20"/>
                <w:lang w:val="en-GB"/>
              </w:rPr>
              <w:br/>
              <w:t xml:space="preserve"> </w:t>
            </w:r>
            <w:r w:rsidRPr="00584018">
              <w:rPr>
                <w:rFonts w:ascii="Arial" w:eastAsia="Times New Roman" w:hAnsi="Arial" w:cs="Arial"/>
                <w:bCs/>
                <w:sz w:val="20"/>
                <w:szCs w:val="20"/>
                <w:lang w:val="en-GB"/>
              </w:rPr>
              <w:t>Non-contact hours (students' own work) -</w:t>
            </w:r>
            <w:r w:rsidRPr="00584018">
              <w:rPr>
                <w:rFonts w:ascii="Arial" w:eastAsia="Times New Roman" w:hAnsi="Arial" w:cs="Arial"/>
                <w:b/>
                <w:bCs/>
                <w:sz w:val="20"/>
                <w:szCs w:val="20"/>
                <w:lang w:val="en-GB"/>
              </w:rPr>
              <w:t xml:space="preserve"> </w:t>
            </w:r>
            <w:r w:rsidRPr="00584018">
              <w:rPr>
                <w:rFonts w:ascii="Arial" w:eastAsia="Times New Roman" w:hAnsi="Arial" w:cs="Arial"/>
                <w:bCs/>
                <w:sz w:val="20"/>
                <w:szCs w:val="20"/>
                <w:lang w:val="en-GB"/>
              </w:rPr>
              <w:t>75</w:t>
            </w:r>
            <w:r w:rsidRPr="00584018">
              <w:rPr>
                <w:rFonts w:ascii="Arial" w:eastAsia="Times New Roman" w:hAnsi="Arial" w:cs="Arial"/>
                <w:sz w:val="20"/>
                <w:szCs w:val="20"/>
                <w:lang w:val="en-GB"/>
              </w:rPr>
              <w:br/>
            </w:r>
            <w:r w:rsidRPr="00584018">
              <w:rPr>
                <w:rFonts w:ascii="Arial" w:eastAsia="Times New Roman" w:hAnsi="Arial" w:cs="Arial"/>
                <w:bCs/>
                <w:sz w:val="20"/>
                <w:szCs w:val="20"/>
                <w:lang w:val="en-GB"/>
              </w:rPr>
              <w:t>Total number of non-contact hours - 75</w:t>
            </w:r>
          </w:p>
          <w:p w:rsidR="00894E48" w:rsidRPr="00584018" w:rsidRDefault="00894E48" w:rsidP="000F2FB0">
            <w:pPr>
              <w:spacing w:after="0" w:line="240" w:lineRule="auto"/>
              <w:rPr>
                <w:rFonts w:ascii="Arial" w:eastAsia="Times New Roman" w:hAnsi="Arial" w:cs="Arial"/>
                <w:b/>
                <w:bCs/>
                <w:sz w:val="20"/>
                <w:szCs w:val="20"/>
                <w:lang w:val="en-GB"/>
              </w:rPr>
            </w:pPr>
            <w:r w:rsidRPr="00584018">
              <w:rPr>
                <w:rFonts w:ascii="Arial" w:eastAsia="Times New Roman" w:hAnsi="Arial" w:cs="Arial"/>
                <w:bCs/>
                <w:sz w:val="20"/>
                <w:szCs w:val="20"/>
                <w:lang w:val="en-GB"/>
              </w:rPr>
              <w:t>Number of ECTS points for non-contact hours – 2.5</w:t>
            </w:r>
          </w:p>
          <w:p w:rsidR="00894E48" w:rsidRPr="00584018" w:rsidRDefault="00894E48" w:rsidP="000F2FB0">
            <w:pPr>
              <w:spacing w:after="0" w:line="240" w:lineRule="auto"/>
              <w:rPr>
                <w:rFonts w:ascii="Arial" w:eastAsia="Times New Roman" w:hAnsi="Arial" w:cs="Arial"/>
                <w:b/>
                <w:bCs/>
                <w:sz w:val="20"/>
                <w:szCs w:val="20"/>
                <w:lang w:val="en-GB"/>
              </w:rPr>
            </w:pPr>
          </w:p>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b/>
                <w:bCs/>
                <w:sz w:val="20"/>
                <w:szCs w:val="20"/>
                <w:lang w:val="en-GB"/>
              </w:rPr>
              <w:t>Total number of ECTS points for the module - 5</w:t>
            </w:r>
          </w:p>
        </w:tc>
      </w:tr>
      <w:tr w:rsidR="00894E48" w:rsidRPr="00584018" w:rsidTr="000F2FB0">
        <w:trPr>
          <w:trHeight w:val="699"/>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tests, written assessment, continuous assessment during laboratories</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Description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pStyle w:val="Default"/>
              <w:rPr>
                <w:rFonts w:ascii="Arial" w:hAnsi="Arial" w:cs="Arial"/>
                <w:sz w:val="20"/>
                <w:szCs w:val="20"/>
                <w:lang w:val="en-GB"/>
              </w:rPr>
            </w:pPr>
            <w:r w:rsidRPr="00584018">
              <w:rPr>
                <w:rFonts w:ascii="Arial" w:hAnsi="Arial" w:cs="Arial"/>
                <w:sz w:val="20"/>
                <w:szCs w:val="20"/>
                <w:lang w:val="en-GB"/>
              </w:rPr>
              <w:t xml:space="preserve">The course covers the following issues: </w:t>
            </w:r>
          </w:p>
          <w:p w:rsidR="00894E48" w:rsidRPr="00584018" w:rsidRDefault="00894E48" w:rsidP="00894E48">
            <w:pPr>
              <w:pStyle w:val="Default"/>
              <w:numPr>
                <w:ilvl w:val="0"/>
                <w:numId w:val="1"/>
              </w:numPr>
              <w:ind w:left="317" w:hanging="317"/>
              <w:rPr>
                <w:rFonts w:ascii="Arial" w:hAnsi="Arial" w:cs="Arial"/>
                <w:sz w:val="20"/>
                <w:szCs w:val="20"/>
                <w:lang w:val="en-GB"/>
              </w:rPr>
            </w:pPr>
            <w:r w:rsidRPr="00584018">
              <w:rPr>
                <w:rFonts w:ascii="Arial" w:hAnsi="Arial" w:cs="Arial"/>
                <w:sz w:val="20"/>
                <w:szCs w:val="20"/>
                <w:lang w:val="en-GB"/>
              </w:rPr>
              <w:t>the position of secondary metabolism in biochemical processes in living organisms and its regulation at molecular and environmental level,</w:t>
            </w:r>
          </w:p>
          <w:p w:rsidR="00894E48" w:rsidRPr="00584018" w:rsidRDefault="00894E48" w:rsidP="00894E48">
            <w:pPr>
              <w:pStyle w:val="Default"/>
              <w:numPr>
                <w:ilvl w:val="0"/>
                <w:numId w:val="1"/>
              </w:numPr>
              <w:ind w:left="317" w:hanging="317"/>
              <w:rPr>
                <w:rFonts w:ascii="Arial" w:hAnsi="Arial" w:cs="Arial"/>
                <w:sz w:val="20"/>
                <w:szCs w:val="20"/>
                <w:lang w:val="en-GB"/>
              </w:rPr>
            </w:pPr>
            <w:r w:rsidRPr="00584018">
              <w:rPr>
                <w:rFonts w:ascii="Arial" w:hAnsi="Arial" w:cs="Arial"/>
                <w:sz w:val="20"/>
                <w:szCs w:val="20"/>
                <w:lang w:val="en-GB"/>
              </w:rPr>
              <w:t>the variety of secondary metabolites in microorganisms and plants, from the perspective of biochemistry and biosynthesis with references to the relationship between biological function of secondary metabolites in defence against different stress,</w:t>
            </w:r>
          </w:p>
          <w:p w:rsidR="00894E48" w:rsidRPr="00584018" w:rsidRDefault="00894E48" w:rsidP="00894E48">
            <w:pPr>
              <w:pStyle w:val="Default"/>
              <w:numPr>
                <w:ilvl w:val="0"/>
                <w:numId w:val="1"/>
              </w:numPr>
              <w:ind w:left="317" w:hanging="317"/>
              <w:rPr>
                <w:rFonts w:ascii="Arial" w:hAnsi="Arial" w:cs="Arial"/>
                <w:sz w:val="20"/>
                <w:szCs w:val="20"/>
                <w:lang w:val="en-GB"/>
              </w:rPr>
            </w:pPr>
            <w:r w:rsidRPr="00584018">
              <w:rPr>
                <w:rFonts w:ascii="Arial" w:hAnsi="Arial" w:cs="Arial"/>
                <w:sz w:val="20"/>
                <w:szCs w:val="20"/>
                <w:lang w:val="en-GB"/>
              </w:rPr>
              <w:t xml:space="preserve">the characteristic of basic secondary metabolites (bacterial, fungal and from plants), their biosynthetic pathways and practical applications for example such as pharmacological compounds. </w:t>
            </w:r>
          </w:p>
          <w:p w:rsidR="00894E48" w:rsidRPr="00584018" w:rsidRDefault="00894E48" w:rsidP="000F2FB0">
            <w:pPr>
              <w:spacing w:after="0" w:line="240" w:lineRule="auto"/>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pStyle w:val="Default"/>
              <w:rPr>
                <w:rFonts w:ascii="Arial" w:hAnsi="Arial" w:cs="Arial"/>
                <w:sz w:val="20"/>
                <w:szCs w:val="20"/>
                <w:lang w:val="en-GB"/>
              </w:rPr>
            </w:pPr>
            <w:proofErr w:type="spellStart"/>
            <w:r w:rsidRPr="00584018">
              <w:rPr>
                <w:rFonts w:ascii="Arial" w:hAnsi="Arial" w:cs="Arial"/>
                <w:sz w:val="20"/>
                <w:szCs w:val="20"/>
                <w:lang w:val="en-GB"/>
              </w:rPr>
              <w:t>Dewick</w:t>
            </w:r>
            <w:proofErr w:type="spellEnd"/>
            <w:r w:rsidRPr="00584018">
              <w:rPr>
                <w:rFonts w:ascii="Arial" w:hAnsi="Arial" w:cs="Arial"/>
                <w:sz w:val="20"/>
                <w:szCs w:val="20"/>
                <w:lang w:val="en-GB"/>
              </w:rPr>
              <w:t xml:space="preserve"> PM “Medicinal natural products. A biosynthetic approach.” John Wiley &amp; Sons, LTD, 2002 </w:t>
            </w:r>
          </w:p>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Wink M (</w:t>
            </w:r>
            <w:proofErr w:type="spellStart"/>
            <w:r w:rsidRPr="00584018">
              <w:rPr>
                <w:rFonts w:ascii="Arial" w:hAnsi="Arial" w:cs="Arial"/>
                <w:sz w:val="20"/>
                <w:szCs w:val="20"/>
                <w:lang w:val="en-GB"/>
              </w:rPr>
              <w:t>ed</w:t>
            </w:r>
            <w:proofErr w:type="spellEnd"/>
            <w:r w:rsidRPr="00584018">
              <w:rPr>
                <w:rFonts w:ascii="Arial" w:hAnsi="Arial" w:cs="Arial"/>
                <w:sz w:val="20"/>
                <w:szCs w:val="20"/>
                <w:lang w:val="en-GB"/>
              </w:rPr>
              <w:t>) “Functions and biotechnology of plant secondary metabolites” Wiley-Blackwell, 2010</w:t>
            </w:r>
          </w:p>
          <w:p w:rsidR="00894E48" w:rsidRPr="00584018" w:rsidRDefault="00894E48" w:rsidP="000F2FB0">
            <w:pPr>
              <w:spacing w:after="0" w:line="240" w:lineRule="auto"/>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eastAsia="Times New Roman" w:hAnsi="Arial" w:cs="Arial"/>
                <w:b/>
                <w:bCs/>
                <w:sz w:val="20"/>
                <w:szCs w:val="20"/>
                <w:lang w:val="en-GB"/>
              </w:rPr>
            </w:pPr>
            <w:r w:rsidRPr="00584018">
              <w:rPr>
                <w:rFonts w:ascii="Arial" w:eastAsia="Times New Roman" w:hAnsi="Arial" w:cs="Arial"/>
                <w:b/>
                <w:bCs/>
                <w:sz w:val="20"/>
                <w:szCs w:val="20"/>
                <w:lang w:val="en-GB"/>
              </w:rPr>
              <w:t>KNOWLEDGE</w:t>
            </w:r>
          </w:p>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bCs/>
                <w:sz w:val="20"/>
                <w:szCs w:val="20"/>
                <w:lang w:val="en-GB"/>
              </w:rPr>
              <w:t>s</w:t>
            </w:r>
            <w:r w:rsidRPr="00584018">
              <w:rPr>
                <w:rFonts w:ascii="Arial" w:hAnsi="Arial" w:cs="Arial"/>
                <w:sz w:val="20"/>
                <w:szCs w:val="20"/>
                <w:lang w:val="en-GB"/>
              </w:rPr>
              <w:t xml:space="preserve">tudent knows the main groups of secondary metabolites produced by microorganisms and plants; can indicate a correlation between structure of secondary metabolites such as alkaloids, </w:t>
            </w:r>
            <w:proofErr w:type="spellStart"/>
            <w:r w:rsidRPr="00584018">
              <w:rPr>
                <w:rFonts w:ascii="Arial" w:hAnsi="Arial" w:cs="Arial"/>
                <w:sz w:val="20"/>
                <w:szCs w:val="20"/>
                <w:lang w:val="en-GB"/>
              </w:rPr>
              <w:t>terpenoids</w:t>
            </w:r>
            <w:proofErr w:type="spellEnd"/>
            <w:r w:rsidRPr="00584018">
              <w:rPr>
                <w:rFonts w:ascii="Arial" w:hAnsi="Arial" w:cs="Arial"/>
                <w:sz w:val="20"/>
                <w:szCs w:val="20"/>
                <w:lang w:val="en-GB"/>
              </w:rPr>
              <w:t xml:space="preserve"> and antibiotics and their biological activities; is aware of chemical and biological diversities of natural environment.</w:t>
            </w:r>
          </w:p>
          <w:p w:rsidR="00894E48" w:rsidRPr="00584018" w:rsidRDefault="00894E48" w:rsidP="000F2FB0">
            <w:pPr>
              <w:spacing w:after="0" w:line="240" w:lineRule="auto"/>
              <w:ind w:left="373" w:hanging="373"/>
              <w:rPr>
                <w:rFonts w:ascii="Arial" w:hAnsi="Arial" w:cs="Arial"/>
                <w:sz w:val="20"/>
                <w:szCs w:val="20"/>
                <w:lang w:val="en-GB"/>
              </w:rPr>
            </w:pPr>
            <w:r w:rsidRPr="00584018">
              <w:rPr>
                <w:rFonts w:ascii="Arial" w:eastAsia="Times New Roman" w:hAnsi="Arial" w:cs="Arial"/>
                <w:b/>
                <w:bCs/>
                <w:sz w:val="20"/>
                <w:szCs w:val="20"/>
                <w:lang w:val="en-GB"/>
              </w:rPr>
              <w:t>SKILLS</w:t>
            </w:r>
            <w:r w:rsidRPr="00584018">
              <w:rPr>
                <w:rFonts w:ascii="Arial" w:hAnsi="Arial" w:cs="Arial"/>
                <w:sz w:val="20"/>
                <w:szCs w:val="20"/>
                <w:lang w:val="en-GB"/>
              </w:rPr>
              <w:t xml:space="preserve"> </w:t>
            </w:r>
          </w:p>
          <w:p w:rsidR="00894E48" w:rsidRPr="00584018" w:rsidRDefault="00894E48" w:rsidP="000F2FB0">
            <w:pPr>
              <w:spacing w:after="0" w:line="240" w:lineRule="auto"/>
              <w:ind w:left="373" w:hanging="373"/>
              <w:rPr>
                <w:rFonts w:ascii="Arial" w:eastAsia="Times New Roman" w:hAnsi="Arial" w:cs="Arial"/>
                <w:bCs/>
                <w:sz w:val="20"/>
                <w:szCs w:val="20"/>
                <w:lang w:val="en-GB"/>
              </w:rPr>
            </w:pPr>
            <w:r w:rsidRPr="00584018">
              <w:rPr>
                <w:rFonts w:ascii="Arial" w:eastAsia="Times New Roman" w:hAnsi="Arial" w:cs="Arial"/>
                <w:bCs/>
                <w:sz w:val="20"/>
                <w:szCs w:val="20"/>
                <w:lang w:val="en-GB"/>
              </w:rPr>
              <w:t>The student should be able to:</w:t>
            </w:r>
          </w:p>
          <w:p w:rsidR="00894E48" w:rsidRPr="00584018" w:rsidRDefault="00894E48" w:rsidP="00894E48">
            <w:pPr>
              <w:numPr>
                <w:ilvl w:val="0"/>
                <w:numId w:val="2"/>
              </w:numPr>
              <w:spacing w:after="0" w:line="240" w:lineRule="auto"/>
              <w:rPr>
                <w:rFonts w:ascii="Arial" w:eastAsia="Times New Roman" w:hAnsi="Arial" w:cs="Arial"/>
                <w:bCs/>
                <w:sz w:val="20"/>
                <w:szCs w:val="20"/>
                <w:lang w:val="en-GB"/>
              </w:rPr>
            </w:pPr>
            <w:r w:rsidRPr="00584018">
              <w:rPr>
                <w:rFonts w:ascii="Arial" w:eastAsia="Times New Roman" w:hAnsi="Arial" w:cs="Arial"/>
                <w:bCs/>
                <w:sz w:val="20"/>
                <w:szCs w:val="20"/>
                <w:lang w:val="en-GB"/>
              </w:rPr>
              <w:t>recognise and characterise different groups of secondary metabolites</w:t>
            </w:r>
          </w:p>
          <w:p w:rsidR="00894E48" w:rsidRPr="00584018" w:rsidRDefault="00894E48" w:rsidP="00894E48">
            <w:pPr>
              <w:numPr>
                <w:ilvl w:val="0"/>
                <w:numId w:val="2"/>
              </w:numPr>
              <w:spacing w:after="0" w:line="240" w:lineRule="auto"/>
              <w:rPr>
                <w:rFonts w:ascii="Arial" w:eastAsia="Times New Roman" w:hAnsi="Arial" w:cs="Arial"/>
                <w:bCs/>
                <w:sz w:val="20"/>
                <w:szCs w:val="20"/>
                <w:lang w:val="en-GB"/>
              </w:rPr>
            </w:pPr>
            <w:r w:rsidRPr="00584018">
              <w:rPr>
                <w:rFonts w:ascii="Arial" w:eastAsia="Times New Roman" w:hAnsi="Arial" w:cs="Arial"/>
                <w:bCs/>
                <w:sz w:val="20"/>
                <w:szCs w:val="20"/>
                <w:lang w:val="en-GB"/>
              </w:rPr>
              <w:t>combine knowledge about the structure of the basic classes of secondary metabolites and their biological activities</w:t>
            </w:r>
          </w:p>
          <w:p w:rsidR="00894E48" w:rsidRPr="00584018" w:rsidRDefault="00894E48" w:rsidP="00894E48">
            <w:pPr>
              <w:numPr>
                <w:ilvl w:val="0"/>
                <w:numId w:val="2"/>
              </w:numPr>
              <w:spacing w:after="0" w:line="240" w:lineRule="auto"/>
              <w:rPr>
                <w:rFonts w:ascii="Arial" w:eastAsia="Times New Roman" w:hAnsi="Arial" w:cs="Arial"/>
                <w:sz w:val="20"/>
                <w:szCs w:val="20"/>
                <w:lang w:val="en-GB"/>
              </w:rPr>
            </w:pPr>
            <w:r w:rsidRPr="00584018">
              <w:rPr>
                <w:rFonts w:ascii="Arial" w:eastAsia="Times New Roman" w:hAnsi="Arial" w:cs="Arial"/>
                <w:bCs/>
                <w:sz w:val="20"/>
                <w:szCs w:val="20"/>
                <w:lang w:val="en-GB"/>
              </w:rPr>
              <w:t>indicate the practical implications resulting from the knowledge of the biodiversity of secondary metabolites.</w:t>
            </w:r>
          </w:p>
          <w:p w:rsidR="00894E48" w:rsidRPr="00584018" w:rsidRDefault="00894E48" w:rsidP="000F2FB0">
            <w:pPr>
              <w:spacing w:after="0" w:line="240" w:lineRule="auto"/>
              <w:ind w:left="373" w:hanging="373"/>
              <w:rPr>
                <w:rFonts w:ascii="Arial" w:hAnsi="Arial" w:cs="Arial"/>
                <w:sz w:val="20"/>
                <w:szCs w:val="20"/>
                <w:lang w:val="en-US"/>
              </w:rPr>
            </w:pPr>
            <w:r w:rsidRPr="00584018">
              <w:rPr>
                <w:rFonts w:ascii="Arial" w:eastAsia="Times New Roman" w:hAnsi="Arial" w:cs="Arial"/>
                <w:b/>
                <w:bCs/>
                <w:sz w:val="20"/>
                <w:szCs w:val="20"/>
                <w:lang w:val="en-GB"/>
              </w:rPr>
              <w:t>ATTITUDES</w:t>
            </w:r>
            <w:r w:rsidRPr="00584018">
              <w:rPr>
                <w:rFonts w:ascii="Arial" w:hAnsi="Arial" w:cs="Arial"/>
                <w:sz w:val="20"/>
                <w:szCs w:val="20"/>
                <w:lang w:val="en-US"/>
              </w:rPr>
              <w:t xml:space="preserve"> </w:t>
            </w:r>
          </w:p>
          <w:p w:rsidR="00894E48" w:rsidRPr="00584018" w:rsidRDefault="00894E48" w:rsidP="00894E48">
            <w:pPr>
              <w:numPr>
                <w:ilvl w:val="0"/>
                <w:numId w:val="3"/>
              </w:numPr>
              <w:spacing w:after="0" w:line="240" w:lineRule="auto"/>
              <w:ind w:left="317" w:hanging="284"/>
              <w:rPr>
                <w:rFonts w:ascii="Arial" w:eastAsia="Times New Roman" w:hAnsi="Arial" w:cs="Arial"/>
                <w:bCs/>
                <w:sz w:val="20"/>
                <w:szCs w:val="20"/>
                <w:lang w:val="en-GB"/>
              </w:rPr>
            </w:pPr>
            <w:r w:rsidRPr="00584018">
              <w:rPr>
                <w:rFonts w:ascii="Arial" w:eastAsia="Times New Roman" w:hAnsi="Arial" w:cs="Arial"/>
                <w:bCs/>
                <w:sz w:val="20"/>
                <w:szCs w:val="20"/>
                <w:lang w:val="en-GB"/>
              </w:rPr>
              <w:lastRenderedPageBreak/>
              <w:t>the openness to the world's diversity of living organisms and care for the environment</w:t>
            </w:r>
          </w:p>
          <w:p w:rsidR="00894E48" w:rsidRPr="00584018" w:rsidRDefault="00894E48" w:rsidP="00894E48">
            <w:pPr>
              <w:numPr>
                <w:ilvl w:val="0"/>
                <w:numId w:val="3"/>
              </w:numPr>
              <w:spacing w:after="0" w:line="240" w:lineRule="auto"/>
              <w:ind w:left="317" w:hanging="284"/>
              <w:rPr>
                <w:rFonts w:ascii="Arial" w:eastAsia="Times New Roman" w:hAnsi="Arial" w:cs="Arial"/>
                <w:bCs/>
                <w:sz w:val="20"/>
                <w:szCs w:val="20"/>
                <w:lang w:val="en-GB"/>
              </w:rPr>
            </w:pPr>
            <w:r w:rsidRPr="00584018">
              <w:rPr>
                <w:rFonts w:ascii="Arial" w:eastAsia="Times New Roman" w:hAnsi="Arial" w:cs="Arial"/>
                <w:bCs/>
                <w:sz w:val="20"/>
                <w:szCs w:val="20"/>
                <w:lang w:val="en-GB"/>
              </w:rPr>
              <w:t>the willingness to broaden one’s knowledge</w:t>
            </w:r>
          </w:p>
          <w:p w:rsidR="00894E48" w:rsidRPr="00584018" w:rsidRDefault="00894E48" w:rsidP="00894E48">
            <w:pPr>
              <w:numPr>
                <w:ilvl w:val="0"/>
                <w:numId w:val="3"/>
              </w:numPr>
              <w:spacing w:after="0" w:line="240" w:lineRule="auto"/>
              <w:ind w:left="317" w:hanging="284"/>
              <w:rPr>
                <w:rFonts w:ascii="Arial" w:eastAsia="Times New Roman" w:hAnsi="Arial" w:cs="Arial"/>
                <w:bCs/>
                <w:sz w:val="20"/>
                <w:szCs w:val="20"/>
                <w:lang w:val="en-GB"/>
              </w:rPr>
            </w:pPr>
            <w:r w:rsidRPr="00584018">
              <w:rPr>
                <w:rFonts w:ascii="Arial" w:eastAsia="Times New Roman" w:hAnsi="Arial" w:cs="Arial"/>
                <w:bCs/>
                <w:sz w:val="20"/>
                <w:szCs w:val="20"/>
                <w:lang w:val="en-GB"/>
              </w:rPr>
              <w:t>the willingness to update one’s practical and laboratory skills</w:t>
            </w:r>
          </w:p>
          <w:p w:rsidR="00894E48" w:rsidRPr="00584018" w:rsidRDefault="00894E48" w:rsidP="00894E48">
            <w:pPr>
              <w:numPr>
                <w:ilvl w:val="0"/>
                <w:numId w:val="3"/>
              </w:numPr>
              <w:spacing w:after="0" w:line="240" w:lineRule="auto"/>
              <w:ind w:left="317" w:hanging="284"/>
              <w:rPr>
                <w:rFonts w:ascii="Arial" w:eastAsia="Times New Roman" w:hAnsi="Arial" w:cs="Arial"/>
                <w:bCs/>
                <w:sz w:val="20"/>
                <w:szCs w:val="20"/>
                <w:lang w:val="en-GB"/>
              </w:rPr>
            </w:pPr>
            <w:r w:rsidRPr="00584018">
              <w:rPr>
                <w:rFonts w:ascii="Arial" w:eastAsia="Times New Roman" w:hAnsi="Arial" w:cs="Arial"/>
                <w:bCs/>
                <w:sz w:val="20"/>
                <w:szCs w:val="20"/>
                <w:lang w:val="en-GB"/>
              </w:rPr>
              <w:t>the awareness of the world community of living organisms and the environment</w:t>
            </w:r>
          </w:p>
          <w:p w:rsidR="00894E48" w:rsidRPr="00584018" w:rsidRDefault="00894E48" w:rsidP="000F2FB0">
            <w:pPr>
              <w:spacing w:after="0" w:line="240" w:lineRule="auto"/>
              <w:ind w:left="317"/>
              <w:rPr>
                <w:rFonts w:ascii="Arial" w:eastAsia="Times New Roman" w:hAnsi="Arial" w:cs="Arial"/>
                <w:bCs/>
                <w:sz w:val="20"/>
                <w:szCs w:val="20"/>
                <w:lang w:val="en-GB"/>
              </w:rPr>
            </w:pPr>
          </w:p>
        </w:tc>
      </w:tr>
      <w:tr w:rsidR="00894E48" w:rsidRPr="00584018" w:rsidTr="000F2FB0">
        <w:trPr>
          <w:trHeight w:val="1491"/>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lastRenderedPageBreak/>
              <w:t>Practice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 xml:space="preserve">The laboratory classes provide the practical study of the following groups of secondary metabolites: antibiotics, </w:t>
            </w:r>
            <w:proofErr w:type="spellStart"/>
            <w:r w:rsidRPr="00584018">
              <w:rPr>
                <w:rFonts w:ascii="Arial" w:hAnsi="Arial" w:cs="Arial"/>
                <w:sz w:val="20"/>
                <w:szCs w:val="20"/>
                <w:lang w:val="en-GB"/>
              </w:rPr>
              <w:t>terpenoids</w:t>
            </w:r>
            <w:proofErr w:type="spellEnd"/>
            <w:r w:rsidRPr="00584018">
              <w:rPr>
                <w:rFonts w:ascii="Arial" w:hAnsi="Arial" w:cs="Arial"/>
                <w:sz w:val="20"/>
                <w:szCs w:val="20"/>
                <w:lang w:val="en-GB"/>
              </w:rPr>
              <w:t xml:space="preserve">, </w:t>
            </w:r>
            <w:proofErr w:type="spellStart"/>
            <w:r w:rsidRPr="00584018">
              <w:rPr>
                <w:rFonts w:ascii="Arial" w:hAnsi="Arial" w:cs="Arial"/>
                <w:sz w:val="20"/>
                <w:szCs w:val="20"/>
                <w:lang w:val="en-GB"/>
              </w:rPr>
              <w:t>siderophores</w:t>
            </w:r>
            <w:proofErr w:type="spellEnd"/>
            <w:r w:rsidRPr="00584018">
              <w:rPr>
                <w:rFonts w:ascii="Arial" w:hAnsi="Arial" w:cs="Arial"/>
                <w:sz w:val="20"/>
                <w:szCs w:val="20"/>
                <w:lang w:val="en-GB"/>
              </w:rPr>
              <w:t>, alkaloids, and polyketides, such as their biological and chemical diversity, biological activities, isolation and purification processes.</w:t>
            </w:r>
          </w:p>
        </w:tc>
      </w:tr>
    </w:tbl>
    <w:p w:rsidR="00894E48" w:rsidRDefault="00894E48" w:rsidP="00894E48">
      <w:pPr>
        <w:spacing w:line="240" w:lineRule="auto"/>
        <w:rPr>
          <w:rFonts w:ascii="Arial" w:hAnsi="Arial" w:cs="Arial"/>
          <w:sz w:val="20"/>
          <w:szCs w:val="20"/>
          <w:lang w:val="en-GB"/>
        </w:rPr>
      </w:pPr>
    </w:p>
    <w:p w:rsidR="00894E48" w:rsidRDefault="00894E48" w:rsidP="00894E48">
      <w:pPr>
        <w:spacing w:line="240" w:lineRule="auto"/>
        <w:rPr>
          <w:rFonts w:ascii="Arial" w:hAnsi="Arial" w:cs="Arial"/>
          <w:b/>
          <w:lang w:val="en-GB"/>
        </w:rPr>
      </w:pPr>
      <w:r w:rsidRPr="00584018">
        <w:rPr>
          <w:rFonts w:ascii="Arial" w:hAnsi="Arial" w:cs="Arial"/>
          <w:b/>
          <w:lang w:val="en-GB"/>
        </w:rPr>
        <w:t>Information about classes in the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tests, written assessment, continuous assessment during laboratory classes</w:t>
            </w:r>
          </w:p>
        </w:tc>
      </w:tr>
      <w:tr w:rsidR="00894E48" w:rsidRPr="00584018" w:rsidTr="000F2FB0">
        <w:trPr>
          <w:trHeight w:val="372"/>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pStyle w:val="Default"/>
              <w:rPr>
                <w:rFonts w:ascii="Arial" w:hAnsi="Arial" w:cs="Arial"/>
                <w:sz w:val="20"/>
                <w:szCs w:val="20"/>
                <w:lang w:val="en-GB"/>
              </w:rPr>
            </w:pPr>
            <w:proofErr w:type="spellStart"/>
            <w:r w:rsidRPr="00584018">
              <w:rPr>
                <w:rFonts w:ascii="Arial" w:hAnsi="Arial" w:cs="Arial"/>
                <w:sz w:val="20"/>
                <w:szCs w:val="20"/>
                <w:lang w:val="en-GB"/>
              </w:rPr>
              <w:t>Dewick</w:t>
            </w:r>
            <w:proofErr w:type="spellEnd"/>
            <w:r w:rsidRPr="00584018">
              <w:rPr>
                <w:rFonts w:ascii="Arial" w:hAnsi="Arial" w:cs="Arial"/>
                <w:sz w:val="20"/>
                <w:szCs w:val="20"/>
                <w:lang w:val="en-GB"/>
              </w:rPr>
              <w:t xml:space="preserve"> PM “Medicinal natural products. A biosynthetic approach.” John Wiley &amp; Sons, LTD, 2002 </w:t>
            </w:r>
          </w:p>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Wink M (</w:t>
            </w:r>
            <w:proofErr w:type="spellStart"/>
            <w:r w:rsidRPr="00584018">
              <w:rPr>
                <w:rFonts w:ascii="Arial" w:hAnsi="Arial" w:cs="Arial"/>
                <w:sz w:val="20"/>
                <w:szCs w:val="20"/>
                <w:lang w:val="en-GB"/>
              </w:rPr>
              <w:t>ed</w:t>
            </w:r>
            <w:proofErr w:type="spellEnd"/>
            <w:r w:rsidRPr="00584018">
              <w:rPr>
                <w:rFonts w:ascii="Arial" w:hAnsi="Arial" w:cs="Arial"/>
                <w:sz w:val="20"/>
                <w:szCs w:val="20"/>
                <w:lang w:val="en-GB"/>
              </w:rPr>
              <w:t>) “Functions and biotechnology of plant secondary metabolites” Wiley-Blackwell, 2010</w:t>
            </w:r>
          </w:p>
          <w:p w:rsidR="00894E48" w:rsidRPr="00584018" w:rsidRDefault="00894E48" w:rsidP="000F2FB0">
            <w:pPr>
              <w:spacing w:after="0" w:line="240" w:lineRule="auto"/>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spacing w:after="0" w:line="240" w:lineRule="auto"/>
              <w:rPr>
                <w:rFonts w:ascii="Arial" w:eastAsia="Times New Roman" w:hAnsi="Arial" w:cs="Arial"/>
                <w:b/>
                <w:bCs/>
                <w:sz w:val="20"/>
                <w:szCs w:val="20"/>
                <w:lang w:val="en-GB"/>
              </w:rPr>
            </w:pPr>
            <w:r w:rsidRPr="00584018">
              <w:rPr>
                <w:rFonts w:ascii="Arial" w:eastAsia="Times New Roman" w:hAnsi="Arial" w:cs="Arial"/>
                <w:b/>
                <w:bCs/>
                <w:sz w:val="20"/>
                <w:szCs w:val="20"/>
                <w:lang w:val="en-GB"/>
              </w:rPr>
              <w:t>KNOWLEDGE</w:t>
            </w:r>
          </w:p>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bCs/>
                <w:sz w:val="20"/>
                <w:szCs w:val="20"/>
                <w:lang w:val="en-GB"/>
              </w:rPr>
              <w:t>s</w:t>
            </w:r>
            <w:r w:rsidRPr="00584018">
              <w:rPr>
                <w:rFonts w:ascii="Arial" w:hAnsi="Arial" w:cs="Arial"/>
                <w:sz w:val="20"/>
                <w:szCs w:val="20"/>
                <w:lang w:val="en-GB"/>
              </w:rPr>
              <w:t xml:space="preserve">tudent knows the main groups of secondary metabolites produced by microorganisms and plants; can indicate a correlation between structure of secondary metabolites such as alkaloids, </w:t>
            </w:r>
            <w:proofErr w:type="spellStart"/>
            <w:r w:rsidRPr="00584018">
              <w:rPr>
                <w:rFonts w:ascii="Arial" w:hAnsi="Arial" w:cs="Arial"/>
                <w:sz w:val="20"/>
                <w:szCs w:val="20"/>
                <w:lang w:val="en-GB"/>
              </w:rPr>
              <w:t>terpenoids</w:t>
            </w:r>
            <w:proofErr w:type="spellEnd"/>
            <w:r w:rsidRPr="00584018">
              <w:rPr>
                <w:rFonts w:ascii="Arial" w:hAnsi="Arial" w:cs="Arial"/>
                <w:sz w:val="20"/>
                <w:szCs w:val="20"/>
                <w:lang w:val="en-GB"/>
              </w:rPr>
              <w:t xml:space="preserve"> and antibiotics and their biological activities; is aware of chemical and biological diversities of natural environment.</w:t>
            </w:r>
          </w:p>
          <w:p w:rsidR="00894E48" w:rsidRPr="00584018" w:rsidRDefault="00894E48" w:rsidP="000F2FB0">
            <w:pPr>
              <w:spacing w:after="0" w:line="240" w:lineRule="auto"/>
              <w:ind w:left="373" w:hanging="373"/>
              <w:rPr>
                <w:rFonts w:ascii="Arial" w:hAnsi="Arial" w:cs="Arial"/>
                <w:sz w:val="20"/>
                <w:szCs w:val="20"/>
                <w:lang w:val="en-GB"/>
              </w:rPr>
            </w:pPr>
            <w:r w:rsidRPr="00584018">
              <w:rPr>
                <w:rFonts w:ascii="Arial" w:eastAsia="Times New Roman" w:hAnsi="Arial" w:cs="Arial"/>
                <w:b/>
                <w:bCs/>
                <w:sz w:val="20"/>
                <w:szCs w:val="20"/>
                <w:lang w:val="en-GB"/>
              </w:rPr>
              <w:t>SKILLS</w:t>
            </w:r>
            <w:r w:rsidRPr="00584018">
              <w:rPr>
                <w:rFonts w:ascii="Arial" w:hAnsi="Arial" w:cs="Arial"/>
                <w:sz w:val="20"/>
                <w:szCs w:val="20"/>
                <w:lang w:val="en-GB"/>
              </w:rPr>
              <w:t xml:space="preserve"> </w:t>
            </w:r>
          </w:p>
          <w:p w:rsidR="00894E48" w:rsidRPr="00584018" w:rsidRDefault="00894E48" w:rsidP="000F2FB0">
            <w:pPr>
              <w:spacing w:after="0" w:line="240" w:lineRule="auto"/>
              <w:ind w:left="373" w:hanging="373"/>
              <w:rPr>
                <w:rFonts w:ascii="Arial" w:eastAsia="Times New Roman" w:hAnsi="Arial" w:cs="Arial"/>
                <w:bCs/>
                <w:sz w:val="20"/>
                <w:szCs w:val="20"/>
                <w:lang w:val="en-GB"/>
              </w:rPr>
            </w:pPr>
            <w:r w:rsidRPr="00584018">
              <w:rPr>
                <w:rFonts w:ascii="Arial" w:eastAsia="Times New Roman" w:hAnsi="Arial" w:cs="Arial"/>
                <w:bCs/>
                <w:sz w:val="20"/>
                <w:szCs w:val="20"/>
                <w:lang w:val="en-GB"/>
              </w:rPr>
              <w:t>The student should be able to:</w:t>
            </w:r>
          </w:p>
          <w:p w:rsidR="00894E48" w:rsidRPr="00584018" w:rsidRDefault="00894E48" w:rsidP="00894E48">
            <w:pPr>
              <w:numPr>
                <w:ilvl w:val="0"/>
                <w:numId w:val="4"/>
              </w:numPr>
              <w:spacing w:after="0" w:line="240" w:lineRule="auto"/>
              <w:rPr>
                <w:rFonts w:ascii="Arial" w:eastAsia="Times New Roman" w:hAnsi="Arial" w:cs="Arial"/>
                <w:bCs/>
                <w:sz w:val="20"/>
                <w:szCs w:val="20"/>
                <w:lang w:val="en-GB"/>
              </w:rPr>
            </w:pPr>
            <w:r w:rsidRPr="00584018">
              <w:rPr>
                <w:rFonts w:ascii="Arial" w:eastAsia="Times New Roman" w:hAnsi="Arial" w:cs="Arial"/>
                <w:bCs/>
                <w:sz w:val="20"/>
                <w:szCs w:val="20"/>
                <w:lang w:val="en-GB"/>
              </w:rPr>
              <w:t>recognise and characterise different groups of secondary metabolites</w:t>
            </w:r>
          </w:p>
          <w:p w:rsidR="00894E48" w:rsidRPr="00584018" w:rsidRDefault="00894E48" w:rsidP="00894E48">
            <w:pPr>
              <w:numPr>
                <w:ilvl w:val="0"/>
                <w:numId w:val="4"/>
              </w:numPr>
              <w:spacing w:after="0" w:line="240" w:lineRule="auto"/>
              <w:rPr>
                <w:rFonts w:ascii="Arial" w:eastAsia="Times New Roman" w:hAnsi="Arial" w:cs="Arial"/>
                <w:bCs/>
                <w:sz w:val="20"/>
                <w:szCs w:val="20"/>
                <w:lang w:val="en-GB"/>
              </w:rPr>
            </w:pPr>
            <w:r w:rsidRPr="00584018">
              <w:rPr>
                <w:rFonts w:ascii="Arial" w:eastAsia="Times New Roman" w:hAnsi="Arial" w:cs="Arial"/>
                <w:bCs/>
                <w:sz w:val="20"/>
                <w:szCs w:val="20"/>
                <w:lang w:val="en-GB"/>
              </w:rPr>
              <w:t>combine knowledge about the structure of the basic classes of secondary metabolites and their biological activities</w:t>
            </w:r>
          </w:p>
          <w:p w:rsidR="00894E48" w:rsidRPr="00584018" w:rsidRDefault="00894E48" w:rsidP="00894E48">
            <w:pPr>
              <w:numPr>
                <w:ilvl w:val="0"/>
                <w:numId w:val="4"/>
              </w:numPr>
              <w:spacing w:after="0" w:line="240" w:lineRule="auto"/>
              <w:rPr>
                <w:rFonts w:ascii="Arial" w:eastAsia="Times New Roman" w:hAnsi="Arial" w:cs="Arial"/>
                <w:sz w:val="20"/>
                <w:szCs w:val="20"/>
                <w:lang w:val="en-GB"/>
              </w:rPr>
            </w:pPr>
            <w:r w:rsidRPr="00584018">
              <w:rPr>
                <w:rFonts w:ascii="Arial" w:eastAsia="Times New Roman" w:hAnsi="Arial" w:cs="Arial"/>
                <w:bCs/>
                <w:sz w:val="20"/>
                <w:szCs w:val="20"/>
                <w:lang w:val="en-GB"/>
              </w:rPr>
              <w:t>indicate the practical implications resulting from the knowledge of the biodiversity of secondary metabolites.</w:t>
            </w:r>
          </w:p>
          <w:p w:rsidR="00894E48" w:rsidRPr="00584018" w:rsidRDefault="00894E48" w:rsidP="000F2FB0">
            <w:pPr>
              <w:spacing w:after="0" w:line="240" w:lineRule="auto"/>
              <w:ind w:left="373" w:hanging="373"/>
              <w:rPr>
                <w:rFonts w:ascii="Arial" w:hAnsi="Arial" w:cs="Arial"/>
                <w:sz w:val="20"/>
                <w:szCs w:val="20"/>
                <w:lang w:val="en-US"/>
              </w:rPr>
            </w:pPr>
            <w:r w:rsidRPr="00584018">
              <w:rPr>
                <w:rFonts w:ascii="Arial" w:eastAsia="Times New Roman" w:hAnsi="Arial" w:cs="Arial"/>
                <w:b/>
                <w:bCs/>
                <w:sz w:val="20"/>
                <w:szCs w:val="20"/>
                <w:lang w:val="en-GB"/>
              </w:rPr>
              <w:t>ATTITUDES</w:t>
            </w:r>
            <w:r w:rsidRPr="00584018">
              <w:rPr>
                <w:rFonts w:ascii="Arial" w:hAnsi="Arial" w:cs="Arial"/>
                <w:sz w:val="20"/>
                <w:szCs w:val="20"/>
                <w:lang w:val="en-US"/>
              </w:rPr>
              <w:t xml:space="preserve"> </w:t>
            </w:r>
          </w:p>
          <w:p w:rsidR="00894E48" w:rsidRPr="00584018" w:rsidRDefault="00894E48" w:rsidP="00894E48">
            <w:pPr>
              <w:numPr>
                <w:ilvl w:val="0"/>
                <w:numId w:val="5"/>
              </w:numPr>
              <w:spacing w:after="0" w:line="240" w:lineRule="auto"/>
              <w:ind w:left="317" w:hanging="284"/>
              <w:rPr>
                <w:rFonts w:ascii="Arial" w:eastAsia="Times New Roman" w:hAnsi="Arial" w:cs="Arial"/>
                <w:bCs/>
                <w:sz w:val="20"/>
                <w:szCs w:val="20"/>
                <w:lang w:val="en-GB"/>
              </w:rPr>
            </w:pPr>
            <w:r w:rsidRPr="00584018">
              <w:rPr>
                <w:rFonts w:ascii="Arial" w:eastAsia="Times New Roman" w:hAnsi="Arial" w:cs="Arial"/>
                <w:bCs/>
                <w:sz w:val="20"/>
                <w:szCs w:val="20"/>
                <w:lang w:val="en-GB"/>
              </w:rPr>
              <w:t>the openness to the world's diversity of living organisms and care for the environment</w:t>
            </w:r>
          </w:p>
          <w:p w:rsidR="00894E48" w:rsidRPr="00584018" w:rsidRDefault="00894E48" w:rsidP="00894E48">
            <w:pPr>
              <w:numPr>
                <w:ilvl w:val="0"/>
                <w:numId w:val="5"/>
              </w:numPr>
              <w:spacing w:after="0" w:line="240" w:lineRule="auto"/>
              <w:ind w:left="317" w:hanging="284"/>
              <w:rPr>
                <w:rFonts w:ascii="Arial" w:eastAsia="Times New Roman" w:hAnsi="Arial" w:cs="Arial"/>
                <w:bCs/>
                <w:sz w:val="20"/>
                <w:szCs w:val="20"/>
                <w:lang w:val="en-GB"/>
              </w:rPr>
            </w:pPr>
            <w:r w:rsidRPr="00584018">
              <w:rPr>
                <w:rFonts w:ascii="Arial" w:eastAsia="Times New Roman" w:hAnsi="Arial" w:cs="Arial"/>
                <w:bCs/>
                <w:sz w:val="20"/>
                <w:szCs w:val="20"/>
                <w:lang w:val="en-GB"/>
              </w:rPr>
              <w:t>the willingness to broaden one’s knowledge</w:t>
            </w:r>
          </w:p>
          <w:p w:rsidR="00894E48" w:rsidRPr="00584018" w:rsidRDefault="00894E48" w:rsidP="00894E48">
            <w:pPr>
              <w:numPr>
                <w:ilvl w:val="0"/>
                <w:numId w:val="5"/>
              </w:numPr>
              <w:spacing w:after="0" w:line="240" w:lineRule="auto"/>
              <w:ind w:left="317" w:hanging="284"/>
              <w:rPr>
                <w:rFonts w:ascii="Arial" w:hAnsi="Arial" w:cs="Arial"/>
                <w:sz w:val="20"/>
                <w:szCs w:val="20"/>
                <w:lang w:val="en-GB"/>
              </w:rPr>
            </w:pPr>
            <w:r w:rsidRPr="00584018">
              <w:rPr>
                <w:rFonts w:ascii="Arial" w:eastAsia="Times New Roman" w:hAnsi="Arial" w:cs="Arial"/>
                <w:bCs/>
                <w:sz w:val="20"/>
                <w:szCs w:val="20"/>
                <w:lang w:val="en-GB"/>
              </w:rPr>
              <w:t xml:space="preserve">the willingness to update one’s practical and laboratory skills </w:t>
            </w:r>
          </w:p>
          <w:p w:rsidR="00894E48" w:rsidRPr="00584018" w:rsidRDefault="00894E48" w:rsidP="00894E48">
            <w:pPr>
              <w:numPr>
                <w:ilvl w:val="0"/>
                <w:numId w:val="5"/>
              </w:numPr>
              <w:spacing w:after="0" w:line="240" w:lineRule="auto"/>
              <w:ind w:left="317" w:hanging="284"/>
              <w:rPr>
                <w:rFonts w:ascii="Arial" w:hAnsi="Arial" w:cs="Arial"/>
                <w:sz w:val="20"/>
                <w:szCs w:val="20"/>
                <w:lang w:val="en-GB"/>
              </w:rPr>
            </w:pPr>
            <w:r w:rsidRPr="00584018">
              <w:rPr>
                <w:rFonts w:ascii="Arial" w:eastAsia="Times New Roman" w:hAnsi="Arial" w:cs="Arial"/>
                <w:bCs/>
                <w:sz w:val="20"/>
                <w:szCs w:val="20"/>
                <w:lang w:val="en-GB"/>
              </w:rPr>
              <w:t>the awareness of the world community of living organisms and the environment</w:t>
            </w:r>
          </w:p>
          <w:p w:rsidR="00894E48" w:rsidRPr="00584018" w:rsidRDefault="00894E48" w:rsidP="000F2FB0">
            <w:pPr>
              <w:spacing w:after="0" w:line="240" w:lineRule="auto"/>
              <w:ind w:left="317"/>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894E48" w:rsidRPr="00584018" w:rsidRDefault="00894E48" w:rsidP="000F2FB0">
            <w:pPr>
              <w:autoSpaceDE w:val="0"/>
              <w:autoSpaceDN w:val="0"/>
              <w:adjustRightInd w:val="0"/>
              <w:spacing w:after="0" w:line="240" w:lineRule="auto"/>
              <w:rPr>
                <w:rFonts w:ascii="Arial" w:hAnsi="Arial" w:cs="Arial"/>
                <w:b/>
                <w:bCs/>
                <w:iCs/>
                <w:sz w:val="20"/>
                <w:szCs w:val="20"/>
                <w:u w:val="single"/>
                <w:lang w:val="en-GB"/>
              </w:rPr>
            </w:pPr>
            <w:r w:rsidRPr="00584018">
              <w:rPr>
                <w:rFonts w:ascii="Arial" w:hAnsi="Arial" w:cs="Arial"/>
                <w:b/>
                <w:bCs/>
                <w:iCs/>
                <w:sz w:val="20"/>
                <w:szCs w:val="20"/>
                <w:u w:val="single"/>
                <w:lang w:val="en-GB"/>
              </w:rPr>
              <w:t xml:space="preserve">Lectures </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bCs/>
                <w:iCs/>
                <w:sz w:val="20"/>
                <w:szCs w:val="20"/>
                <w:lang w:val="en-GB"/>
              </w:rPr>
            </w:pPr>
            <w:r w:rsidRPr="00584018">
              <w:rPr>
                <w:rFonts w:ascii="Arial" w:hAnsi="Arial" w:cs="Arial"/>
                <w:bCs/>
                <w:iCs/>
                <w:sz w:val="20"/>
                <w:szCs w:val="20"/>
                <w:lang w:val="en-GB"/>
              </w:rPr>
              <w:t>Secondary metabolism in plants and microorganism- introduction</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bCs/>
                <w:iCs/>
                <w:sz w:val="20"/>
                <w:szCs w:val="20"/>
                <w:lang w:val="en-GB"/>
              </w:rPr>
            </w:pPr>
            <w:r w:rsidRPr="00584018">
              <w:rPr>
                <w:rFonts w:ascii="Arial" w:hAnsi="Arial" w:cs="Arial"/>
                <w:sz w:val="20"/>
                <w:szCs w:val="20"/>
                <w:lang w:val="en-GB"/>
              </w:rPr>
              <w:t>Regulation of secondary metabolism synthesis in plants and microorganisms.</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bCs/>
                <w:iCs/>
                <w:sz w:val="20"/>
                <w:szCs w:val="20"/>
                <w:lang w:val="en-GB"/>
              </w:rPr>
            </w:pPr>
            <w:r w:rsidRPr="00584018">
              <w:rPr>
                <w:rFonts w:ascii="Arial" w:hAnsi="Arial" w:cs="Arial"/>
                <w:sz w:val="20"/>
                <w:szCs w:val="20"/>
                <w:lang w:val="en-GB"/>
              </w:rPr>
              <w:t xml:space="preserve">Modular enzymes and their role in secondary </w:t>
            </w:r>
            <w:r w:rsidRPr="00584018">
              <w:rPr>
                <w:rFonts w:ascii="Arial" w:hAnsi="Arial" w:cs="Arial"/>
                <w:sz w:val="20"/>
                <w:szCs w:val="20"/>
                <w:lang w:val="en-GB"/>
              </w:rPr>
              <w:lastRenderedPageBreak/>
              <w:t>metabolites synthesis.</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Antibiotics – classification, structure, biological functions.</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 xml:space="preserve">Characterisation of microbial </w:t>
            </w:r>
            <w:proofErr w:type="spellStart"/>
            <w:r w:rsidRPr="00584018">
              <w:rPr>
                <w:rFonts w:ascii="Arial" w:hAnsi="Arial" w:cs="Arial"/>
                <w:sz w:val="20"/>
                <w:szCs w:val="20"/>
                <w:lang w:val="en-GB"/>
              </w:rPr>
              <w:t>siderophores</w:t>
            </w:r>
            <w:proofErr w:type="spellEnd"/>
            <w:r w:rsidRPr="00584018">
              <w:rPr>
                <w:rFonts w:ascii="Arial" w:hAnsi="Arial" w:cs="Arial"/>
                <w:sz w:val="20"/>
                <w:szCs w:val="20"/>
                <w:lang w:val="en-GB"/>
              </w:rPr>
              <w:t xml:space="preserve"> – structure, synthesis and transport.</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sz w:val="20"/>
                <w:szCs w:val="20"/>
                <w:lang w:val="en-GB"/>
              </w:rPr>
            </w:pPr>
            <w:proofErr w:type="spellStart"/>
            <w:r w:rsidRPr="00584018">
              <w:rPr>
                <w:rFonts w:ascii="Arial" w:hAnsi="Arial" w:cs="Arial"/>
                <w:sz w:val="20"/>
                <w:szCs w:val="20"/>
                <w:lang w:val="en-GB"/>
              </w:rPr>
              <w:t>Terpenoids</w:t>
            </w:r>
            <w:proofErr w:type="spellEnd"/>
            <w:r w:rsidRPr="00584018">
              <w:rPr>
                <w:rFonts w:ascii="Arial" w:hAnsi="Arial" w:cs="Arial"/>
                <w:sz w:val="20"/>
                <w:szCs w:val="20"/>
                <w:lang w:val="en-GB"/>
              </w:rPr>
              <w:t xml:space="preserve"> – structure, synthesis and biological activity.</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Alkaloids – structure, synthesis and biological activity.</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Polyketides as very diverse group of secondary metabolites.</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Biological functions of diverse secondary metabolites produced by plants and microorganisms.</w:t>
            </w:r>
          </w:p>
          <w:p w:rsidR="00894E48" w:rsidRPr="00584018" w:rsidRDefault="00894E48" w:rsidP="00894E48">
            <w:pPr>
              <w:numPr>
                <w:ilvl w:val="0"/>
                <w:numId w:val="6"/>
              </w:numPr>
              <w:autoSpaceDE w:val="0"/>
              <w:autoSpaceDN w:val="0"/>
              <w:adjustRightInd w:val="0"/>
              <w:spacing w:after="0" w:line="240" w:lineRule="auto"/>
              <w:ind w:left="317" w:hanging="284"/>
              <w:rPr>
                <w:rFonts w:ascii="Arial" w:hAnsi="Arial" w:cs="Arial"/>
                <w:bCs/>
                <w:iCs/>
                <w:sz w:val="20"/>
                <w:szCs w:val="20"/>
                <w:lang w:val="en-GB"/>
              </w:rPr>
            </w:pPr>
            <w:r w:rsidRPr="00584018">
              <w:rPr>
                <w:rFonts w:ascii="Arial" w:hAnsi="Arial" w:cs="Arial"/>
                <w:sz w:val="20"/>
                <w:szCs w:val="20"/>
                <w:lang w:val="en-GB"/>
              </w:rPr>
              <w:t>New strategies in secondary metabolites obtaining and characterisation.</w:t>
            </w:r>
          </w:p>
          <w:p w:rsidR="00894E48" w:rsidRPr="00584018" w:rsidRDefault="00894E48" w:rsidP="000F2FB0">
            <w:pPr>
              <w:autoSpaceDE w:val="0"/>
              <w:autoSpaceDN w:val="0"/>
              <w:adjustRightInd w:val="0"/>
              <w:spacing w:after="0" w:line="240" w:lineRule="auto"/>
              <w:rPr>
                <w:rFonts w:ascii="Arial" w:hAnsi="Arial" w:cs="Arial"/>
                <w:b/>
                <w:bCs/>
                <w:iCs/>
                <w:sz w:val="20"/>
                <w:szCs w:val="20"/>
                <w:u w:val="single"/>
                <w:lang w:val="en-GB"/>
              </w:rPr>
            </w:pPr>
            <w:r w:rsidRPr="00584018">
              <w:rPr>
                <w:rFonts w:ascii="Arial" w:hAnsi="Arial" w:cs="Arial"/>
                <w:b/>
                <w:bCs/>
                <w:iCs/>
                <w:sz w:val="20"/>
                <w:szCs w:val="20"/>
                <w:u w:val="single"/>
                <w:lang w:val="en-GB"/>
              </w:rPr>
              <w:t>Laboratory classes</w:t>
            </w:r>
          </w:p>
          <w:p w:rsidR="00894E48" w:rsidRPr="00584018" w:rsidRDefault="00894E48" w:rsidP="00894E48">
            <w:pPr>
              <w:numPr>
                <w:ilvl w:val="0"/>
                <w:numId w:val="7"/>
              </w:numPr>
              <w:autoSpaceDE w:val="0"/>
              <w:autoSpaceDN w:val="0"/>
              <w:adjustRightInd w:val="0"/>
              <w:spacing w:after="0" w:line="240" w:lineRule="auto"/>
              <w:ind w:left="317" w:hanging="284"/>
              <w:rPr>
                <w:rFonts w:ascii="Arial" w:hAnsi="Arial" w:cs="Arial"/>
                <w:bCs/>
                <w:iCs/>
                <w:sz w:val="20"/>
                <w:szCs w:val="20"/>
                <w:lang w:val="en-GB"/>
              </w:rPr>
            </w:pPr>
            <w:r w:rsidRPr="00584018">
              <w:rPr>
                <w:rFonts w:ascii="Arial" w:hAnsi="Arial" w:cs="Arial"/>
                <w:bCs/>
                <w:iCs/>
                <w:sz w:val="20"/>
                <w:szCs w:val="20"/>
                <w:lang w:val="en-GB"/>
              </w:rPr>
              <w:t>Determination of culture parameters in terms of growth phases determination.</w:t>
            </w:r>
          </w:p>
          <w:p w:rsidR="00894E48" w:rsidRPr="00584018" w:rsidRDefault="00894E48" w:rsidP="00894E48">
            <w:pPr>
              <w:numPr>
                <w:ilvl w:val="0"/>
                <w:numId w:val="7"/>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Induction of enzymes in bacterial cultures: influence of antibiotics addition.</w:t>
            </w:r>
          </w:p>
          <w:p w:rsidR="00894E48" w:rsidRPr="00584018" w:rsidRDefault="00894E48" w:rsidP="00894E48">
            <w:pPr>
              <w:numPr>
                <w:ilvl w:val="0"/>
                <w:numId w:val="7"/>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 xml:space="preserve">Characterisation of </w:t>
            </w:r>
            <w:proofErr w:type="spellStart"/>
            <w:r w:rsidRPr="00584018">
              <w:rPr>
                <w:rFonts w:ascii="Arial" w:hAnsi="Arial" w:cs="Arial"/>
                <w:sz w:val="20"/>
                <w:szCs w:val="20"/>
                <w:lang w:val="en-GB"/>
              </w:rPr>
              <w:t>siderophores</w:t>
            </w:r>
            <w:proofErr w:type="spellEnd"/>
            <w:r w:rsidRPr="00584018">
              <w:rPr>
                <w:rFonts w:ascii="Arial" w:hAnsi="Arial" w:cs="Arial"/>
                <w:sz w:val="20"/>
                <w:szCs w:val="20"/>
                <w:lang w:val="en-GB"/>
              </w:rPr>
              <w:t>.</w:t>
            </w:r>
          </w:p>
          <w:p w:rsidR="00894E48" w:rsidRPr="00584018" w:rsidRDefault="00894E48" w:rsidP="00894E48">
            <w:pPr>
              <w:numPr>
                <w:ilvl w:val="0"/>
                <w:numId w:val="7"/>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Extraction of etheric oils from plant materials.</w:t>
            </w:r>
          </w:p>
          <w:p w:rsidR="00894E48" w:rsidRPr="00584018" w:rsidRDefault="00894E48" w:rsidP="00894E48">
            <w:pPr>
              <w:numPr>
                <w:ilvl w:val="0"/>
                <w:numId w:val="7"/>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Regulation of secondary metabolism in fungal cultures.</w:t>
            </w:r>
          </w:p>
          <w:p w:rsidR="00894E48" w:rsidRPr="00584018" w:rsidRDefault="00894E48" w:rsidP="00894E48">
            <w:pPr>
              <w:numPr>
                <w:ilvl w:val="0"/>
                <w:numId w:val="7"/>
              </w:numPr>
              <w:autoSpaceDE w:val="0"/>
              <w:autoSpaceDN w:val="0"/>
              <w:adjustRightInd w:val="0"/>
              <w:spacing w:after="0" w:line="240" w:lineRule="auto"/>
              <w:ind w:left="317" w:hanging="284"/>
              <w:rPr>
                <w:rFonts w:ascii="Arial" w:hAnsi="Arial" w:cs="Arial"/>
                <w:sz w:val="20"/>
                <w:szCs w:val="20"/>
                <w:lang w:val="en-GB"/>
              </w:rPr>
            </w:pPr>
            <w:r w:rsidRPr="00584018">
              <w:rPr>
                <w:rFonts w:ascii="Arial" w:hAnsi="Arial" w:cs="Arial"/>
                <w:sz w:val="20"/>
                <w:szCs w:val="20"/>
                <w:lang w:val="en-GB"/>
              </w:rPr>
              <w:t>Alkaloids – preparation and characterisation</w:t>
            </w:r>
          </w:p>
          <w:p w:rsidR="00894E48" w:rsidRPr="00584018" w:rsidRDefault="00894E48" w:rsidP="000F2FB0">
            <w:pPr>
              <w:spacing w:after="0" w:line="240" w:lineRule="auto"/>
              <w:rPr>
                <w:rFonts w:ascii="Arial" w:hAnsi="Arial" w:cs="Arial"/>
                <w:sz w:val="20"/>
                <w:szCs w:val="20"/>
                <w:lang w:val="en-GB"/>
              </w:rPr>
            </w:pP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lectures, conversations, laboratory classes</w:t>
            </w:r>
          </w:p>
        </w:tc>
      </w:tr>
      <w:tr w:rsidR="00894E48" w:rsidRPr="00584018" w:rsidTr="000F2FB0">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E48" w:rsidRPr="00584018" w:rsidRDefault="00894E48" w:rsidP="000F2FB0">
            <w:pPr>
              <w:spacing w:after="0" w:line="240" w:lineRule="auto"/>
              <w:rPr>
                <w:rFonts w:ascii="Arial" w:hAnsi="Arial" w:cs="Arial"/>
                <w:sz w:val="20"/>
                <w:szCs w:val="20"/>
                <w:lang w:val="en-GB"/>
              </w:rPr>
            </w:pPr>
            <w:r w:rsidRPr="00584018">
              <w:rPr>
                <w:rFonts w:ascii="Arial" w:eastAsia="Times New Roman" w:hAnsi="Arial" w:cs="Arial"/>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94E48" w:rsidRPr="00584018" w:rsidRDefault="00894E48" w:rsidP="000F2FB0">
            <w:pPr>
              <w:spacing w:after="0" w:line="240" w:lineRule="auto"/>
              <w:rPr>
                <w:rFonts w:ascii="Arial" w:hAnsi="Arial" w:cs="Arial"/>
                <w:sz w:val="20"/>
                <w:szCs w:val="20"/>
                <w:lang w:val="en-GB"/>
              </w:rPr>
            </w:pPr>
            <w:r w:rsidRPr="00584018">
              <w:rPr>
                <w:rFonts w:ascii="Arial" w:hAnsi="Arial" w:cs="Arial"/>
                <w:sz w:val="20"/>
                <w:szCs w:val="20"/>
                <w:lang w:val="en-GB"/>
              </w:rPr>
              <w:t>student’s presentation, final written test</w:t>
            </w:r>
          </w:p>
        </w:tc>
      </w:tr>
    </w:tbl>
    <w:p w:rsidR="00276C0A" w:rsidRPr="00894E48" w:rsidRDefault="00276C0A">
      <w:pPr>
        <w:rPr>
          <w:lang w:val="en-GB"/>
        </w:rPr>
      </w:pPr>
      <w:bookmarkStart w:id="0" w:name="_GoBack"/>
      <w:bookmarkEnd w:id="0"/>
    </w:p>
    <w:sectPr w:rsidR="00276C0A" w:rsidRPr="00894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A"/>
    <w:multiLevelType w:val="hybridMultilevel"/>
    <w:tmpl w:val="2130AB8A"/>
    <w:lvl w:ilvl="0" w:tplc="6F78E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BC6DB6"/>
    <w:multiLevelType w:val="hybridMultilevel"/>
    <w:tmpl w:val="5030BC02"/>
    <w:lvl w:ilvl="0" w:tplc="68A26A94">
      <w:start w:val="1"/>
      <w:numFmt w:val="decimal"/>
      <w:lvlText w:val="%1."/>
      <w:lvlJc w:val="left"/>
      <w:pPr>
        <w:ind w:left="3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1E3090"/>
    <w:multiLevelType w:val="hybridMultilevel"/>
    <w:tmpl w:val="86A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810F39"/>
    <w:multiLevelType w:val="hybridMultilevel"/>
    <w:tmpl w:val="46E8BB68"/>
    <w:lvl w:ilvl="0" w:tplc="6F78E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2B2367"/>
    <w:multiLevelType w:val="hybridMultilevel"/>
    <w:tmpl w:val="07F8EF7E"/>
    <w:lvl w:ilvl="0" w:tplc="BD5276C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5">
    <w:nsid w:val="4C604694"/>
    <w:multiLevelType w:val="hybridMultilevel"/>
    <w:tmpl w:val="71426B2E"/>
    <w:lvl w:ilvl="0" w:tplc="F3A6BD7A">
      <w:start w:val="1"/>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F9794E"/>
    <w:multiLevelType w:val="hybridMultilevel"/>
    <w:tmpl w:val="EA4C1D5E"/>
    <w:lvl w:ilvl="0" w:tplc="0DFAB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48"/>
    <w:rsid w:val="00276C0A"/>
    <w:rsid w:val="00894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E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4E4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E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4E4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2016-04-20T11:47:00Z</dcterms:created>
  <dcterms:modified xsi:type="dcterms:W3CDTF">2016-04-20T11:48:00Z</dcterms:modified>
</cp:coreProperties>
</file>