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EC" w:rsidRPr="007E5980" w:rsidRDefault="00B93EEC" w:rsidP="003A06EC">
      <w:pPr>
        <w:pStyle w:val="Styl"/>
        <w:widowControl/>
        <w:shd w:val="clear" w:color="auto" w:fill="FEFFFE"/>
        <w:spacing w:line="360" w:lineRule="auto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dr hab. Jerzy Stelmasiak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prof. </w:t>
      </w:r>
      <w:proofErr w:type="spellStart"/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nadzw</w:t>
      </w:r>
      <w:proofErr w:type="spellEnd"/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.</w:t>
      </w:r>
    </w:p>
    <w:p w:rsidR="00B93EEC" w:rsidRPr="007E5980" w:rsidRDefault="00B93EEC" w:rsidP="003A06EC">
      <w:pPr>
        <w:pStyle w:val="Styl"/>
        <w:widowControl/>
        <w:shd w:val="clear" w:color="auto" w:fill="FEFFFE"/>
        <w:spacing w:line="360" w:lineRule="auto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UMCS w Lublinie</w:t>
      </w:r>
    </w:p>
    <w:p w:rsidR="00B93EEC" w:rsidRPr="007E5980" w:rsidRDefault="00B93EEC" w:rsidP="006441CD">
      <w:pPr>
        <w:pStyle w:val="Styl"/>
        <w:widowControl/>
        <w:shd w:val="clear" w:color="auto" w:fill="FEFFFE"/>
        <w:spacing w:line="360" w:lineRule="auto"/>
        <w:ind w:firstLineChars="263" w:firstLine="631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</w:p>
    <w:p w:rsidR="00B93EEC" w:rsidRPr="007E5980" w:rsidRDefault="006C646A" w:rsidP="003A06EC">
      <w:pPr>
        <w:pStyle w:val="Styl"/>
        <w:widowControl/>
        <w:shd w:val="clear" w:color="auto" w:fill="FEFFFE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EFFFE"/>
          <w:lang w:bidi="he-IL"/>
        </w:rPr>
      </w:pPr>
      <w:r w:rsidRPr="007E5980">
        <w:rPr>
          <w:rFonts w:ascii="Times New Roman" w:hAnsi="Times New Roman" w:cs="Times New Roman"/>
          <w:b/>
          <w:color w:val="000000" w:themeColor="text1"/>
          <w:shd w:val="clear" w:color="auto" w:fill="FEFFFE"/>
          <w:lang w:bidi="he-IL"/>
        </w:rPr>
        <w:t>INSTYTUCJA OBSZARU NATURA 2000 W ŚWIETLE ORZECZNICTWA SĄDÓW ADMINISTRACYJNYCH</w:t>
      </w:r>
    </w:p>
    <w:p w:rsidR="00B93EEC" w:rsidRPr="007E5980" w:rsidRDefault="00B93EEC" w:rsidP="006441CD">
      <w:pPr>
        <w:pStyle w:val="Styl"/>
        <w:widowControl/>
        <w:shd w:val="clear" w:color="auto" w:fill="FEFFFE"/>
        <w:spacing w:line="360" w:lineRule="auto"/>
        <w:ind w:firstLineChars="263" w:firstLine="631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</w:p>
    <w:p w:rsidR="00516B5F" w:rsidRPr="007E5980" w:rsidRDefault="00B93EEC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1.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Na wstępie należy podkreślić, że obszar Natura 2000 jest to jeden z rodzajów obszarów specjalnych o charakterze ekologicznym. Pojęcie obszar specjalny nie jest pojęciem prawnym ustawowo unormowanym tylko oczywiście pojęciem doktrynalnym. Najczęściej w doktrynie przyjmuje si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ę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, że jest to określona przestrzeń, w obrębie której obowiązuje specyficzny reżim prawny wyłączający w oznaczonym zakresie lub co najmniej ograniczający dotychczasowy porządek prawny, biorąc pod uwagę cel priorytetowy je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go utworzenia</w:t>
      </w:r>
      <w:r w:rsidR="00516B5F"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footnoteReference w:id="1"/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. Dlatego też wyodrębnienia obszaru specjalnego nie można łączyć z podstawowym, pomocniczym czy też specjalnym podziałem terytorialnym państwa. Ponadto utworzenie danego obszaru specjalnego o charakterze ekologicznym następuje w oparciu o ustawowe przepisy materialnego prawa administracyjnego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jeżeli 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przemawia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za tym 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i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nteres publiczny tj.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ty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m przypadku ustawowy wymóg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ochrony 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zasobów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przyrod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niczych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środowiska.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Natomiast cele ogólne, które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przemawiają za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wyodrębnieniem danego obszaru specjalnego muszą być na tyle istotne, że uzasadniają wprowadzenie odrębnej regulacji od ogólnie obowiązującego porządku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prawnego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 Ponadto jego specyficzny reżim prawny ma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zabezpieczać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odpowiednie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warunki przestrzenne i swobodę działania dla uprawnionego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podmiotu</w:t>
      </w:r>
      <w:r w:rsidR="00516B5F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.</w:t>
      </w:r>
    </w:p>
    <w:p w:rsidR="00516B5F" w:rsidRPr="007E5980" w:rsidRDefault="00516B5F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</w:p>
    <w:p w:rsidR="001B32BE" w:rsidRPr="007E5980" w:rsidRDefault="00516B5F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2.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Obszar specjalny taki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również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jak Obszar Natura 2000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jest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typowym przykładem powstawania kolizji interesów publicznych z interesami indywidualnymi. Rolę synchronizatora powinien spełnia miejscowy plan zagospodarowania przestrzennego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ako koordynator przestrzennych działań podmiotów gospodarujących na danych nieruchomościach gruntowych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footnoteReference w:id="2"/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 Z tych względów T. Kurowska wyodrębniła nawet cztery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rodzaje obszarów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lastRenderedPageBreak/>
        <w:t xml:space="preserve">specjalnych: obszary specjalne, które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wyłączają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określone uprawnienia właściciela (użytkownika) nieruchomośc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i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gruntowej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obszary specjalne ścieśniające uprawnienia właściciel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a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(użytkownika) nieruchomości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gruntowej oraz obszary specjalne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r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ecyzujące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s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posób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wykonywania uprawnień właściciela (użytkownika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nieruchomości gruntowej) 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footnoteReference w:id="3"/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Jest to także skorelowane z odpowiednim administracyjnoprawnym ograniczeniem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dysponowania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zasobami naturalnymi, czyli publicznoprawnym panowaniem państwa nad nieruchomościami. Z jednej strony dotyczy to bowiem zakresu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przedmiotowego ochrony prawnej wprowadzane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j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 formie nakazów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zakazów czy ograniczeń o charakterze administracyjnoprawnym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a z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drugiej strony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za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kresu przedmioto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w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ego dopuszczalne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j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działalności gospo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d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arczej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biorąc pod uwagę cel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tworzone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go obszaru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specjalnego, tj. ochron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y zasobów przyrodniczych występujących na oznaczonym terenie czyli także Obszaru Natura 2000. Dotyczy to zarówno tworzenia obszarów specjalnej ochrony ptaków, specjalnych obszarów ochrony siedlisk czy też obszarów, które mają znaczenie dla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Wspólnoty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 Trzeba także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podkreślić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że obszar Natura 2000 może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również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obejmować część lub na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w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et całość obszarów i obiektów, które są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jednocześnie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objęte „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krajową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” formą ochrony przyrody np. parku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krajobrazowego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lub obszaru chronionego krajobrazu (art. 6 ust. 1 pkt 1-4 i 6-9 ustawy z dnia 16 kwietnia 2004 r. o ochronie przyrody</w:t>
      </w:r>
      <w:r w:rsidR="00DD5D09"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footnoteReference w:id="4"/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).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Natomiast,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co będzie przedmiotem dalszej oceny także w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świetle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wiodącej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linii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orzecznictwa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Naczelnego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Sądu Administracyjnego, już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ustawodawca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wprowadził zakaz w istocie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podejmowania d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ziałań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mogących w znaczący sposób pogorszyć stan siedlisk przyrodniczych 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jak i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siedlisk gatunków roślin i zwierząt, a także w znaczący sposób wpłynąć negatywnie 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a gat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u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nki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dla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których ochrony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został wyznaczony obszar Natura 2000.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Ponadto należy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podkreślić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że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ustawodawca poszedł jeszcze dalej, rozciągając zakaz podejmowania określonych działań na projektowane obszary Natura 2000, znajdujące się na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liście prze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kazanej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przez ministra właściwego do spraw środowiska Komisji Europejsk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iej, oczywiście do czasu jej zatwierdzenia przez Komisję Europejską lub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odmowy 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j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ej zatwierdzenia. 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Z kolei w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świetle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ogranicze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ń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obowiązujących na terenie obszaru Natura 2000, zastosowana została definicja pozytywna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polegają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ca na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wymienieniu rodzajów dozwolonej działalności. N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ie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podlega 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bowiem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ograniczeniu działalność związana z utrzymaniem urządzeń 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i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obiektów służ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ących 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lastRenderedPageBreak/>
        <w:t>bezpie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czeństwu przeciwpowodziowemu oraz działalnoś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ć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gospodarcza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, leśna, rolna,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łowiecka i rybacka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, a także amatorski połów ryb, j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eże</w:t>
      </w:r>
      <w:r w:rsidR="00DD5D09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li nie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oddziałuje znacząco negatywnie na cele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och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rony</w:t>
      </w:r>
      <w:r w:rsidR="001B32BE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danego obszaru Natura 2000.</w:t>
      </w:r>
    </w:p>
    <w:p w:rsidR="001B32BE" w:rsidRPr="007E5980" w:rsidRDefault="001B32BE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</w:p>
    <w:p w:rsidR="001B32BE" w:rsidRPr="007E5980" w:rsidRDefault="001B32BE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3.</w:t>
      </w:r>
      <w:r w:rsidR="003A06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Przechodząc do analizy linii orzecznictwa Naczelnego Sądu Administracyjnego w powyższym zakresie należy w pierwszej kolejności podzielić stanowisko zawarte w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wyroku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NSA z dnia 10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lipca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2012 r., sygn. akt II OSK 708/11, Lex nr 1214980. Wynika z niego, że właściwa ochrona nawet tylko jeszcze projektowanego obszaru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Natura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2000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odnośnie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zakazu podejmowania działań mogących osobno lub w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połączeniu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z innymi działaniami znacząco negatywnie oddziaływać na cele ochrony obszaru Natura 2000 powinn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nastąpić co najmniej od dnia przesłania danych dotyczących te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g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o obszaru Natura 2000 do Komisji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Europejskiej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Natomiast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, działalności mogącej negatywnie wpływać na obszar Natura 2000 nie należy jednak podejmować od dnia zaproponowania danego obszaru Natura 2000 do włączen</w:t>
      </w:r>
      <w:r w:rsidR="009840AB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ia w skład sieci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Natura 2000, a więc od czasu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rozpoczęcia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konsultacji społecznych (wyrok NSA z dnia 17 kwietnia 2012 r., sygn.. akt II OSK 146/12, Lex nr 1219062 – tzw. reguła ostrożności).  Z kolei także w wyroku NS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z dnia 15 czerwca 2011 r,, sygn.. akt II OSK 958/10 Sąd prawidłowo stwierdził, że nie można podzielić stanowiska, iż dopiero z dniem zatwierdzenia danego obszaru Natura 2000 przez Komisję Europejską, obowiązują wszelkie ogranicz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nia związane z obszarem ochronnym i dopiero od tej daty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oddziaływuje</w:t>
      </w:r>
      <w:proofErr w:type="spellEnd"/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on na wszelkie działania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podejmowane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 granicach wyznaczonego obszaru. Ponadto nawet w odniesieniu do projektowanych obszarów Natura 2000 konieczne jest przeprowadzenie oceny, o której mowa w art. 6 ust. 3 dyrektywy siedliskowej. Dlatego też biorąc pod uwagę wiążące Rzeczpospolitą Polską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orzecznictwo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unijne należy przyjąć, że wobec przedsięwzięć mogących znacząco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negatywnie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oddziaływać na projektowane obszary Natura 2000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konieczne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jest przeprowadzenie oceny oddziaływania, o której mowa w art. 33 ust. 3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u.o.p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.</w:t>
      </w:r>
    </w:p>
    <w:p w:rsidR="007C42D0" w:rsidRPr="007E5980" w:rsidRDefault="001B32BE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Należy także w tym miejscu zaznaczyć, że jeżeli powstaje zamiar realizacji przedsięwzięcia, co do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którego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zostanie stwierdzone, że może negatywnie oddziaływać na obszar Natura 2000 konieczne jest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zastosowanie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wymagań, o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których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mowa w art. 6 ust. 3 i 4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dyrektywy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habitatowej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oraz w art. 34 i 35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u.o.p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 Dopiero kiedy po przeprowadzeniu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odpowiedniej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procedury – stwierdzi się spełnienie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określonych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 tych przepisach przesłanek, można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przystąpić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do realizacji danego przedsięwzięcia. Zgodnie z art. 6 ust. 3 i 4 dyrektywy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habitatowej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i art. 34-35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u.o.p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., zezwolenie na realizację przedsięwzięcia mogącego mieć negatywny wpływ </w:t>
      </w:r>
      <w:r w:rsidR="007329E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na obszar Natura 2000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możliwe jest tylko wtedy, gdy zostaną spełnione następujące warunki. Po pierwsze, nie ma rozwiązania alternatywnego pozwalającego na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lastRenderedPageBreak/>
        <w:t>realizację przedsięwzięcia w sposób pozwalający uniknąć negatywnego wpływu przedsięwzięcia na środowisko lub zminimalizować ten wpływ. Po drugie, wykazany zostanie nadrzędny interes społeczny lub gospodarczy, przemawiający za realizacją przedsięwzięcia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. Ponadto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jeżeli są to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jednak </w:t>
      </w:r>
      <w:r w:rsidR="00AE4DEC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obszary Natura 2000, na których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występują gatunki lub siedliska priorytetowe,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zezwolenie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może zostać wydane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dopiero 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po spełnieniu dodatkowych wymagań. Są to: 1) ochrona zdrowia i życia ludzi, 2) zapewnienie bezpieczeństwa powszechnego, 3) uzyskanie korzystnych następstw o pierwszoplanowym znaczeniu dla środowiska przyrodniczego, 4) po uzyskaniu opinii Komisji Europejskiej.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owyższe przesłanki, które umo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żli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wiają realizację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przedsięwzięcia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określone zostały w przepisach w sposób stopniowy.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Oznacza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to, że w pierwszej kolejności trzeba rozważyć rozwiązanie alternatywne, a dopiero po wykazaniu, że projektowane warianty nie pozwalają na wyeliminowanie lub ograniczenie negatywnego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>oddziaływania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E"/>
          <w:lang w:bidi="he-IL"/>
        </w:rPr>
        <w:t xml:space="preserve"> na środowisko można przystąpić do realizacji danego przedsięwzięcia ze względu na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interes społeczny l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ub gospodarczy. Należy</w:t>
      </w:r>
      <w:r w:rsidR="00BA2162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podkreślić, że tzw. „wariant zerowy</w:t>
      </w:r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”, </w:t>
      </w:r>
      <w:r w:rsidR="00D92056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polegający </w:t>
      </w:r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na niepodejmowaniu realizacji przedsięwzięcia w sytuacji, gdy przedsięwzięcie zaliczone zostało do nadrzędnego interesu publicznego, nie jest w żadnym przypadku rozwiązaniem alternatywnym. Wynika to z wykładni art. 6 ust. 4 dyrektywy </w:t>
      </w:r>
      <w:proofErr w:type="spellStart"/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habitatowej</w:t>
      </w:r>
      <w:proofErr w:type="spellEnd"/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92/43/EWG z dnia 21 maja 1992 r. Ponadto stanowisko to potwierdził Europejski Trybunał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Sprawiedliwości</w:t>
      </w:r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 wyroku z dnia 26 października 2006 r. w sprawie Castro Verde (C-239/04), w którym orzekł, że realizacja przedsięwzięcia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polegającego</w:t>
      </w:r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budowie drogi przez obszar Natura 2000 o nazwie Castro Verde bez prawidłowego wykazania, że nie istnieją inne alternatywne możliwości realizacji tego przedsięwzięcia, stąd Portugalia naruszyła art. 6 ust. 4 dyrektywy </w:t>
      </w:r>
      <w:proofErr w:type="spellStart"/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habitatowej</w:t>
      </w:r>
      <w:proofErr w:type="spellEnd"/>
      <w:r w:rsidR="007C42D0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.</w:t>
      </w:r>
    </w:p>
    <w:p w:rsidR="007C42D0" w:rsidRPr="007E5980" w:rsidRDefault="007C42D0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</w:p>
    <w:p w:rsidR="007C42D0" w:rsidRPr="007E5980" w:rsidRDefault="007C42D0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4. Należy jednak zaznaczyć, że w wyroku NSA z dnia 25 stycznia 2011 r., sygn. akt II OSK 1300/10, Lex nr 952950 Sąd orzekł, że na obszarze Natura 2000 mogą być podejmowane tylko takie przedsięwzięcia, które osobno lub w połączeniu z innymi działaniami znacząco negatywnie nie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oddziaływują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cele jego ochrony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określone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 art. 33 ust. 1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.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. Dlatego też realizacja przedsięwzięcia, którym je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t budowa jednego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budynku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mieszkalnego na obszarze Natura 2000 „Puszcza Piska” jak i projektowanym obszarze Natura 2000 „Ostoja Piska” nie może a priori z tej przyczyny wykluczać jego wykonania. Nie jest to bowiem obszar specjalny o charakterze ekologicznym, w obrębie którego obowiązuje specjalny reżim prawny, taki jak dla parku narodowego czy też rezerwatu przyrody.</w:t>
      </w:r>
    </w:p>
    <w:p w:rsidR="0065424E" w:rsidRPr="007E5980" w:rsidRDefault="0065424E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Także w wyroku NSA z dnia 8 lipca 2011 r., sygn. akt II OSK 1587/10, Lex nr 988197 sformułowano tezę, że w obrębie obszaru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Natura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2000, mogą być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podejmowane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takie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lastRenderedPageBreak/>
        <w:t xml:space="preserve">przedsięwzięcia,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które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osobno lub dopiero w połączeniu z innymi działa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mi znacząco negatywnie nie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oddziaływują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cele ochrony w rozumieniu art. 33 ust. 1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u.o.p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Oczywiście w obu powyższych orzeczeniach Sąd zaznaczył, że analiza dotycząca ewentualnego wstąpienia przesłanek z art. 33 ust. 1 i 2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u.o.p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musi jednoznacznie wnikać z ustaleń prawidłowo przeprowadzonego postępowania dowodowego, a w szczególności w świetle dyspozycji art. 7, art. 75 § 1, art. 77 § 1 i art. 80 k.p.a. Stąd, na </w:t>
      </w:r>
      <w:r w:rsidR="001445D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podkreślenie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zasługuje także wyrok NSA z dnia 3 kwietnia 2012 r., sygn. akt II OSK 38/12, w którym Sąd orzekł, że jeżeli organ II instancji uzupełnił zgromadzony materiał dowodowy o wybrane dokumenty będące przecież nowymi dowodami w świetle dyspozycji art. 75 § 1 k.p.a., gdyż są to m. in. mapy, ksera z publikacji zbiorowej </w:t>
      </w:r>
      <w:r w:rsidRPr="007E5980">
        <w:rPr>
          <w:rFonts w:ascii="Times New Roman" w:hAnsi="Times New Roman" w:cs="Times New Roman"/>
          <w:i/>
          <w:color w:val="000000" w:themeColor="text1"/>
          <w:shd w:val="clear" w:color="auto" w:fill="FEFFFF"/>
          <w:lang w:bidi="he-IL"/>
        </w:rPr>
        <w:t>Awifauna lęgowa Doliny Dolnej Odry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, „Notatki Ornitologiczne” 2009, kopię Standardowego Formularza Danych dla obszarów specjalne</w:t>
      </w:r>
      <w:r w:rsidR="001445D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ochrony siedlisk i gatunków, to strona skarżąca powinna mieć możliwość </w:t>
      </w:r>
      <w:r w:rsidR="001445D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wypowiedzenia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się w tym zakresie przed wydaniem rozstrzygnięcia w tej sprawie. Jest bowiem oczywiste, że powyższe nowe dowody były </w:t>
      </w:r>
      <w:r w:rsidR="001445D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uwzględnione przez organ odwoławczy w materiale dowodowym, w oparciu o który rozstrzygał tą sprawę. Dlatego też nie do przyjęcia jest pogląd, że są to w całości źródła ogólnodostępne jak i, że kserokopie i wydruki tych „materiałów zostały w aktach sprawy pozostawione omyłkowo i miały wyłącznie charakter roboczy”. Stąd Naczelny Sąd Administracyjny stwierdził, że Sąd I instancji prawidłowo orzekł, iż właściwy organ II instancji naruszył przepisy postępowania, tj. art. 10 § 1 k.p.a. i art. 81 k.p.a. oraz art. 107 § 3 k.p.a. (w związku z art. 126 k.p.a.) w stopniu mającym istotny wpływ na wynik spray w świetle dyspozycji art. 145 § 1 pkt 1 lit. c ustawy z dnia 30 sierpnia 2002 r. Prawo o postępowaniu przed sądami administracyjnymi</w:t>
      </w:r>
      <w:r w:rsidR="001445DA"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footnoteReference w:id="5"/>
      </w:r>
      <w:r w:rsidR="001445D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.</w:t>
      </w:r>
    </w:p>
    <w:p w:rsidR="001445DA" w:rsidRPr="007E5980" w:rsidRDefault="001445DA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</w:p>
    <w:p w:rsidR="001445DA" w:rsidRPr="007E5980" w:rsidRDefault="001445DA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5.</w:t>
      </w:r>
      <w:r w:rsidR="009840AB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Na podkreślenie zasługuje również wyrok NSA z dnia 10 marca 2011 r., sygn. akt II OSK 2561/10, Lex nr 992529. W jego uzasadnieniu Sąd bowiem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sformułował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dwie kluczowe tezy. </w:t>
      </w:r>
    </w:p>
    <w:p w:rsidR="001445DA" w:rsidRPr="007E5980" w:rsidRDefault="001445DA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Po pierwsze, Sąd stwierdził, że oznaczone przejścia dla zwierząt, jako rodzaj urządzeń mających za zadanie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zapewnienie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zachowania korytarza migracyjnego, stanowią konieczny element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planowanej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inwestycji drogowej. Dlatego też zasadność (celowość)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określonej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lokalizacji konkretnych przejść n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i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e może być </w:t>
      </w:r>
      <w:r w:rsidR="009F5605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analizowana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 zakresie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bezprzedmiotowości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postępowania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Ponadto, ilość,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rodzaj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oraz lokalizacja przejść dla zwierząt stanowi element merytorycznego rozstrzygnięcia właściwego organu ochrony środowiska i rezygnacja z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lastRenderedPageBreak/>
        <w:t xml:space="preserve">realizacji konkretnych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przejść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musi mieć swoje merytoryczne uzasadnienie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pozostające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 zgodzie z zasadą przezorności, wyrażoną w art. 6 ust. 1 i 2 ustawy z dnia 27 kwietnia 2001 r. Prawo ochrony środowiska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footnoteReference w:id="6"/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.</w:t>
      </w:r>
    </w:p>
    <w:p w:rsidR="001445DA" w:rsidRPr="007E5980" w:rsidRDefault="001445DA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Po drugie, Sąd orzekł, że właśnie przepis art. 33 ust. 1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u.o.p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.,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który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stanowi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o negatywnym oddziaływaniu danego przedsięwzięcia na cele ochrony obszaru Natura 2000 nie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tanowi więc o jakimkolwiek oddziaływaniu lecz tylko o znaczących negatywnych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oddziaływaniach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środowisko. Z tych względów nie wszystkie negatywne oddziaływania będą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uniemożliwiały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realizacje przedsięwzięcia, lecz tylko te, których skala oddziaływania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będzie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uznana za znaczącą. Ponadto, zawarte w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powyższej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normie sformułowanie „znaczące negatywne oddziaływanie” jako nieostre, sprawia, że w każdej sytuacji dokonywania takiej oceny organ prowadzący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postępowanie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, powinien precyzyjnie wskazać te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przesłanki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Norma art. 34 ust. 1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u.o.p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pozwala w sytuacji bezspornej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przes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ą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dzić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podstawie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art.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33 ust. 1, że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dane przedsięwzięcie znacząco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oddziaływuje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cele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ochrony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Natura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2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000, a dopiero następnie przejść do przesłanek pozwalających na wydane zezwolenia na realizację przedsięwzięcia, które może negatywnie wpłynąć na siedliska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przyrodnicze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oraz gatunki roślin i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zwierząt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.</w:t>
      </w:r>
    </w:p>
    <w:p w:rsidR="001445DA" w:rsidRPr="007E5980" w:rsidRDefault="001445DA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</w:p>
    <w:p w:rsidR="001445DA" w:rsidRPr="007E5980" w:rsidRDefault="001445DA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6.</w:t>
      </w:r>
      <w:r w:rsidR="003A06E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Kolejna występująca w ty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m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zakresie sporna kwestia dotyczy oceny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wymagań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stawianych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decyzji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o środowiskowych uwarunkowaniach realizacji danego przedsięwzięcia. Na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podkreślenie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zasługuje w szczególności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yrok NS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z dnia 4 listopada 2011 r., sygn. akt II OSK 2319/10, Lex nr 953045. W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wyroku tym Sąd 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sformułował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również dwie podstawowe tezy. Po pierwsze stwierdził, że to nie organ architektoniczno-budowlany, lecz organ wydający decyzję o środowiskowych uwarunkowaniach jest uprawniony i obowiązany do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określenia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wymagań dotyczących ochrony środowiska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koniecznych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do uwzględnienia w projekcie budowlanym i nałożenia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określonych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obowiązków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wnioskodawcę. Organ architektoniczno-budowlany jest tylko zobowiązany do sprawdzenia, czy wymagania te zostały uwzględnione w projekcie budowlanym i czy przedłożony projekt budowlany spełnia nałożone obowiązki. Po drugie, Sąd zaznaczył, że wymagania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określone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 decyzji o środowiskowych uwarunkowaniach powinny być na tyle konkretne, że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by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ich </w:t>
      </w:r>
      <w:r w:rsidR="00BA3CF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realizacja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mogła być zweryfikowana p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r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zez organ wydający dalsze orzeczenie w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sprawie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, w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związku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z treścią art. 56 ust. 9 </w:t>
      </w:r>
      <w:proofErr w:type="spellStart"/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p.o.ś</w:t>
      </w:r>
      <w:proofErr w:type="spellEnd"/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Ponadto jeżeli organ architektoniczno-budowlany obciąża obowiązek sprawdzenia, czy przedłożony projekt budowalny spełnia wymagania z osnowy decyzji o środowiskowych 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lastRenderedPageBreak/>
        <w:t xml:space="preserve">uwarunkowaniach, to wymagania z rozstrzygnięcia tej decyzji powinny być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sformułowane</w:t>
      </w:r>
      <w:r w:rsidR="00685BCF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 sposób jasny i konkretny.</w:t>
      </w:r>
    </w:p>
    <w:p w:rsidR="00685BCF" w:rsidRPr="007E5980" w:rsidRDefault="00685BCF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Ponadto w wyroku NSA z dnia 23 listopada 2010 r., sygn. akt II OSK 1848/10, Lex nr 787129 </w:t>
      </w:r>
      <w:r w:rsidR="00D161B3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Sąd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słusznie wyodrębnił trzy sporne także w doktrynie problemy w tym zakresie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footnoteReference w:id="7"/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Po pierwsze orzekł, że w postępowaniu w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przedmiocie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wydania decyzji o środowiskowych uwarunkowaniach realizacji przedsięwzięcia nie można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postpowaniu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dowodowemu zarzucić braków,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które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nie mają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znaczenia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dla treści decyzji, a w szczególności polegających na nieustaleniu faktów nieistotnych dla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t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reści decyzji lub nawet tego rodzaju, które służyłyby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wprowadzeniu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do decyzji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postanowień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nie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mających oparcia w przepisach.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Po drugie, raport,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który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nie spełnia wymagań z art. 52 ust. 1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p.o.ś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(obecnie art. 66 ustawy z 2008 r. o udostępnianiu informacji o środowisku i jego ochronie, udziale społeczeństwa w ochronie środowiska oraz o ocenach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oddziaływania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 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środowisko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footnoteReference w:id="8"/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)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nie powinien być uznany za środek dowodowy zgodny z prawem. Ponadto zarzut stawiany raportowi powinien być oparty na wykazaniu jego niezgodności z konkretnym przepisem, tj. art. 52 ust. 1 </w:t>
      </w:r>
      <w:proofErr w:type="spellStart"/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p.o.ś</w:t>
      </w:r>
      <w:proofErr w:type="spellEnd"/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(obecnie art. 66 ustawy z 2008 r. o udostępnianiu informacji o środowisku i jego ochronie, udziale społeczeństwa w ochronie środowiska oraz o ocenach oddziaływania na środowisko), a także przepisu prawa materialnego w oparciu o który została ustalona treść wymagania ustalonego w określonym przepisie art. 66 (art. 52 </w:t>
      </w:r>
      <w:proofErr w:type="spellStart"/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p.o.ś</w:t>
      </w:r>
      <w:proofErr w:type="spellEnd"/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.). Oznacza to, że postawienie postępowaniu dowodowemu, a w szczególności środkowi dowodowemu w </w:t>
      </w:r>
      <w:r w:rsidR="00BA3CF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postaci</w:t>
      </w:r>
      <w:r w:rsidR="0089671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raportu, tylko ogólnego zarzutu naruszenia zasady praworządności z powodu niepełnego przeprowadzenia postępowania wyjaśniającego, jest chybionym zarzutem. </w:t>
      </w:r>
      <w:r w:rsidR="00BA3CF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Jednocześnie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sąd słusznie stwierdził, że z ustaleń stanu faktycznego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prawy nie można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wyprowadzić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hipotetycznego stanu faktycznego zapisanego  normie pra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a, gdyż proc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e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 jest odwrotny. Z normy prawa wyprowadza się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hipotetyczny stan faktyczny i pod ten stan podciąga się stan faktyczny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występujący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przedmiotowej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sprawie. 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Oznacza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to, że nie można skutecznie zarzucić niewłaściwego zastosowania przepisu pr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a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wa 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materialnego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bez odkodowania hipotetycznego stanu faktycznego zapisanego w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3651B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normie prawnej.</w:t>
      </w:r>
    </w:p>
    <w:p w:rsidR="003651B9" w:rsidRPr="007E5980" w:rsidRDefault="003651B9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lastRenderedPageBreak/>
        <w:t xml:space="preserve">Z kolei w wyroku NSA z dnia 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19 stycznia 2012 r., sygn. akt II OS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615/11, Lex nr 1123134 Sąd odniósł się do wymagań stawianych raportowi o oddziaływaniu danego przedsięwzięcia na środowisko. W szczególności sąd prawidłowo podkreślił, że od podmiotu opracowującego dany raport o oddziaływaniu przedsięwzięcia na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środowisko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wymaga się tylko wskazania nazwiska, nie zaś innych kryteriów czy to pod względem fachowości,</w:t>
      </w:r>
      <w:r w:rsidR="00935F5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czy braku powiązań z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wnioskodawcą</w:t>
      </w:r>
      <w:r w:rsidR="00723DC9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</w:t>
      </w:r>
      <w:r w:rsidR="00935F5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Autor raportu, żeby go sporządzić powinien jednak posiadać wiedzę specjalistyczną z dziedziny, z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którą</w:t>
      </w:r>
      <w:r w:rsidR="00935F5C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planowane przedsięwzięcie się wiąże. Nie oznacza to, że musi być biegłym w rozumieniu przepisów k.p.a. Raportu nie można utożsamiać z opinią biegłego w rozumieniu art. 84 § 1 k.p.a., a do osoby sporządzającej raport stosować art. 84 § 2 k.p.a.</w:t>
      </w:r>
    </w:p>
    <w:p w:rsidR="00935F5C" w:rsidRPr="007E5980" w:rsidRDefault="00935F5C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</w:p>
    <w:p w:rsidR="00935F5C" w:rsidRPr="007E5980" w:rsidRDefault="00935F5C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7.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Konkludując, należy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podkreślić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istotną rolę jaką spełnia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orzecznictwo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Naczelnego Sądu Administracyjnego w kształtowaniu się prawidłowej wykładni stosowanych w tym zakresie przepisów prawa materialnego.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Chociaż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powyższe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orzecznictwo sądo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e jest w istocie zaliczane do tzw.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woistych źródeł prawa administracyjnego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footnoteReference w:id="9"/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, to podkreśla się jednocześnie jego tzw.</w:t>
      </w:r>
      <w:r w:rsidR="00F24AB8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p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rawotwórcze oddziaływanie na działalność organów administracji publicznej.</w:t>
      </w:r>
    </w:p>
    <w:p w:rsidR="00935F5C" w:rsidRPr="007E5980" w:rsidRDefault="00935F5C" w:rsidP="007E5980">
      <w:pPr>
        <w:pStyle w:val="Styl"/>
        <w:widowControl/>
        <w:shd w:val="clear" w:color="auto" w:fill="FEFFFE"/>
        <w:spacing w:line="360" w:lineRule="auto"/>
        <w:ind w:firstLineChars="354" w:firstLine="850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Jest to także szczególnie istotne z tej przyczyny, że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przecież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już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wojewódzkie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sądy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administracyjne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kontrolują czy właściwe organy administracji publicznej dokonały właściwe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go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zastosowania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unijnego materialnego prawa ochrony środowiska np. w formie rozporządzeń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oraz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dyrektyw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recypowanych do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odpowiednich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przepisów prawa powszechnie obowiązującego,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a następnie ich wykładni w danym stanie faktycznym. Z kolei już po wniesieniu skargi kasacyjnej od wyroku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Sądu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I instancji zakres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kognicji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N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A je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t zależny od zarzutów podnoszonych w </w:t>
      </w:r>
      <w:r w:rsidR="00CB1DE8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skardze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kasacyjnej (art. 183 § 1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p.p.s.a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.), czyli Naczelny Sąd Administracyjny rozpatruje sprawę tylko w granicach skargi kasacyjnej, biorąc z urzędu pod rozwagę wyłącznie nieważność postępowania sądowego (art. 183 § 2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p.p.s.a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.). 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Należy także zaznaczyć, że 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sądy administracyjne orzekają tylko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reformatoryjn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ie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,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biorąc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pod uwagę obecny model sądownictwa administracyjnego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footnoteReference w:id="10"/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. Ponadto należy przypomnieć, że sąd administracyjny w odróżnieniu od sądu powszechnego</w:t>
      </w:r>
      <w:r w:rsidRPr="007E5980">
        <w:rPr>
          <w:rStyle w:val="Odwoanieprzypisudolnego"/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footnoteReference w:id="11"/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, nie może powoływać biegłych (rzeczoznawców), zarządzić oględzin, przesłuchiwać świadków, jak i w ogóle przeprowadzać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postępowania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lastRenderedPageBreak/>
        <w:t>dowodowego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za wyjątkiem przypadku z art. 106 § 3 </w:t>
      </w:r>
      <w:proofErr w:type="spellStart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p.p.s.a</w:t>
      </w:r>
      <w:proofErr w:type="spellEnd"/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. czyli wywołania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uzupełniającego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dowodu z dokumentu urzędowego, jeżeli jest to </w:t>
      </w:r>
      <w:r w:rsidR="006C646A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konieczne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do wyjaśnienia sprawy i nie spowoduje nadmiernego przedłużenia postęp</w:t>
      </w:r>
      <w:r w:rsidR="006441CD"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o</w:t>
      </w: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>wania w sprawie. Dlatego też np. w żadnym przypadku sąd administracyjny nie może samodzielnie dokonać merytorycznej oceny raportu o oddziaływaniu danego przedsięwzięcia na obszar Natura 2000, jako kluczowego dowodu w postępowaniu wyjaśniającym w danej sprawie.</w:t>
      </w:r>
    </w:p>
    <w:p w:rsidR="00935F5C" w:rsidRPr="007E5980" w:rsidRDefault="00935F5C" w:rsidP="006441CD">
      <w:pPr>
        <w:pStyle w:val="Styl"/>
        <w:widowControl/>
        <w:shd w:val="clear" w:color="auto" w:fill="FEFFFE"/>
        <w:spacing w:line="360" w:lineRule="auto"/>
        <w:ind w:firstLineChars="405" w:firstLine="972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</w:p>
    <w:p w:rsidR="007C42D0" w:rsidRPr="007E5980" w:rsidRDefault="007C42D0" w:rsidP="006441CD">
      <w:pPr>
        <w:pStyle w:val="Styl"/>
        <w:widowControl/>
        <w:shd w:val="clear" w:color="auto" w:fill="FEFFFE"/>
        <w:spacing w:line="360" w:lineRule="auto"/>
        <w:ind w:firstLineChars="405" w:firstLine="972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</w:p>
    <w:p w:rsidR="007C42D0" w:rsidRPr="007E5980" w:rsidRDefault="007C42D0" w:rsidP="006441CD">
      <w:pPr>
        <w:pStyle w:val="Styl"/>
        <w:widowControl/>
        <w:shd w:val="clear" w:color="auto" w:fill="FEFFFE"/>
        <w:spacing w:line="360" w:lineRule="auto"/>
        <w:ind w:firstLineChars="405" w:firstLine="972"/>
        <w:jc w:val="both"/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</w:pPr>
      <w:r w:rsidRPr="007E5980">
        <w:rPr>
          <w:rFonts w:ascii="Times New Roman" w:hAnsi="Times New Roman" w:cs="Times New Roman"/>
          <w:color w:val="000000" w:themeColor="text1"/>
          <w:shd w:val="clear" w:color="auto" w:fill="FEFFFF"/>
          <w:lang w:bidi="he-IL"/>
        </w:rPr>
        <w:t xml:space="preserve"> </w:t>
      </w:r>
    </w:p>
    <w:p w:rsidR="00D92056" w:rsidRPr="007E5980" w:rsidRDefault="00D92056" w:rsidP="003A06EC">
      <w:pPr>
        <w:pStyle w:val="Styl"/>
        <w:widowControl/>
        <w:spacing w:line="360" w:lineRule="auto"/>
        <w:rPr>
          <w:rFonts w:ascii="Times New Roman" w:hAnsi="Times New Roman" w:cs="Times New Roman"/>
          <w:color w:val="000000" w:themeColor="text1"/>
          <w:lang w:bidi="he-IL"/>
        </w:rPr>
      </w:pPr>
      <w:bookmarkStart w:id="0" w:name="_GoBack"/>
      <w:bookmarkEnd w:id="0"/>
    </w:p>
    <w:sectPr w:rsidR="00D92056" w:rsidRPr="007E5980" w:rsidSect="007E5980">
      <w:headerReference w:type="default" r:id="rId9"/>
      <w:type w:val="nextColumn"/>
      <w:pgSz w:w="11907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D1" w:rsidRDefault="00B254D1" w:rsidP="00516B5F">
      <w:pPr>
        <w:spacing w:after="0" w:line="240" w:lineRule="auto"/>
      </w:pPr>
      <w:r>
        <w:separator/>
      </w:r>
    </w:p>
  </w:endnote>
  <w:endnote w:type="continuationSeparator" w:id="0">
    <w:p w:rsidR="00B254D1" w:rsidRDefault="00B254D1" w:rsidP="005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D1" w:rsidRDefault="00B254D1" w:rsidP="00516B5F">
      <w:pPr>
        <w:spacing w:after="0" w:line="240" w:lineRule="auto"/>
      </w:pPr>
      <w:r>
        <w:separator/>
      </w:r>
    </w:p>
  </w:footnote>
  <w:footnote w:type="continuationSeparator" w:id="0">
    <w:p w:rsidR="00B254D1" w:rsidRDefault="00B254D1" w:rsidP="00516B5F">
      <w:pPr>
        <w:spacing w:after="0" w:line="240" w:lineRule="auto"/>
      </w:pPr>
      <w:r>
        <w:continuationSeparator/>
      </w:r>
    </w:p>
  </w:footnote>
  <w:footnote w:id="1">
    <w:p w:rsidR="006C646A" w:rsidRPr="006441CD" w:rsidRDefault="00516B5F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6C646A" w:rsidRPr="006441CD">
        <w:rPr>
          <w:rFonts w:ascii="Times New Roman" w:hAnsi="Times New Roman" w:cs="Times New Roman"/>
          <w:sz w:val="24"/>
          <w:szCs w:val="24"/>
        </w:rPr>
        <w:t>Pojęcie prawne obszar specjalny posiada bogatą literaturę. Zob. np. J. Stelmasiak</w:t>
      </w:r>
      <w:r w:rsidR="006C646A" w:rsidRPr="006441CD">
        <w:rPr>
          <w:rFonts w:ascii="Times New Roman" w:hAnsi="Times New Roman" w:cs="Times New Roman"/>
          <w:i/>
          <w:sz w:val="24"/>
          <w:szCs w:val="24"/>
        </w:rPr>
        <w:t>, Instytucja obszaru specjalnego w materialnym prawie administracyjnym na przykładzie obszarów specjalnych o charakterze ekologicznym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, w: </w:t>
      </w:r>
      <w:r w:rsidR="006C646A" w:rsidRPr="006441CD">
        <w:rPr>
          <w:rFonts w:ascii="Times New Roman" w:hAnsi="Times New Roman" w:cs="Times New Roman"/>
          <w:i/>
          <w:sz w:val="24"/>
          <w:szCs w:val="24"/>
        </w:rPr>
        <w:t>System prawa administracyjnego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, red. R. Hauser, Z. Niewiadomski, A. Wróbel, Tom 7: </w:t>
      </w:r>
      <w:r w:rsidR="006C646A" w:rsidRPr="006441CD">
        <w:rPr>
          <w:rFonts w:ascii="Times New Roman" w:hAnsi="Times New Roman" w:cs="Times New Roman"/>
          <w:i/>
          <w:sz w:val="24"/>
          <w:szCs w:val="24"/>
        </w:rPr>
        <w:t>Prawo administracyjne materialne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, Warszawa 2012, s. 651 i nast.; P. </w:t>
      </w:r>
      <w:proofErr w:type="spellStart"/>
      <w:r w:rsidR="006C646A" w:rsidRPr="006441CD">
        <w:rPr>
          <w:rFonts w:ascii="Times New Roman" w:hAnsi="Times New Roman" w:cs="Times New Roman"/>
          <w:i/>
          <w:sz w:val="24"/>
          <w:szCs w:val="24"/>
        </w:rPr>
        <w:t>Otawski</w:t>
      </w:r>
      <w:proofErr w:type="spellEnd"/>
      <w:r w:rsidR="006C646A" w:rsidRPr="006441CD">
        <w:rPr>
          <w:rFonts w:ascii="Times New Roman" w:hAnsi="Times New Roman" w:cs="Times New Roman"/>
          <w:i/>
          <w:sz w:val="24"/>
          <w:szCs w:val="24"/>
        </w:rPr>
        <w:t>, Obszarowe instrumenty ochrony zasobów naturalnych środowiska</w:t>
      </w:r>
      <w:r w:rsidR="006C646A" w:rsidRPr="006441CD">
        <w:rPr>
          <w:rFonts w:ascii="Times New Roman" w:hAnsi="Times New Roman" w:cs="Times New Roman"/>
          <w:sz w:val="24"/>
          <w:szCs w:val="24"/>
        </w:rPr>
        <w:t>, Poznań 2006 (rozprawa doktorska  – maszynopis powielony).</w:t>
      </w:r>
    </w:p>
  </w:footnote>
  <w:footnote w:id="2">
    <w:p w:rsidR="00516B5F" w:rsidRPr="006441CD" w:rsidRDefault="00516B5F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Por. J. Stelmasiak, </w:t>
      </w:r>
      <w:r w:rsidR="006C646A" w:rsidRPr="006441CD">
        <w:rPr>
          <w:rFonts w:ascii="Times New Roman" w:hAnsi="Times New Roman" w:cs="Times New Roman"/>
          <w:i/>
          <w:sz w:val="24"/>
          <w:szCs w:val="24"/>
        </w:rPr>
        <w:t>Miejscowy plan zagospodarowania przestrzennego jako prawny środek ochrony środowiska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, Lublin 1994, s. 104-133 oraz P. Sosnowski, </w:t>
      </w:r>
      <w:r w:rsidR="006C646A" w:rsidRPr="006441CD">
        <w:rPr>
          <w:rFonts w:ascii="Times New Roman" w:hAnsi="Times New Roman" w:cs="Times New Roman"/>
          <w:i/>
          <w:sz w:val="24"/>
          <w:szCs w:val="24"/>
        </w:rPr>
        <w:t>Gminne planowanie przestrzenne a administracja rządowa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, Warszawa 2011, s. 186-219; P. Kwaśniak, </w:t>
      </w:r>
      <w:r w:rsidR="006C646A" w:rsidRPr="006441CD">
        <w:rPr>
          <w:rFonts w:ascii="Times New Roman" w:hAnsi="Times New Roman" w:cs="Times New Roman"/>
          <w:i/>
          <w:sz w:val="24"/>
          <w:szCs w:val="24"/>
        </w:rPr>
        <w:t>Miejscowy plan zagospodarowania przestrzennego</w:t>
      </w:r>
      <w:r w:rsidR="006C646A" w:rsidRPr="006441CD">
        <w:rPr>
          <w:rFonts w:ascii="Times New Roman" w:hAnsi="Times New Roman" w:cs="Times New Roman"/>
          <w:sz w:val="24"/>
          <w:szCs w:val="24"/>
        </w:rPr>
        <w:t>, Warszawa 2008, s. 172-188.</w:t>
      </w:r>
    </w:p>
  </w:footnote>
  <w:footnote w:id="3">
    <w:p w:rsidR="00516B5F" w:rsidRPr="006441CD" w:rsidRDefault="00516B5F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T. Kurowska, </w:t>
      </w:r>
      <w:r w:rsidR="006C646A" w:rsidRPr="006441CD">
        <w:rPr>
          <w:rFonts w:ascii="Times New Roman" w:hAnsi="Times New Roman" w:cs="Times New Roman"/>
          <w:i/>
          <w:sz w:val="24"/>
          <w:szCs w:val="24"/>
        </w:rPr>
        <w:t>Obszar specjalny jako postać ingerencji administracji w sferę uprawnień właściciela nieruchomości gruntowej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, </w:t>
      </w:r>
      <w:r w:rsidR="003A06EC" w:rsidRPr="006441CD">
        <w:rPr>
          <w:rFonts w:ascii="Times New Roman" w:hAnsi="Times New Roman" w:cs="Times New Roman"/>
          <w:sz w:val="24"/>
          <w:szCs w:val="24"/>
        </w:rPr>
        <w:t>„</w:t>
      </w:r>
      <w:r w:rsidR="006C646A" w:rsidRPr="006441CD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="006C646A" w:rsidRPr="006441CD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="006C646A" w:rsidRPr="00644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46A" w:rsidRPr="006441CD">
        <w:rPr>
          <w:rFonts w:ascii="Times New Roman" w:hAnsi="Times New Roman" w:cs="Times New Roman"/>
          <w:sz w:val="24"/>
          <w:szCs w:val="24"/>
        </w:rPr>
        <w:t>Silesiana</w:t>
      </w:r>
      <w:proofErr w:type="spellEnd"/>
      <w:r w:rsidR="003A06EC" w:rsidRPr="006441CD">
        <w:rPr>
          <w:rFonts w:ascii="Times New Roman" w:hAnsi="Times New Roman" w:cs="Times New Roman"/>
          <w:sz w:val="24"/>
          <w:szCs w:val="24"/>
        </w:rPr>
        <w:t>”</w:t>
      </w:r>
      <w:r w:rsidR="006C646A" w:rsidRPr="006441CD">
        <w:rPr>
          <w:rFonts w:ascii="Times New Roman" w:hAnsi="Times New Roman" w:cs="Times New Roman"/>
          <w:sz w:val="24"/>
          <w:szCs w:val="24"/>
        </w:rPr>
        <w:t>, Katowice 1979, nr 6, s. 48.</w:t>
      </w:r>
    </w:p>
  </w:footnote>
  <w:footnote w:id="4">
    <w:p w:rsidR="00DD5D09" w:rsidRPr="006441CD" w:rsidRDefault="00DD5D09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9840AB" w:rsidRPr="006441CD">
        <w:rPr>
          <w:rFonts w:ascii="Times New Roman" w:hAnsi="Times New Roman" w:cs="Times New Roman"/>
          <w:sz w:val="24"/>
          <w:szCs w:val="24"/>
        </w:rPr>
        <w:t xml:space="preserve">Dz. U. z 2009 r. Nr 151, poz. 1220 ze zm., zwana dalej </w:t>
      </w:r>
      <w:proofErr w:type="spellStart"/>
      <w:r w:rsidR="009840AB" w:rsidRPr="006441CD">
        <w:rPr>
          <w:rFonts w:ascii="Times New Roman" w:hAnsi="Times New Roman" w:cs="Times New Roman"/>
          <w:sz w:val="24"/>
          <w:szCs w:val="24"/>
        </w:rPr>
        <w:t>u.o.p</w:t>
      </w:r>
      <w:proofErr w:type="spellEnd"/>
      <w:r w:rsidR="009840AB" w:rsidRPr="006441CD">
        <w:rPr>
          <w:rFonts w:ascii="Times New Roman" w:hAnsi="Times New Roman" w:cs="Times New Roman"/>
          <w:sz w:val="24"/>
          <w:szCs w:val="24"/>
        </w:rPr>
        <w:t xml:space="preserve">.; K. Gruszecki, </w:t>
      </w:r>
      <w:r w:rsidR="009840AB" w:rsidRPr="006441CD">
        <w:rPr>
          <w:rFonts w:ascii="Times New Roman" w:hAnsi="Times New Roman" w:cs="Times New Roman"/>
          <w:i/>
          <w:sz w:val="24"/>
          <w:szCs w:val="24"/>
        </w:rPr>
        <w:t>Komentarz. Ustawa o ochronie przyrody</w:t>
      </w:r>
      <w:r w:rsidR="009840AB" w:rsidRPr="006441CD">
        <w:rPr>
          <w:rFonts w:ascii="Times New Roman" w:hAnsi="Times New Roman" w:cs="Times New Roman"/>
          <w:sz w:val="24"/>
          <w:szCs w:val="24"/>
        </w:rPr>
        <w:t>, Warszawa 2010, s. 142-207</w:t>
      </w:r>
      <w:r w:rsidR="00F24AB8">
        <w:rPr>
          <w:rFonts w:ascii="Times New Roman" w:hAnsi="Times New Roman" w:cs="Times New Roman"/>
          <w:sz w:val="24"/>
          <w:szCs w:val="24"/>
        </w:rPr>
        <w:t xml:space="preserve">; tenże, </w:t>
      </w:r>
      <w:r w:rsidR="00F24AB8" w:rsidRPr="00F24AB8">
        <w:rPr>
          <w:rFonts w:ascii="Times New Roman" w:hAnsi="Times New Roman" w:cs="Times New Roman"/>
          <w:i/>
          <w:sz w:val="24"/>
          <w:szCs w:val="24"/>
        </w:rPr>
        <w:t>Ograniczenia prawne w realizacji inwestycji w związku z wyznaczeniem obszarów Natura 2000</w:t>
      </w:r>
      <w:r w:rsidR="00F24AB8">
        <w:rPr>
          <w:rFonts w:ascii="Times New Roman" w:hAnsi="Times New Roman" w:cs="Times New Roman"/>
          <w:sz w:val="24"/>
          <w:szCs w:val="24"/>
        </w:rPr>
        <w:t>, „Zeszyty Naukowe Sądownictwa Administracyjnego” 2011, nr 2(35), s. 34 i nast.</w:t>
      </w:r>
      <w:r w:rsidR="009840AB" w:rsidRPr="006441CD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5">
    <w:p w:rsidR="001445DA" w:rsidRPr="006441CD" w:rsidRDefault="001445DA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Dz. U. z </w:t>
      </w:r>
      <w:r w:rsidR="006441CD" w:rsidRPr="006441CD">
        <w:rPr>
          <w:rFonts w:ascii="Times New Roman" w:hAnsi="Times New Roman" w:cs="Times New Roman"/>
          <w:sz w:val="24"/>
          <w:szCs w:val="24"/>
        </w:rPr>
        <w:t>2012 r.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, poz. 270, zwana dalej </w:t>
      </w:r>
      <w:proofErr w:type="spellStart"/>
      <w:r w:rsidR="00CB1DE8" w:rsidRPr="006441CD">
        <w:rPr>
          <w:rFonts w:ascii="Times New Roman" w:hAnsi="Times New Roman" w:cs="Times New Roman"/>
          <w:sz w:val="24"/>
          <w:szCs w:val="24"/>
        </w:rPr>
        <w:t>p.p.s.a</w:t>
      </w:r>
      <w:proofErr w:type="spellEnd"/>
      <w:r w:rsidR="00CB1DE8" w:rsidRPr="006441CD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1445DA" w:rsidRPr="006441CD" w:rsidRDefault="001445DA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Dz. U. z 2008 r. Nr 25, poz. 150 ze zm., zwana dalej </w:t>
      </w:r>
      <w:proofErr w:type="spellStart"/>
      <w:r w:rsidR="00CB1DE8" w:rsidRPr="006441CD">
        <w:rPr>
          <w:rFonts w:ascii="Times New Roman" w:hAnsi="Times New Roman" w:cs="Times New Roman"/>
          <w:sz w:val="24"/>
          <w:szCs w:val="24"/>
        </w:rPr>
        <w:t>p.o.ś</w:t>
      </w:r>
      <w:proofErr w:type="spellEnd"/>
      <w:r w:rsidR="00CB1DE8" w:rsidRPr="006441CD"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685BCF" w:rsidRPr="006441CD" w:rsidRDefault="00685BCF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Por. A. </w:t>
      </w:r>
      <w:proofErr w:type="spellStart"/>
      <w:r w:rsidR="00CB1DE8" w:rsidRPr="006441CD">
        <w:rPr>
          <w:rFonts w:ascii="Times New Roman" w:hAnsi="Times New Roman" w:cs="Times New Roman"/>
          <w:sz w:val="24"/>
          <w:szCs w:val="24"/>
        </w:rPr>
        <w:t>Kosieradzka-Federczyk</w:t>
      </w:r>
      <w:proofErr w:type="spellEnd"/>
      <w:r w:rsidR="00CB1DE8" w:rsidRPr="006441CD">
        <w:rPr>
          <w:rFonts w:ascii="Times New Roman" w:hAnsi="Times New Roman" w:cs="Times New Roman"/>
          <w:sz w:val="24"/>
          <w:szCs w:val="24"/>
        </w:rPr>
        <w:t xml:space="preserve">, </w:t>
      </w:r>
      <w:r w:rsidR="00CB1DE8" w:rsidRPr="006441CD">
        <w:rPr>
          <w:rFonts w:ascii="Times New Roman" w:hAnsi="Times New Roman" w:cs="Times New Roman"/>
          <w:i/>
          <w:sz w:val="24"/>
          <w:szCs w:val="24"/>
        </w:rPr>
        <w:t>Raport o oddziaływaniu przedsięwzięcia na środowisko w orzecznictwie sądów administracyjnych,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 „Zeszyty Naukowe Sądownictwa Administracyjnego” 2012, nr 1(40), s. 41 i nast.</w:t>
      </w:r>
      <w:r w:rsidR="006441CD" w:rsidRPr="006441CD">
        <w:rPr>
          <w:rFonts w:ascii="Times New Roman" w:hAnsi="Times New Roman" w:cs="Times New Roman"/>
          <w:sz w:val="24"/>
          <w:szCs w:val="24"/>
        </w:rPr>
        <w:t xml:space="preserve">; G. Dobrowolski, </w:t>
      </w:r>
      <w:r w:rsidR="006441CD" w:rsidRPr="006441CD">
        <w:rPr>
          <w:rFonts w:ascii="Times New Roman" w:hAnsi="Times New Roman" w:cs="Times New Roman"/>
          <w:i/>
          <w:sz w:val="24"/>
          <w:szCs w:val="24"/>
        </w:rPr>
        <w:t>Decyzja o środowiskowych uwarunkowaniach</w:t>
      </w:r>
      <w:r w:rsidR="006441CD" w:rsidRPr="006441CD">
        <w:rPr>
          <w:rFonts w:ascii="Times New Roman" w:hAnsi="Times New Roman" w:cs="Times New Roman"/>
          <w:sz w:val="24"/>
          <w:szCs w:val="24"/>
        </w:rPr>
        <w:t xml:space="preserve">, Warszawa 2010, s. 185-227; M. </w:t>
      </w:r>
      <w:proofErr w:type="spellStart"/>
      <w:r w:rsidR="006441CD" w:rsidRPr="006441CD">
        <w:rPr>
          <w:rFonts w:ascii="Times New Roman" w:hAnsi="Times New Roman" w:cs="Times New Roman"/>
          <w:sz w:val="24"/>
          <w:szCs w:val="24"/>
        </w:rPr>
        <w:t>Ebelt</w:t>
      </w:r>
      <w:proofErr w:type="spellEnd"/>
      <w:r w:rsidR="006441CD" w:rsidRPr="006441CD">
        <w:rPr>
          <w:rFonts w:ascii="Times New Roman" w:hAnsi="Times New Roman" w:cs="Times New Roman"/>
          <w:sz w:val="24"/>
          <w:szCs w:val="24"/>
        </w:rPr>
        <w:t xml:space="preserve">, </w:t>
      </w:r>
      <w:r w:rsidR="006441CD" w:rsidRPr="006441CD">
        <w:rPr>
          <w:rFonts w:ascii="Times New Roman" w:hAnsi="Times New Roman" w:cs="Times New Roman"/>
          <w:i/>
          <w:sz w:val="24"/>
          <w:szCs w:val="24"/>
        </w:rPr>
        <w:t>Realizacja inwestycji na obszarach Natura 2000,</w:t>
      </w:r>
      <w:r w:rsidR="006441CD" w:rsidRPr="006441CD">
        <w:rPr>
          <w:rFonts w:ascii="Times New Roman" w:hAnsi="Times New Roman" w:cs="Times New Roman"/>
          <w:sz w:val="24"/>
          <w:szCs w:val="24"/>
        </w:rPr>
        <w:t xml:space="preserve"> „Problemy Ocen Środowiskowych” 2006, nr 2. </w:t>
      </w:r>
    </w:p>
  </w:footnote>
  <w:footnote w:id="8">
    <w:p w:rsidR="00685BCF" w:rsidRPr="006441CD" w:rsidRDefault="00685BCF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Dz. U. Nr 199, poz. 1227 ze zm. oraz Z. Bukowski </w:t>
      </w:r>
      <w:r w:rsidR="00CB1DE8" w:rsidRPr="006441CD">
        <w:rPr>
          <w:rFonts w:ascii="Times New Roman" w:hAnsi="Times New Roman" w:cs="Times New Roman"/>
          <w:i/>
          <w:sz w:val="24"/>
          <w:szCs w:val="24"/>
        </w:rPr>
        <w:t>Postępowanie</w:t>
      </w:r>
      <w:r w:rsidRPr="006441CD">
        <w:rPr>
          <w:rFonts w:ascii="Times New Roman" w:hAnsi="Times New Roman" w:cs="Times New Roman"/>
          <w:i/>
          <w:sz w:val="24"/>
          <w:szCs w:val="24"/>
        </w:rPr>
        <w:t xml:space="preserve"> administracyjne w </w:t>
      </w:r>
      <w:r w:rsidR="00CB1DE8" w:rsidRPr="006441CD">
        <w:rPr>
          <w:rFonts w:ascii="Times New Roman" w:hAnsi="Times New Roman" w:cs="Times New Roman"/>
          <w:i/>
          <w:sz w:val="24"/>
          <w:szCs w:val="24"/>
        </w:rPr>
        <w:t>sprawach</w:t>
      </w:r>
      <w:r w:rsidRPr="006441CD">
        <w:rPr>
          <w:rFonts w:ascii="Times New Roman" w:hAnsi="Times New Roman" w:cs="Times New Roman"/>
          <w:i/>
          <w:sz w:val="24"/>
          <w:szCs w:val="24"/>
        </w:rPr>
        <w:t xml:space="preserve"> z zakresu ocen oddziaływania na środowisko, </w:t>
      </w:r>
      <w:r w:rsidRPr="006441CD">
        <w:rPr>
          <w:rFonts w:ascii="Times New Roman" w:hAnsi="Times New Roman" w:cs="Times New Roman"/>
          <w:sz w:val="24"/>
          <w:szCs w:val="24"/>
        </w:rPr>
        <w:t>Toruń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 - </w:t>
      </w:r>
      <w:r w:rsidRPr="006441CD">
        <w:rPr>
          <w:rFonts w:ascii="Times New Roman" w:hAnsi="Times New Roman" w:cs="Times New Roman"/>
          <w:sz w:val="24"/>
          <w:szCs w:val="24"/>
        </w:rPr>
        <w:t>Włocławek 2010, s</w:t>
      </w:r>
      <w:r w:rsidR="00CB1DE8" w:rsidRPr="006441CD">
        <w:rPr>
          <w:rFonts w:ascii="Times New Roman" w:hAnsi="Times New Roman" w:cs="Times New Roman"/>
          <w:sz w:val="24"/>
          <w:szCs w:val="24"/>
        </w:rPr>
        <w:t>.</w:t>
      </w:r>
      <w:r w:rsidRPr="006441CD">
        <w:rPr>
          <w:rFonts w:ascii="Times New Roman" w:hAnsi="Times New Roman" w:cs="Times New Roman"/>
          <w:sz w:val="24"/>
          <w:szCs w:val="24"/>
        </w:rPr>
        <w:t xml:space="preserve"> 185-207. </w:t>
      </w:r>
    </w:p>
  </w:footnote>
  <w:footnote w:id="9">
    <w:p w:rsidR="00935F5C" w:rsidRPr="006441CD" w:rsidRDefault="00935F5C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D. Dąbek, </w:t>
      </w:r>
      <w:r w:rsidR="00CB1DE8" w:rsidRPr="006441CD">
        <w:rPr>
          <w:rFonts w:ascii="Times New Roman" w:hAnsi="Times New Roman" w:cs="Times New Roman"/>
          <w:i/>
          <w:sz w:val="24"/>
          <w:szCs w:val="24"/>
        </w:rPr>
        <w:t>Prawo sędziowskie w polskim prawie administracyjnym,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 Warszawa 2010, s. 272-314; J. Stelmasiak, </w:t>
      </w:r>
      <w:r w:rsidR="00CB1DE8" w:rsidRPr="006441CD">
        <w:rPr>
          <w:rFonts w:ascii="Times New Roman" w:hAnsi="Times New Roman" w:cs="Times New Roman"/>
          <w:i/>
          <w:sz w:val="24"/>
          <w:szCs w:val="24"/>
        </w:rPr>
        <w:t xml:space="preserve">Rola sądów administracyjnych w sprawach ochrony środowiska, 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w: </w:t>
      </w:r>
      <w:r w:rsidR="00CB1DE8" w:rsidRPr="006441CD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="00CB1DE8" w:rsidRPr="006441CD">
        <w:rPr>
          <w:rFonts w:ascii="Times New Roman" w:hAnsi="Times New Roman" w:cs="Times New Roman"/>
          <w:sz w:val="24"/>
          <w:szCs w:val="24"/>
        </w:rPr>
        <w:t>, red. J. Stelmasiak, Warszawa 2010, s. 92-94.</w:t>
      </w:r>
    </w:p>
  </w:footnote>
  <w:footnote w:id="10">
    <w:p w:rsidR="00935F5C" w:rsidRPr="006441CD" w:rsidRDefault="00935F5C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CB1DE8" w:rsidRPr="006441CD">
        <w:rPr>
          <w:rFonts w:ascii="Times New Roman" w:hAnsi="Times New Roman" w:cs="Times New Roman"/>
          <w:sz w:val="24"/>
          <w:szCs w:val="24"/>
        </w:rPr>
        <w:t xml:space="preserve">B. Adamiak, J. Borkowski, </w:t>
      </w:r>
      <w:r w:rsidR="00CB1DE8" w:rsidRPr="006441CD">
        <w:rPr>
          <w:rFonts w:ascii="Times New Roman" w:hAnsi="Times New Roman" w:cs="Times New Roman"/>
          <w:i/>
          <w:sz w:val="24"/>
          <w:szCs w:val="24"/>
        </w:rPr>
        <w:t xml:space="preserve">Postępowanie administracyjne i </w:t>
      </w:r>
      <w:proofErr w:type="spellStart"/>
      <w:r w:rsidR="00CB1DE8" w:rsidRPr="006441CD">
        <w:rPr>
          <w:rFonts w:ascii="Times New Roman" w:hAnsi="Times New Roman" w:cs="Times New Roman"/>
          <w:i/>
          <w:sz w:val="24"/>
          <w:szCs w:val="24"/>
        </w:rPr>
        <w:t>sądowoadministracyjne</w:t>
      </w:r>
      <w:proofErr w:type="spellEnd"/>
      <w:r w:rsidR="00CB1DE8" w:rsidRPr="006441CD">
        <w:rPr>
          <w:rFonts w:ascii="Times New Roman" w:hAnsi="Times New Roman" w:cs="Times New Roman"/>
          <w:sz w:val="24"/>
          <w:szCs w:val="24"/>
        </w:rPr>
        <w:t>, wyd. 8, Warszawa 2010, s. 426-489.</w:t>
      </w:r>
    </w:p>
  </w:footnote>
  <w:footnote w:id="11">
    <w:p w:rsidR="00935F5C" w:rsidRPr="006441CD" w:rsidRDefault="00935F5C" w:rsidP="006C646A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1CD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6441CD">
        <w:rPr>
          <w:rFonts w:ascii="Times New Roman" w:hAnsi="Times New Roman" w:cs="Times New Roman"/>
          <w:sz w:val="24"/>
          <w:szCs w:val="24"/>
        </w:rPr>
        <w:t xml:space="preserve"> </w:t>
      </w:r>
      <w:r w:rsidR="00CB1DE8" w:rsidRPr="006441CD">
        <w:rPr>
          <w:rFonts w:ascii="Times New Roman" w:hAnsi="Times New Roman" w:cs="Times New Roman"/>
          <w:sz w:val="24"/>
          <w:szCs w:val="24"/>
        </w:rPr>
        <w:t>Ibidem, s. 360-367.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953592"/>
      <w:docPartObj>
        <w:docPartGallery w:val="Page Numbers (Top of Page)"/>
        <w:docPartUnique/>
      </w:docPartObj>
    </w:sdtPr>
    <w:sdtEndPr/>
    <w:sdtContent>
      <w:p w:rsidR="00CB1DE8" w:rsidRDefault="00CB1DE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B8">
          <w:rPr>
            <w:noProof/>
          </w:rPr>
          <w:t>9</w:t>
        </w:r>
        <w:r>
          <w:fldChar w:fldCharType="end"/>
        </w:r>
      </w:p>
    </w:sdtContent>
  </w:sdt>
  <w:p w:rsidR="00CB1DE8" w:rsidRDefault="00CB1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A38"/>
    <w:multiLevelType w:val="multilevel"/>
    <w:tmpl w:val="C600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445DA"/>
    <w:rsid w:val="001B32BE"/>
    <w:rsid w:val="00296D18"/>
    <w:rsid w:val="003651B9"/>
    <w:rsid w:val="003804E2"/>
    <w:rsid w:val="003A06EC"/>
    <w:rsid w:val="00516B5F"/>
    <w:rsid w:val="006049A4"/>
    <w:rsid w:val="0061407E"/>
    <w:rsid w:val="006441CD"/>
    <w:rsid w:val="0065424E"/>
    <w:rsid w:val="00672833"/>
    <w:rsid w:val="00685BCF"/>
    <w:rsid w:val="006C646A"/>
    <w:rsid w:val="00723DC9"/>
    <w:rsid w:val="007329E2"/>
    <w:rsid w:val="007C42D0"/>
    <w:rsid w:val="007E5980"/>
    <w:rsid w:val="0089671C"/>
    <w:rsid w:val="008F4B86"/>
    <w:rsid w:val="00935F5C"/>
    <w:rsid w:val="009840AB"/>
    <w:rsid w:val="009F5605"/>
    <w:rsid w:val="00AA202B"/>
    <w:rsid w:val="00AE4DEC"/>
    <w:rsid w:val="00B254D1"/>
    <w:rsid w:val="00B93EEC"/>
    <w:rsid w:val="00BA2162"/>
    <w:rsid w:val="00BA3CFD"/>
    <w:rsid w:val="00C710C5"/>
    <w:rsid w:val="00CB1DE8"/>
    <w:rsid w:val="00D161B3"/>
    <w:rsid w:val="00D82292"/>
    <w:rsid w:val="00D92056"/>
    <w:rsid w:val="00DA4F65"/>
    <w:rsid w:val="00DD5D09"/>
    <w:rsid w:val="00F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DE8"/>
  </w:style>
  <w:style w:type="paragraph" w:styleId="Stopka">
    <w:name w:val="footer"/>
    <w:basedOn w:val="Normalny"/>
    <w:link w:val="StopkaZnak"/>
    <w:uiPriority w:val="99"/>
    <w:unhideWhenUsed/>
    <w:rsid w:val="00CB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DE8"/>
  </w:style>
  <w:style w:type="paragraph" w:styleId="Stopka">
    <w:name w:val="footer"/>
    <w:basedOn w:val="Normalny"/>
    <w:link w:val="StopkaZnak"/>
    <w:uiPriority w:val="99"/>
    <w:unhideWhenUsed/>
    <w:rsid w:val="00CB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0D4D-87D3-4590-B38D-D8A1AF5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2859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keywords>CreatedByIRIS_DPE_12.03</cp:keywords>
  <cp:lastModifiedBy>irena</cp:lastModifiedBy>
  <cp:revision>13</cp:revision>
  <cp:lastPrinted>2013-02-28T08:49:00Z</cp:lastPrinted>
  <dcterms:created xsi:type="dcterms:W3CDTF">2013-02-27T07:13:00Z</dcterms:created>
  <dcterms:modified xsi:type="dcterms:W3CDTF">2013-02-28T11:27:00Z</dcterms:modified>
</cp:coreProperties>
</file>