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FB" w:rsidRPr="00134AD4" w:rsidRDefault="00F532FB" w:rsidP="00F532FB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:rsidR="00F532FB" w:rsidRPr="00134AD4" w:rsidRDefault="00F532FB" w:rsidP="00F532FB">
      <w:pPr>
        <w:rPr>
          <w:rFonts w:asciiTheme="majorHAnsi" w:hAnsiTheme="majorHAnsi" w:cs="Arial"/>
          <w:sz w:val="22"/>
          <w:szCs w:val="22"/>
        </w:rPr>
      </w:pPr>
    </w:p>
    <w:p w:rsidR="00F532FB" w:rsidRPr="00134AD4" w:rsidRDefault="00F532FB" w:rsidP="00F532FB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Prowadzący: </w:t>
      </w:r>
      <w:r>
        <w:rPr>
          <w:rFonts w:asciiTheme="majorHAnsi" w:hAnsiTheme="majorHAnsi" w:cs="Arial"/>
          <w:b/>
          <w:sz w:val="22"/>
          <w:szCs w:val="22"/>
        </w:rPr>
        <w:t>dr Małgorzata Kamieniecka</w:t>
      </w:r>
    </w:p>
    <w:p w:rsidR="00F532FB" w:rsidRPr="00BC6821" w:rsidRDefault="00F532FB" w:rsidP="00F532FB">
      <w:pPr>
        <w:rPr>
          <w:rFonts w:asciiTheme="majorHAnsi" w:hAnsiTheme="majorHAnsi" w:cs="Arial"/>
          <w:sz w:val="22"/>
          <w:szCs w:val="22"/>
        </w:rPr>
      </w:pPr>
    </w:p>
    <w:p w:rsidR="00F532FB" w:rsidRPr="00134AD4" w:rsidRDefault="00F532FB" w:rsidP="00F532FB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>
        <w:rPr>
          <w:rFonts w:asciiTheme="majorHAnsi" w:hAnsiTheme="majorHAnsi" w:cs="Arial"/>
          <w:b/>
          <w:sz w:val="22"/>
          <w:szCs w:val="22"/>
        </w:rPr>
        <w:t>Finanse i rachunkowość</w:t>
      </w:r>
    </w:p>
    <w:p w:rsidR="00F532FB" w:rsidRPr="00134AD4" w:rsidRDefault="00F532FB" w:rsidP="00F532FB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Studia </w:t>
      </w:r>
      <w:r w:rsidRPr="00F532FB">
        <w:rPr>
          <w:rFonts w:asciiTheme="majorHAnsi" w:hAnsiTheme="majorHAnsi" w:cs="Arial"/>
          <w:sz w:val="22"/>
          <w:szCs w:val="22"/>
          <w:u w:val="single"/>
        </w:rPr>
        <w:t>niestacjonarne</w:t>
      </w:r>
    </w:p>
    <w:p w:rsidR="00F532FB" w:rsidRDefault="00F532FB" w:rsidP="00F532FB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Seminarium </w:t>
      </w:r>
      <w:r w:rsidRPr="00BC6821">
        <w:rPr>
          <w:rFonts w:asciiTheme="majorHAnsi" w:hAnsiTheme="majorHAnsi" w:cs="Arial"/>
          <w:sz w:val="22"/>
          <w:szCs w:val="22"/>
          <w:u w:val="single"/>
        </w:rPr>
        <w:t>magisterskie</w:t>
      </w:r>
    </w:p>
    <w:p w:rsidR="00F532FB" w:rsidRPr="00F532FB" w:rsidRDefault="00F532FB" w:rsidP="00F532FB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r w:rsidRPr="00BC6821">
        <w:rPr>
          <w:rFonts w:asciiTheme="majorHAnsi" w:hAnsiTheme="majorHAnsi" w:cs="Arial"/>
          <w:sz w:val="22"/>
          <w:szCs w:val="22"/>
          <w:u w:val="single"/>
        </w:rPr>
        <w:t>I</w:t>
      </w:r>
      <w:bookmarkStart w:id="0" w:name="_GoBack"/>
      <w:bookmarkEnd w:id="0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F532FB" w:rsidRPr="00134AD4" w:rsidTr="00C8258C">
        <w:tc>
          <w:tcPr>
            <w:tcW w:w="9180" w:type="dxa"/>
            <w:gridSpan w:val="2"/>
          </w:tcPr>
          <w:p w:rsidR="00F532FB" w:rsidRPr="00134AD4" w:rsidRDefault="00F532FB" w:rsidP="00C8258C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F532FB" w:rsidRPr="00134AD4" w:rsidTr="00C8258C">
        <w:tc>
          <w:tcPr>
            <w:tcW w:w="578" w:type="dxa"/>
          </w:tcPr>
          <w:p w:rsidR="00F532FB" w:rsidRPr="00134AD4" w:rsidRDefault="00F532FB" w:rsidP="00C8258C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602" w:type="dxa"/>
          </w:tcPr>
          <w:p w:rsidR="00F532FB" w:rsidRPr="0045186E" w:rsidRDefault="00F532FB" w:rsidP="0045186E">
            <w:pPr>
              <w:spacing w:line="276" w:lineRule="auto"/>
              <w:rPr>
                <w:sz w:val="20"/>
                <w:szCs w:val="20"/>
              </w:rPr>
            </w:pPr>
            <w:r w:rsidRPr="00176B23">
              <w:rPr>
                <w:b/>
                <w:sz w:val="20"/>
                <w:szCs w:val="20"/>
              </w:rPr>
              <w:t xml:space="preserve">Zagadnienia z zakresu rachunkowości finansowej, np.: </w:t>
            </w:r>
            <w:r w:rsidRPr="00176B23">
              <w:rPr>
                <w:sz w:val="20"/>
                <w:szCs w:val="20"/>
              </w:rPr>
              <w:t>dokum</w:t>
            </w:r>
            <w:r w:rsidR="0045186E">
              <w:rPr>
                <w:sz w:val="20"/>
                <w:szCs w:val="20"/>
              </w:rPr>
              <w:t>entacja i ewidencja wynagrodzeń</w:t>
            </w:r>
            <w:r w:rsidR="0045186E">
              <w:rPr>
                <w:sz w:val="20"/>
                <w:szCs w:val="20"/>
              </w:rPr>
              <w:br/>
            </w:r>
            <w:r w:rsidRPr="00176B23">
              <w:rPr>
                <w:sz w:val="20"/>
                <w:szCs w:val="20"/>
              </w:rPr>
              <w:t>w danej branży/przedsiębiorstwie,</w:t>
            </w:r>
            <w:r w:rsidRPr="00176B23">
              <w:rPr>
                <w:b/>
                <w:sz w:val="20"/>
                <w:szCs w:val="20"/>
              </w:rPr>
              <w:t xml:space="preserve"> </w:t>
            </w:r>
            <w:r w:rsidRPr="00176B23">
              <w:rPr>
                <w:sz w:val="20"/>
                <w:szCs w:val="20"/>
              </w:rPr>
              <w:t>pozapłacowe koszty pracy,</w:t>
            </w:r>
            <w:r w:rsidRPr="00176B23">
              <w:rPr>
                <w:b/>
                <w:sz w:val="20"/>
                <w:szCs w:val="20"/>
              </w:rPr>
              <w:t xml:space="preserve"> </w:t>
            </w:r>
            <w:r w:rsidRPr="00176B23">
              <w:rPr>
                <w:sz w:val="20"/>
                <w:szCs w:val="20"/>
              </w:rPr>
              <w:t>amortyzacja środków trwałych i wartości niematerialnych i prawnych,</w:t>
            </w:r>
            <w:r w:rsidRPr="00176B23">
              <w:rPr>
                <w:b/>
                <w:sz w:val="20"/>
                <w:szCs w:val="20"/>
              </w:rPr>
              <w:t xml:space="preserve"> </w:t>
            </w:r>
            <w:r w:rsidRPr="00176B23">
              <w:rPr>
                <w:sz w:val="20"/>
                <w:szCs w:val="20"/>
              </w:rPr>
              <w:t>utrata wartości aktywów,</w:t>
            </w:r>
            <w:r w:rsidRPr="00176B23">
              <w:rPr>
                <w:b/>
                <w:sz w:val="20"/>
                <w:szCs w:val="20"/>
              </w:rPr>
              <w:t xml:space="preserve"> </w:t>
            </w:r>
            <w:r w:rsidRPr="00176B23">
              <w:rPr>
                <w:sz w:val="20"/>
                <w:szCs w:val="20"/>
              </w:rPr>
              <w:t>rozrachunki publiczno-prawne – ujęcie rachunkowe (np. VAT, akcyza, cło w rachunkowości), obrót materiałowy, towarowy, wycena, prezentacja i ewidencja poszczególnych grup składników</w:t>
            </w:r>
            <w:r w:rsidR="0045186E">
              <w:rPr>
                <w:sz w:val="20"/>
                <w:szCs w:val="20"/>
              </w:rPr>
              <w:t xml:space="preserve"> majątkowych (inwestycji krótko</w:t>
            </w:r>
            <w:r w:rsidR="0045186E">
              <w:rPr>
                <w:sz w:val="20"/>
                <w:szCs w:val="20"/>
              </w:rPr>
              <w:br/>
            </w:r>
            <w:r w:rsidRPr="00176B23">
              <w:rPr>
                <w:sz w:val="20"/>
                <w:szCs w:val="20"/>
              </w:rPr>
              <w:t>i długoterminowych, wyrobów, usług długoterminowych, towarów, środków trwałych, wartości niematerialnych i prawnych, rezerw, rozliczeń międzyokresowych, itp.);</w:t>
            </w:r>
          </w:p>
        </w:tc>
      </w:tr>
      <w:tr w:rsidR="00F532FB" w:rsidRPr="00134AD4" w:rsidTr="00C8258C">
        <w:tc>
          <w:tcPr>
            <w:tcW w:w="578" w:type="dxa"/>
          </w:tcPr>
          <w:p w:rsidR="00F532FB" w:rsidRPr="00134AD4" w:rsidRDefault="00F532FB" w:rsidP="00C8258C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602" w:type="dxa"/>
          </w:tcPr>
          <w:p w:rsidR="00F532FB" w:rsidRPr="00176B23" w:rsidRDefault="00F532FB" w:rsidP="0045186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76B23">
              <w:rPr>
                <w:rFonts w:asciiTheme="majorHAnsi" w:hAnsiTheme="majorHAnsi" w:cs="Arial"/>
                <w:b/>
                <w:sz w:val="20"/>
                <w:szCs w:val="20"/>
              </w:rPr>
              <w:t>Zagadnienia z zakresu rachunkowości podatku dochodowego, np.:</w:t>
            </w:r>
            <w:r w:rsidRPr="00176B23">
              <w:rPr>
                <w:rFonts w:asciiTheme="majorHAnsi" w:hAnsiTheme="majorHAnsi" w:cs="Arial"/>
                <w:sz w:val="20"/>
                <w:szCs w:val="20"/>
              </w:rPr>
              <w:t xml:space="preserve"> prz</w:t>
            </w:r>
            <w:r w:rsidR="0045186E">
              <w:rPr>
                <w:rFonts w:asciiTheme="majorHAnsi" w:hAnsiTheme="majorHAnsi" w:cs="Arial"/>
                <w:sz w:val="20"/>
                <w:szCs w:val="20"/>
              </w:rPr>
              <w:t>ychody i koszty</w:t>
            </w:r>
            <w:r w:rsidR="0045186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176B23">
              <w:rPr>
                <w:rFonts w:asciiTheme="majorHAnsi" w:hAnsiTheme="majorHAnsi" w:cs="Arial"/>
                <w:sz w:val="20"/>
                <w:szCs w:val="20"/>
              </w:rPr>
              <w:t>w prawie podatkowym i bilansowym – m.in. podobieństwa i różnice (różnice trwałe i przejściowe, itp.), odroczony podatek dochodowy jako szczególny i</w:t>
            </w:r>
            <w:r w:rsidR="0045186E">
              <w:rPr>
                <w:rFonts w:asciiTheme="majorHAnsi" w:hAnsiTheme="majorHAnsi" w:cs="Arial"/>
                <w:sz w:val="20"/>
                <w:szCs w:val="20"/>
              </w:rPr>
              <w:t>nstrument rachunkowości, aktywa</w:t>
            </w:r>
            <w:r w:rsidR="0045186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176B23">
              <w:rPr>
                <w:rFonts w:asciiTheme="majorHAnsi" w:hAnsiTheme="majorHAnsi" w:cs="Arial"/>
                <w:sz w:val="20"/>
                <w:szCs w:val="20"/>
              </w:rPr>
              <w:t>i rezerwy na odroczony podatek dochodowy, wycena i prezentacja skutków różnic przejściowych w sprawozdaniu, itp., ujęcie różnych grup składników maj</w:t>
            </w:r>
            <w:r w:rsidR="0045186E">
              <w:rPr>
                <w:rFonts w:asciiTheme="majorHAnsi" w:hAnsiTheme="majorHAnsi" w:cs="Arial"/>
                <w:sz w:val="20"/>
                <w:szCs w:val="20"/>
              </w:rPr>
              <w:t>ątkowych/operacji gospodarczych</w:t>
            </w:r>
            <w:r w:rsidR="0045186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176B23">
              <w:rPr>
                <w:rFonts w:asciiTheme="majorHAnsi" w:hAnsiTheme="majorHAnsi" w:cs="Arial"/>
                <w:sz w:val="20"/>
                <w:szCs w:val="20"/>
              </w:rPr>
              <w:t>w prawie podatkowym i bilansowym (np.: amortyzacja</w:t>
            </w:r>
            <w:r w:rsidR="0045186E">
              <w:rPr>
                <w:rFonts w:asciiTheme="majorHAnsi" w:hAnsiTheme="majorHAnsi" w:cs="Arial"/>
                <w:sz w:val="20"/>
                <w:szCs w:val="20"/>
              </w:rPr>
              <w:t xml:space="preserve"> bilansowa a podatkowa, rezerwy</w:t>
            </w:r>
            <w:r w:rsidR="0045186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176B23">
              <w:rPr>
                <w:rFonts w:asciiTheme="majorHAnsi" w:hAnsiTheme="majorHAnsi" w:cs="Arial"/>
                <w:sz w:val="20"/>
                <w:szCs w:val="20"/>
              </w:rPr>
              <w:t>w rachunkowości i podatkach, należności podatkowo i bilansowo, różnice kursowe, itp.);</w:t>
            </w:r>
          </w:p>
        </w:tc>
      </w:tr>
      <w:tr w:rsidR="00F532FB" w:rsidRPr="00134AD4" w:rsidTr="00C8258C">
        <w:tc>
          <w:tcPr>
            <w:tcW w:w="578" w:type="dxa"/>
          </w:tcPr>
          <w:p w:rsidR="00F532FB" w:rsidRPr="00134AD4" w:rsidRDefault="00F532FB" w:rsidP="00C8258C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602" w:type="dxa"/>
          </w:tcPr>
          <w:p w:rsidR="00F532FB" w:rsidRPr="00176B23" w:rsidRDefault="00F532FB" w:rsidP="0045186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76B23">
              <w:rPr>
                <w:rFonts w:asciiTheme="majorHAnsi" w:hAnsiTheme="majorHAnsi" w:cs="Arial"/>
                <w:b/>
                <w:sz w:val="20"/>
                <w:szCs w:val="20"/>
              </w:rPr>
              <w:t>Zagadnienia z zakresu sprawozdawczości, np.:</w:t>
            </w:r>
            <w:r w:rsidRPr="00176B23">
              <w:rPr>
                <w:rFonts w:asciiTheme="majorHAnsi" w:hAnsiTheme="majorHAnsi" w:cs="Arial"/>
                <w:sz w:val="20"/>
                <w:szCs w:val="20"/>
              </w:rPr>
              <w:t xml:space="preserve"> zasady sporządzania sprawozdań finansowych (zagadnienia ogólne  i szczegółowe, np. ewolucja sprawozdawczości w aspekcie historycznym, biznesowe podejście do sprawozdania finansowego,  sprawozdawczość w warunkach kryzysu gospodarczego, sprawozdanie przy braku kontynuacji działalności, itp.), zagadnienia z obszaru polityki rachunkowości i jej wpływu na płynność, rentowność jednostki, wpływ zmian regulacji prawnych na sprawozdania finansowe polskich firm, konc</w:t>
            </w:r>
            <w:r w:rsidR="0045186E">
              <w:rPr>
                <w:rFonts w:asciiTheme="majorHAnsi" w:hAnsiTheme="majorHAnsi" w:cs="Arial"/>
                <w:sz w:val="20"/>
                <w:szCs w:val="20"/>
              </w:rPr>
              <w:t>epcje wyceny majątku a rzetelny</w:t>
            </w:r>
            <w:r w:rsidR="0045186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176B23">
              <w:rPr>
                <w:rFonts w:asciiTheme="majorHAnsi" w:hAnsiTheme="majorHAnsi" w:cs="Arial"/>
                <w:sz w:val="20"/>
                <w:szCs w:val="20"/>
              </w:rPr>
              <w:t>i wierny obraz majątku firmy, zagadnienia oszustw księgowych i rachunkowości kreatywnej, kategorie kształtujące wynik finansowy (analiza przychodów, kosztów), itp.</w:t>
            </w:r>
          </w:p>
        </w:tc>
      </w:tr>
      <w:tr w:rsidR="00F532FB" w:rsidRPr="00134AD4" w:rsidTr="00C8258C">
        <w:tc>
          <w:tcPr>
            <w:tcW w:w="578" w:type="dxa"/>
          </w:tcPr>
          <w:p w:rsidR="00F532FB" w:rsidRPr="00134AD4" w:rsidRDefault="00F532FB" w:rsidP="00C8258C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8602" w:type="dxa"/>
          </w:tcPr>
          <w:p w:rsidR="00F532FB" w:rsidRPr="00176B23" w:rsidRDefault="00F532FB" w:rsidP="0045186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76B23">
              <w:rPr>
                <w:rFonts w:asciiTheme="majorHAnsi" w:hAnsiTheme="majorHAnsi" w:cs="Arial"/>
                <w:b/>
                <w:sz w:val="20"/>
                <w:szCs w:val="20"/>
              </w:rPr>
              <w:t>Zagadnienia z zakresu rachunkowości międzynarodowej, np.:</w:t>
            </w:r>
            <w:r w:rsidR="0045186E">
              <w:rPr>
                <w:rFonts w:asciiTheme="majorHAnsi" w:hAnsiTheme="majorHAnsi" w:cs="Arial"/>
                <w:sz w:val="20"/>
                <w:szCs w:val="20"/>
              </w:rPr>
              <w:t xml:space="preserve"> harmonizacja rachunkowości</w:t>
            </w:r>
            <w:r w:rsidR="0045186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176B23">
              <w:rPr>
                <w:rFonts w:asciiTheme="majorHAnsi" w:hAnsiTheme="majorHAnsi" w:cs="Arial"/>
                <w:sz w:val="20"/>
                <w:szCs w:val="20"/>
              </w:rPr>
              <w:t xml:space="preserve">w Europie i na arenie międzynarodowej (np.: rola i ewolucja </w:t>
            </w:r>
            <w:r w:rsidR="0045186E">
              <w:rPr>
                <w:rFonts w:asciiTheme="majorHAnsi" w:hAnsiTheme="majorHAnsi" w:cs="Arial"/>
                <w:sz w:val="20"/>
                <w:szCs w:val="20"/>
              </w:rPr>
              <w:t>IASB, Dyrektyw UE, regionalnych</w:t>
            </w:r>
            <w:r w:rsidR="0045186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176B23">
              <w:rPr>
                <w:rFonts w:asciiTheme="majorHAnsi" w:hAnsiTheme="majorHAnsi" w:cs="Arial"/>
                <w:sz w:val="20"/>
                <w:szCs w:val="20"/>
              </w:rPr>
              <w:t>i krajowych organizacji profesjonalnych, itp.), charak</w:t>
            </w:r>
            <w:r w:rsidR="0045186E">
              <w:rPr>
                <w:rFonts w:asciiTheme="majorHAnsi" w:hAnsiTheme="majorHAnsi" w:cs="Arial"/>
                <w:sz w:val="20"/>
                <w:szCs w:val="20"/>
              </w:rPr>
              <w:t>terystyka systemu rachunkowości</w:t>
            </w:r>
            <w:r w:rsidR="0045186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176B23">
              <w:rPr>
                <w:rFonts w:asciiTheme="majorHAnsi" w:hAnsiTheme="majorHAnsi" w:cs="Arial"/>
                <w:sz w:val="20"/>
                <w:szCs w:val="20"/>
              </w:rPr>
              <w:t>w wybranym kraju, ujęcie, prezentacja i wycena składników majątkowych w sprawozdaniu finansowym sporządzanym wg ustawy o rachunkowości i</w:t>
            </w:r>
            <w:r w:rsidR="0045186E">
              <w:rPr>
                <w:rFonts w:asciiTheme="majorHAnsi" w:hAnsiTheme="majorHAnsi" w:cs="Arial"/>
                <w:sz w:val="20"/>
                <w:szCs w:val="20"/>
              </w:rPr>
              <w:t xml:space="preserve"> MSR/MSSF – analiza porównawcza</w:t>
            </w:r>
            <w:r w:rsidR="0045186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176B23">
              <w:rPr>
                <w:rFonts w:asciiTheme="majorHAnsi" w:hAnsiTheme="majorHAnsi" w:cs="Arial"/>
                <w:sz w:val="20"/>
                <w:szCs w:val="20"/>
              </w:rPr>
              <w:t>(np.: rezerwy, rozliczenia międzyokresowe, podatek dochodowy, zapasy, środki trwałe, wartości niematerialne i prawne, itp.), prezentacja i ocena sprawozdania finansowego sporz</w:t>
            </w:r>
            <w:r w:rsidR="0045186E">
              <w:rPr>
                <w:rFonts w:asciiTheme="majorHAnsi" w:hAnsiTheme="majorHAnsi" w:cs="Arial"/>
                <w:sz w:val="20"/>
                <w:szCs w:val="20"/>
              </w:rPr>
              <w:t>ądzonego</w:t>
            </w:r>
            <w:r w:rsidR="0045186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176B23">
              <w:rPr>
                <w:rFonts w:asciiTheme="majorHAnsi" w:hAnsiTheme="majorHAnsi" w:cs="Arial"/>
                <w:sz w:val="20"/>
                <w:szCs w:val="20"/>
              </w:rPr>
              <w:t>wg MSR/MSSF (np.: ocena sprawozdania finansowe wg MSR/MSSF jako źródła informacji dla inwestora, itp.).</w:t>
            </w:r>
          </w:p>
        </w:tc>
      </w:tr>
      <w:tr w:rsidR="00F532FB" w:rsidRPr="00134AD4" w:rsidTr="00C8258C">
        <w:tc>
          <w:tcPr>
            <w:tcW w:w="578" w:type="dxa"/>
          </w:tcPr>
          <w:p w:rsidR="00F532FB" w:rsidRPr="00134AD4" w:rsidRDefault="00F532FB" w:rsidP="00C8258C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5.</w:t>
            </w:r>
          </w:p>
        </w:tc>
        <w:tc>
          <w:tcPr>
            <w:tcW w:w="8602" w:type="dxa"/>
          </w:tcPr>
          <w:p w:rsidR="00F532FB" w:rsidRPr="00176B23" w:rsidRDefault="00F532FB" w:rsidP="0045186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76B23">
              <w:rPr>
                <w:rFonts w:asciiTheme="majorHAnsi" w:hAnsiTheme="majorHAnsi" w:cs="Arial"/>
                <w:b/>
                <w:sz w:val="20"/>
                <w:szCs w:val="20"/>
              </w:rPr>
              <w:t>Inne, interesujące Studenta tematy z zakresu rachunkowości</w:t>
            </w:r>
            <w:r w:rsidRPr="00176B23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</w:tbl>
    <w:p w:rsidR="00F532FB" w:rsidRDefault="00F532FB" w:rsidP="00F532FB">
      <w:pPr>
        <w:rPr>
          <w:rFonts w:asciiTheme="majorHAnsi" w:hAnsiTheme="majorHAnsi" w:cs="Arial"/>
          <w:sz w:val="24"/>
        </w:rPr>
      </w:pPr>
      <w:r w:rsidRPr="00134AD4">
        <w:rPr>
          <w:rFonts w:asciiTheme="majorHAnsi" w:hAnsiTheme="majorHAnsi" w:cs="Arial"/>
          <w:sz w:val="24"/>
        </w:rPr>
        <w:t xml:space="preserve">*właściwe podkreślić </w:t>
      </w:r>
    </w:p>
    <w:p w:rsidR="006858AE" w:rsidRPr="00F532FB" w:rsidRDefault="00F532FB" w:rsidP="00F532FB">
      <w:pPr>
        <w:jc w:val="center"/>
        <w:rPr>
          <w:rFonts w:ascii="Arial" w:hAnsi="Arial" w:cs="Arial"/>
          <w:sz w:val="22"/>
          <w:szCs w:val="22"/>
        </w:rPr>
      </w:pPr>
      <w:r w:rsidRPr="006858AE">
        <w:rPr>
          <w:rFonts w:asciiTheme="majorHAnsi" w:hAnsiTheme="majorHAnsi" w:cs="Arial"/>
          <w:b/>
          <w:sz w:val="24"/>
        </w:rPr>
        <w:t>Uwagi:</w:t>
      </w:r>
      <w:r w:rsidRPr="00176B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Zapraszam na moje seminarium szczególnie tych Studentów, którzy są zainteresowani wyborem specjalności </w:t>
      </w:r>
      <w:r w:rsidRPr="0045186E">
        <w:rPr>
          <w:rFonts w:ascii="Arial" w:hAnsi="Arial" w:cs="Arial"/>
          <w:b/>
          <w:sz w:val="22"/>
          <w:szCs w:val="22"/>
        </w:rPr>
        <w:t>Audyt i rachunkowość zarządcza</w:t>
      </w:r>
      <w:r>
        <w:rPr>
          <w:rFonts w:ascii="Arial" w:hAnsi="Arial" w:cs="Arial"/>
          <w:sz w:val="22"/>
          <w:szCs w:val="22"/>
        </w:rPr>
        <w:t xml:space="preserve">. W razie potrzeby rozmowy przed ostatecznym zapisem na seminarium przez system USOS zapraszam na konsultacje.  </w:t>
      </w:r>
    </w:p>
    <w:sectPr w:rsidR="006858AE" w:rsidRPr="00F532FB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5160D"/>
    <w:multiLevelType w:val="hybridMultilevel"/>
    <w:tmpl w:val="6064575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134AD4"/>
    <w:rsid w:val="0014358E"/>
    <w:rsid w:val="00176B23"/>
    <w:rsid w:val="00263F63"/>
    <w:rsid w:val="002A39D1"/>
    <w:rsid w:val="0045101D"/>
    <w:rsid w:val="0045186E"/>
    <w:rsid w:val="00470AA4"/>
    <w:rsid w:val="004B3E39"/>
    <w:rsid w:val="006858AE"/>
    <w:rsid w:val="006B198D"/>
    <w:rsid w:val="00752A01"/>
    <w:rsid w:val="008B56C8"/>
    <w:rsid w:val="00A33E4C"/>
    <w:rsid w:val="00A935C3"/>
    <w:rsid w:val="00AB5F6E"/>
    <w:rsid w:val="00BC6821"/>
    <w:rsid w:val="00DA5C23"/>
    <w:rsid w:val="00EA38B0"/>
    <w:rsid w:val="00EF24B9"/>
    <w:rsid w:val="00F53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3</cp:revision>
  <dcterms:created xsi:type="dcterms:W3CDTF">2018-02-07T07:01:00Z</dcterms:created>
  <dcterms:modified xsi:type="dcterms:W3CDTF">2018-02-07T07:01:00Z</dcterms:modified>
</cp:coreProperties>
</file>