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A" w:rsidRDefault="001E0A2A" w:rsidP="001E0A2A">
      <w:pPr>
        <w:tabs>
          <w:tab w:val="right" w:pos="9072"/>
        </w:tabs>
        <w:ind w:firstLine="0"/>
      </w:pPr>
      <w:r>
        <w:t>mgr Paulina Taszłow</w:t>
      </w:r>
      <w:r>
        <w:tab/>
        <w:t xml:space="preserve">Lublin, </w:t>
      </w:r>
      <w:r w:rsidR="00370D3C">
        <w:t>25</w:t>
      </w:r>
      <w:r>
        <w:t>.04.2017</w:t>
      </w:r>
    </w:p>
    <w:p w:rsidR="001E0A2A" w:rsidRDefault="001E0A2A" w:rsidP="001E0A2A">
      <w:pPr>
        <w:ind w:firstLine="0"/>
      </w:pPr>
      <w:r>
        <w:t>Zakład Immunobiologii</w:t>
      </w:r>
    </w:p>
    <w:p w:rsidR="001E0A2A" w:rsidRDefault="001E0A2A" w:rsidP="001E0A2A">
      <w:pPr>
        <w:ind w:firstLine="0"/>
      </w:pPr>
      <w:r>
        <w:t>Instytut Biologii i Biochemii</w:t>
      </w:r>
    </w:p>
    <w:p w:rsidR="001E0A2A" w:rsidRDefault="001E0A2A" w:rsidP="001E0A2A">
      <w:pPr>
        <w:ind w:firstLine="0"/>
      </w:pPr>
      <w:r>
        <w:t>Wydział Biologii i Biotechnologii</w:t>
      </w:r>
    </w:p>
    <w:p w:rsidR="001E0A2A" w:rsidRDefault="001E0A2A" w:rsidP="001E0A2A">
      <w:pPr>
        <w:ind w:firstLine="0"/>
      </w:pPr>
      <w:r>
        <w:t>Uniwersytet Marii Curie-Skłodowskiej w Lublinie</w:t>
      </w:r>
    </w:p>
    <w:p w:rsidR="001E0A2A" w:rsidRDefault="001E0A2A" w:rsidP="001E0A2A">
      <w:pPr>
        <w:ind w:firstLine="0"/>
      </w:pPr>
    </w:p>
    <w:p w:rsidR="001E0A2A" w:rsidRDefault="001E0A2A" w:rsidP="001E0A2A">
      <w:pPr>
        <w:ind w:firstLine="0"/>
      </w:pPr>
    </w:p>
    <w:p w:rsidR="001E0A2A" w:rsidRPr="00A4760A" w:rsidRDefault="001E0A2A" w:rsidP="001E0A2A">
      <w:pPr>
        <w:ind w:firstLine="0"/>
        <w:jc w:val="center"/>
        <w:outlineLvl w:val="0"/>
        <w:rPr>
          <w:b/>
          <w:i/>
          <w:szCs w:val="26"/>
        </w:rPr>
      </w:pPr>
      <w:r w:rsidRPr="00A4760A">
        <w:rPr>
          <w:b/>
          <w:szCs w:val="26"/>
        </w:rPr>
        <w:t>Modulacja humoralnej odpowiedzi immunologicznej barciaka większego (</w:t>
      </w:r>
      <w:r w:rsidRPr="00A4760A">
        <w:rPr>
          <w:b/>
          <w:i/>
          <w:szCs w:val="26"/>
        </w:rPr>
        <w:t>Galleria mellonella</w:t>
      </w:r>
      <w:r w:rsidRPr="00A4760A">
        <w:rPr>
          <w:b/>
          <w:szCs w:val="26"/>
        </w:rPr>
        <w:t xml:space="preserve">) w przebiegu zakażenia bakteriami </w:t>
      </w:r>
      <w:r w:rsidRPr="00A4760A">
        <w:rPr>
          <w:b/>
          <w:i/>
          <w:szCs w:val="26"/>
        </w:rPr>
        <w:t>Bacillus thuringiensis</w:t>
      </w:r>
    </w:p>
    <w:p w:rsidR="001E0A2A" w:rsidRPr="004C5C5B" w:rsidRDefault="001E0A2A" w:rsidP="001E0A2A">
      <w:pPr>
        <w:ind w:firstLine="0"/>
        <w:jc w:val="center"/>
        <w:outlineLvl w:val="0"/>
        <w:rPr>
          <w:sz w:val="22"/>
          <w:lang w:val="en-US"/>
        </w:rPr>
      </w:pPr>
      <w:r w:rsidRPr="004C5C5B">
        <w:rPr>
          <w:sz w:val="22"/>
          <w:lang w:val="en-US"/>
        </w:rPr>
        <w:t xml:space="preserve">Modulation of </w:t>
      </w:r>
      <w:proofErr w:type="spellStart"/>
      <w:r w:rsidRPr="004C5C5B">
        <w:rPr>
          <w:sz w:val="22"/>
          <w:lang w:val="en-US"/>
        </w:rPr>
        <w:t>humoral</w:t>
      </w:r>
      <w:proofErr w:type="spellEnd"/>
      <w:r w:rsidRPr="004C5C5B">
        <w:rPr>
          <w:sz w:val="22"/>
          <w:lang w:val="en-US"/>
        </w:rPr>
        <w:t xml:space="preserve"> immune response of the greater wax moth (</w:t>
      </w:r>
      <w:r w:rsidRPr="004C5C5B">
        <w:rPr>
          <w:i/>
          <w:sz w:val="22"/>
          <w:lang w:val="en-US"/>
        </w:rPr>
        <w:t>Galleria mellonella</w:t>
      </w:r>
      <w:r w:rsidRPr="004C5C5B">
        <w:rPr>
          <w:sz w:val="22"/>
          <w:lang w:val="en-US"/>
        </w:rPr>
        <w:t xml:space="preserve">) during infection with bacteria </w:t>
      </w:r>
      <w:r w:rsidRPr="004C5C5B">
        <w:rPr>
          <w:i/>
          <w:sz w:val="22"/>
          <w:lang w:val="en-US"/>
        </w:rPr>
        <w:t>Bacillus thuringiensis</w:t>
      </w:r>
    </w:p>
    <w:p w:rsidR="001E0A2A" w:rsidRPr="004C5C5B" w:rsidRDefault="001E0A2A" w:rsidP="001E0A2A">
      <w:pPr>
        <w:ind w:firstLine="0"/>
        <w:jc w:val="center"/>
        <w:rPr>
          <w:lang w:val="en-US"/>
        </w:rPr>
      </w:pPr>
    </w:p>
    <w:p w:rsidR="001E0A2A" w:rsidRPr="001E0A2A" w:rsidRDefault="001E0A2A" w:rsidP="001E0A2A">
      <w:pPr>
        <w:ind w:firstLine="0"/>
        <w:outlineLvl w:val="0"/>
        <w:rPr>
          <w:b/>
          <w:lang w:val="en-GB"/>
        </w:rPr>
      </w:pPr>
      <w:r w:rsidRPr="001E0A2A">
        <w:rPr>
          <w:b/>
          <w:lang w:val="en-GB"/>
        </w:rPr>
        <w:t>Summary</w:t>
      </w:r>
    </w:p>
    <w:p w:rsidR="001E0A2A" w:rsidRPr="001E0A2A" w:rsidRDefault="001E0A2A" w:rsidP="001E0A2A">
      <w:pPr>
        <w:rPr>
          <w:lang w:val="en-GB"/>
        </w:rPr>
      </w:pPr>
    </w:p>
    <w:p w:rsidR="00C66333" w:rsidRPr="00E75067" w:rsidRDefault="001E0A2A">
      <w:pPr>
        <w:rPr>
          <w:lang w:val="en-US"/>
        </w:rPr>
      </w:pPr>
      <w:r>
        <w:rPr>
          <w:lang w:val="en-GB"/>
        </w:rPr>
        <w:t xml:space="preserve">Insects immune system relies only on innate defence mechanisms. </w:t>
      </w:r>
      <w:r w:rsidR="00613234" w:rsidRPr="00E75067">
        <w:rPr>
          <w:lang w:val="en-US"/>
        </w:rPr>
        <w:t xml:space="preserve">This feature has </w:t>
      </w:r>
      <w:r w:rsidR="007129F8" w:rsidRPr="00E75067">
        <w:rPr>
          <w:lang w:val="en-US"/>
        </w:rPr>
        <w:t xml:space="preserve">often </w:t>
      </w:r>
      <w:r w:rsidR="00613234" w:rsidRPr="00E75067">
        <w:rPr>
          <w:lang w:val="en-US"/>
        </w:rPr>
        <w:t xml:space="preserve">been </w:t>
      </w:r>
      <w:r w:rsidR="00613234" w:rsidRPr="00613234">
        <w:rPr>
          <w:lang w:val="en-US"/>
        </w:rPr>
        <w:t>turn</w:t>
      </w:r>
      <w:r w:rsidR="00613234">
        <w:rPr>
          <w:lang w:val="en-US"/>
        </w:rPr>
        <w:t>ed</w:t>
      </w:r>
      <w:r w:rsidR="00613234" w:rsidRPr="00613234">
        <w:rPr>
          <w:lang w:val="en-US"/>
        </w:rPr>
        <w:t xml:space="preserve"> into an asset</w:t>
      </w:r>
      <w:r w:rsidR="00613234" w:rsidRPr="00E75067">
        <w:rPr>
          <w:lang w:val="en-US"/>
        </w:rPr>
        <w:t xml:space="preserve">, for example, in </w:t>
      </w:r>
      <w:r w:rsidR="007129F8" w:rsidRPr="00E75067">
        <w:rPr>
          <w:lang w:val="en-US"/>
        </w:rPr>
        <w:t>an investigation on</w:t>
      </w:r>
      <w:r w:rsidR="00613234" w:rsidRPr="00E75067">
        <w:rPr>
          <w:lang w:val="en-US"/>
        </w:rPr>
        <w:t xml:space="preserve"> </w:t>
      </w:r>
      <w:r w:rsidR="007129F8" w:rsidRPr="00E75067">
        <w:rPr>
          <w:lang w:val="en-US"/>
        </w:rPr>
        <w:t>innate</w:t>
      </w:r>
      <w:r w:rsidR="00613234" w:rsidRPr="00E75067">
        <w:rPr>
          <w:lang w:val="en-US"/>
        </w:rPr>
        <w:t xml:space="preserve"> immunity mechanisms</w:t>
      </w:r>
      <w:r w:rsidR="007129F8" w:rsidRPr="00E75067">
        <w:rPr>
          <w:lang w:val="en-US"/>
        </w:rPr>
        <w:t xml:space="preserve"> which </w:t>
      </w:r>
      <w:r w:rsidR="00E75067" w:rsidRPr="00E75067">
        <w:rPr>
          <w:lang w:val="en-US"/>
        </w:rPr>
        <w:t>w</w:t>
      </w:r>
      <w:r w:rsidR="00E75067">
        <w:rPr>
          <w:lang w:val="en-US"/>
        </w:rPr>
        <w:t>ere conducted on</w:t>
      </w:r>
      <w:r w:rsidR="00613234" w:rsidRPr="00E75067">
        <w:rPr>
          <w:lang w:val="en-US"/>
        </w:rPr>
        <w:t xml:space="preserve"> various insect representatives. One branch of invertebrate immunology </w:t>
      </w:r>
      <w:r w:rsidR="00E75067">
        <w:rPr>
          <w:lang w:val="en-US"/>
        </w:rPr>
        <w:t>focuses on</w:t>
      </w:r>
      <w:r w:rsidR="0009577A" w:rsidRPr="00E75067">
        <w:rPr>
          <w:lang w:val="en-US"/>
        </w:rPr>
        <w:t xml:space="preserve"> </w:t>
      </w:r>
      <w:r w:rsidR="00613234" w:rsidRPr="00E75067">
        <w:rPr>
          <w:lang w:val="en-US"/>
        </w:rPr>
        <w:t xml:space="preserve">the correlations that occur between the level of </w:t>
      </w:r>
      <w:r w:rsidR="0009577A" w:rsidRPr="00E75067">
        <w:rPr>
          <w:lang w:val="en-US"/>
        </w:rPr>
        <w:t xml:space="preserve">the immune system </w:t>
      </w:r>
      <w:r w:rsidR="00613234" w:rsidRPr="00E75067">
        <w:rPr>
          <w:lang w:val="en-US"/>
        </w:rPr>
        <w:t xml:space="preserve">activity and the environmental conditions affecting the infected organism. </w:t>
      </w:r>
      <w:r w:rsidR="0009577A" w:rsidRPr="00E75067">
        <w:rPr>
          <w:lang w:val="en-US"/>
        </w:rPr>
        <w:t>Among f</w:t>
      </w:r>
      <w:r w:rsidR="00613234" w:rsidRPr="00E75067">
        <w:rPr>
          <w:lang w:val="en-US"/>
        </w:rPr>
        <w:t xml:space="preserve">actors influencing the insect </w:t>
      </w:r>
      <w:r w:rsidR="0009577A" w:rsidRPr="00E75067">
        <w:rPr>
          <w:lang w:val="en-US"/>
        </w:rPr>
        <w:t xml:space="preserve">immunity, </w:t>
      </w:r>
      <w:r w:rsidR="00A6285A" w:rsidRPr="00E75067">
        <w:rPr>
          <w:lang w:val="en-US"/>
        </w:rPr>
        <w:t xml:space="preserve">a </w:t>
      </w:r>
      <w:r w:rsidR="00613234" w:rsidRPr="00E75067">
        <w:rPr>
          <w:lang w:val="en-US"/>
        </w:rPr>
        <w:t>mechanical injur</w:t>
      </w:r>
      <w:r w:rsidR="0009577A" w:rsidRPr="00E75067">
        <w:rPr>
          <w:lang w:val="en-US"/>
        </w:rPr>
        <w:t>y</w:t>
      </w:r>
      <w:r w:rsidR="00613234" w:rsidRPr="00E75067">
        <w:rPr>
          <w:lang w:val="en-US"/>
        </w:rPr>
        <w:t xml:space="preserve">, </w:t>
      </w:r>
      <w:r w:rsidR="00B56B79">
        <w:rPr>
          <w:lang w:val="en-US"/>
        </w:rPr>
        <w:t>a </w:t>
      </w:r>
      <w:r w:rsidR="00613234" w:rsidRPr="00E75067">
        <w:rPr>
          <w:lang w:val="en-US"/>
        </w:rPr>
        <w:t xml:space="preserve">nutrient availability, </w:t>
      </w:r>
      <w:r w:rsidR="00A6285A" w:rsidRPr="00E75067">
        <w:rPr>
          <w:lang w:val="en-US"/>
        </w:rPr>
        <w:t xml:space="preserve">an </w:t>
      </w:r>
      <w:r w:rsidR="00613234" w:rsidRPr="00E75067">
        <w:rPr>
          <w:lang w:val="en-US"/>
        </w:rPr>
        <w:t xml:space="preserve">ambient temperature, as well as </w:t>
      </w:r>
      <w:r w:rsidR="00A6285A" w:rsidRPr="00E75067">
        <w:rPr>
          <w:lang w:val="en-US"/>
        </w:rPr>
        <w:t xml:space="preserve">a </w:t>
      </w:r>
      <w:r w:rsidR="00613234" w:rsidRPr="00E75067">
        <w:rPr>
          <w:lang w:val="en-US"/>
        </w:rPr>
        <w:t>past or ongoing infections</w:t>
      </w:r>
      <w:r w:rsidR="00A6285A" w:rsidRPr="00E75067">
        <w:rPr>
          <w:lang w:val="en-US"/>
        </w:rPr>
        <w:t>,</w:t>
      </w:r>
      <w:r w:rsidR="0009577A" w:rsidRPr="00E75067">
        <w:rPr>
          <w:lang w:val="en-US"/>
        </w:rPr>
        <w:t xml:space="preserve"> should be mentioned</w:t>
      </w:r>
      <w:r w:rsidR="00613234" w:rsidRPr="00E75067">
        <w:rPr>
          <w:lang w:val="en-US"/>
        </w:rPr>
        <w:t>.</w:t>
      </w:r>
      <w:r w:rsidR="0009577A" w:rsidRPr="00E75067">
        <w:rPr>
          <w:lang w:val="en-US"/>
        </w:rPr>
        <w:t xml:space="preserve"> </w:t>
      </w:r>
      <w:r w:rsidR="00A6285A" w:rsidRPr="00E75067">
        <w:rPr>
          <w:lang w:val="en-US"/>
        </w:rPr>
        <w:t xml:space="preserve">Insect </w:t>
      </w:r>
      <w:r w:rsidR="00E75067">
        <w:rPr>
          <w:lang w:val="en-US"/>
        </w:rPr>
        <w:t>studies</w:t>
      </w:r>
      <w:r w:rsidR="00A6285A" w:rsidRPr="00E75067">
        <w:rPr>
          <w:lang w:val="en-US"/>
        </w:rPr>
        <w:t xml:space="preserve"> show that environmental temperature and prior infection with a non-lethal dose of the pathogen can affect the</w:t>
      </w:r>
      <w:r w:rsidR="00E75067">
        <w:rPr>
          <w:lang w:val="en-US"/>
        </w:rPr>
        <w:t xml:space="preserve"> development of</w:t>
      </w:r>
      <w:r w:rsidR="00A6285A" w:rsidRPr="00E75067">
        <w:rPr>
          <w:lang w:val="en-US"/>
        </w:rPr>
        <w:t xml:space="preserve"> immune reactions (see for example: </w:t>
      </w:r>
      <w:proofErr w:type="spellStart"/>
      <w:r w:rsidR="00E50C41" w:rsidRPr="00E50C41">
        <w:rPr>
          <w:lang w:val="en-US"/>
        </w:rPr>
        <w:t>Adamo</w:t>
      </w:r>
      <w:proofErr w:type="spellEnd"/>
      <w:r w:rsidR="00E50C41" w:rsidRPr="00E50C41">
        <w:rPr>
          <w:lang w:val="en-US"/>
        </w:rPr>
        <w:t xml:space="preserve">, 1998; </w:t>
      </w:r>
      <w:proofErr w:type="spellStart"/>
      <w:r w:rsidR="00E50C41" w:rsidRPr="00E50C41">
        <w:rPr>
          <w:lang w:val="en-US"/>
        </w:rPr>
        <w:t>Blanford</w:t>
      </w:r>
      <w:proofErr w:type="spellEnd"/>
      <w:r w:rsidR="00E50C41" w:rsidRPr="00E50C41">
        <w:rPr>
          <w:lang w:val="en-US"/>
        </w:rPr>
        <w:t xml:space="preserve"> </w:t>
      </w:r>
      <w:r w:rsidR="00E50C41">
        <w:rPr>
          <w:lang w:val="en-US"/>
        </w:rPr>
        <w:t>and</w:t>
      </w:r>
      <w:r w:rsidR="00E50C41" w:rsidRPr="00E50C41">
        <w:rPr>
          <w:lang w:val="en-US"/>
        </w:rPr>
        <w:t xml:space="preserve"> Thomas, 1999; </w:t>
      </w:r>
      <w:proofErr w:type="spellStart"/>
      <w:r w:rsidR="00E50C41" w:rsidRPr="00E50C41">
        <w:rPr>
          <w:szCs w:val="24"/>
          <w:lang w:val="en-US"/>
        </w:rPr>
        <w:t>Konkel</w:t>
      </w:r>
      <w:proofErr w:type="spellEnd"/>
      <w:r w:rsidR="00E50C41" w:rsidRPr="00E50C41">
        <w:rPr>
          <w:szCs w:val="24"/>
          <w:lang w:val="en-US"/>
        </w:rPr>
        <w:t xml:space="preserve"> </w:t>
      </w:r>
      <w:r w:rsidR="00E50C41">
        <w:rPr>
          <w:szCs w:val="24"/>
          <w:lang w:val="en-US"/>
        </w:rPr>
        <w:t>and</w:t>
      </w:r>
      <w:r w:rsidR="00E50C41" w:rsidRPr="00E50C41">
        <w:rPr>
          <w:szCs w:val="24"/>
          <w:lang w:val="en-US"/>
        </w:rPr>
        <w:t xml:space="preserve"> </w:t>
      </w:r>
      <w:proofErr w:type="spellStart"/>
      <w:r w:rsidR="00E50C41" w:rsidRPr="00E50C41">
        <w:rPr>
          <w:szCs w:val="24"/>
          <w:lang w:val="en-US"/>
        </w:rPr>
        <w:t>Tilly</w:t>
      </w:r>
      <w:proofErr w:type="spellEnd"/>
      <w:r w:rsidR="00E50C41" w:rsidRPr="00E50C41">
        <w:rPr>
          <w:szCs w:val="24"/>
          <w:lang w:val="en-US"/>
        </w:rPr>
        <w:t xml:space="preserve">, 2000; Arthurs </w:t>
      </w:r>
      <w:r w:rsidR="00E50C41">
        <w:rPr>
          <w:szCs w:val="24"/>
          <w:lang w:val="en-US"/>
        </w:rPr>
        <w:t>and</w:t>
      </w:r>
      <w:r w:rsidR="00E50C41" w:rsidRPr="00E50C41">
        <w:rPr>
          <w:szCs w:val="24"/>
          <w:lang w:val="en-US"/>
        </w:rPr>
        <w:t xml:space="preserve"> Thomas, 2001; </w:t>
      </w:r>
      <w:r w:rsidR="00E50C41" w:rsidRPr="00E50C41">
        <w:rPr>
          <w:lang w:val="en-US"/>
        </w:rPr>
        <w:t xml:space="preserve">Elliot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 xml:space="preserve">., 2002; </w:t>
      </w:r>
      <w:r w:rsidR="00E50C41" w:rsidRPr="00E50C41">
        <w:rPr>
          <w:szCs w:val="24"/>
          <w:lang w:val="en-US"/>
        </w:rPr>
        <w:t xml:space="preserve">Thomas </w:t>
      </w:r>
      <w:r w:rsidR="00E50C41">
        <w:rPr>
          <w:szCs w:val="24"/>
          <w:lang w:val="en-US"/>
        </w:rPr>
        <w:t>and</w:t>
      </w:r>
      <w:r w:rsidR="00E50C41" w:rsidRPr="00E50C41">
        <w:rPr>
          <w:szCs w:val="24"/>
          <w:lang w:val="en-US"/>
        </w:rPr>
        <w:t xml:space="preserve"> </w:t>
      </w:r>
      <w:proofErr w:type="spellStart"/>
      <w:r w:rsidR="00E50C41" w:rsidRPr="00E50C41">
        <w:rPr>
          <w:szCs w:val="24"/>
          <w:lang w:val="en-US"/>
        </w:rPr>
        <w:t>Blanford</w:t>
      </w:r>
      <w:proofErr w:type="spellEnd"/>
      <w:r w:rsidR="00E50C41" w:rsidRPr="00E50C41">
        <w:rPr>
          <w:szCs w:val="24"/>
          <w:lang w:val="en-US"/>
        </w:rPr>
        <w:t>, 2003;</w:t>
      </w:r>
      <w:r w:rsidR="00E50C41" w:rsidRPr="00E50C41">
        <w:rPr>
          <w:lang w:val="en-US"/>
        </w:rPr>
        <w:t xml:space="preserve"> Ouedraogo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>., 2003;</w:t>
      </w:r>
      <w:r w:rsidR="00E50C41" w:rsidRPr="00E50C41">
        <w:rPr>
          <w:szCs w:val="24"/>
          <w:lang w:val="en-US"/>
        </w:rPr>
        <w:t xml:space="preserve"> </w:t>
      </w:r>
      <w:proofErr w:type="spellStart"/>
      <w:r w:rsidR="00E50C41" w:rsidRPr="00E50C41">
        <w:rPr>
          <w:lang w:val="en-US"/>
        </w:rPr>
        <w:t>Bundey</w:t>
      </w:r>
      <w:proofErr w:type="spellEnd"/>
      <w:r w:rsidR="00E50C41" w:rsidRPr="00E50C41">
        <w:rPr>
          <w:lang w:val="en-US"/>
        </w:rPr>
        <w:t xml:space="preserve">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 xml:space="preserve">., 2003; </w:t>
      </w:r>
      <w:proofErr w:type="spellStart"/>
      <w:r w:rsidR="00E50C41" w:rsidRPr="00E50C41">
        <w:rPr>
          <w:lang w:val="en-US" w:eastAsia="pl-PL"/>
        </w:rPr>
        <w:t>Sadd</w:t>
      </w:r>
      <w:proofErr w:type="spellEnd"/>
      <w:r w:rsidR="00E50C41" w:rsidRPr="00E50C41">
        <w:rPr>
          <w:lang w:val="en-US" w:eastAsia="pl-PL"/>
        </w:rPr>
        <w:t xml:space="preserve"> </w:t>
      </w:r>
      <w:r w:rsidR="00E50C41">
        <w:rPr>
          <w:lang w:val="en-US" w:eastAsia="pl-PL"/>
        </w:rPr>
        <w:t>and</w:t>
      </w:r>
      <w:r w:rsidR="00E50C41" w:rsidRPr="00E50C41">
        <w:rPr>
          <w:lang w:val="en-US" w:eastAsia="pl-PL"/>
        </w:rPr>
        <w:t xml:space="preserve"> </w:t>
      </w:r>
      <w:proofErr w:type="spellStart"/>
      <w:r w:rsidR="00E50C41" w:rsidRPr="00E50C41">
        <w:rPr>
          <w:lang w:val="en-US" w:eastAsia="pl-PL"/>
        </w:rPr>
        <w:t>Schmid-Hempel</w:t>
      </w:r>
      <w:proofErr w:type="spellEnd"/>
      <w:r w:rsidR="00E50C41" w:rsidRPr="00E50C41">
        <w:rPr>
          <w:lang w:val="en-US" w:eastAsia="pl-PL"/>
        </w:rPr>
        <w:t xml:space="preserve">, 2006; </w:t>
      </w:r>
      <w:r w:rsidR="00E50C41" w:rsidRPr="00E50C41">
        <w:rPr>
          <w:lang w:val="en-US"/>
        </w:rPr>
        <w:t xml:space="preserve">Pham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 xml:space="preserve">., 2007; </w:t>
      </w:r>
      <w:r w:rsidR="00E50C41" w:rsidRPr="00E50C41">
        <w:rPr>
          <w:rFonts w:cs="Cambria"/>
          <w:iCs/>
          <w:szCs w:val="24"/>
          <w:lang w:val="en-US"/>
        </w:rPr>
        <w:t xml:space="preserve">Linder </w:t>
      </w:r>
      <w:r w:rsidR="00E50C41" w:rsidRPr="00E50C41">
        <w:rPr>
          <w:i/>
          <w:lang w:val="en-US"/>
        </w:rPr>
        <w:t>et al</w:t>
      </w:r>
      <w:r w:rsidR="00E50C41" w:rsidRPr="00E50C41">
        <w:rPr>
          <w:rFonts w:cs="Cambria"/>
          <w:iCs/>
          <w:szCs w:val="24"/>
          <w:lang w:val="en-US"/>
        </w:rPr>
        <w:t xml:space="preserve">., 2008; </w:t>
      </w:r>
      <w:r w:rsidR="00E50C41" w:rsidRPr="00E50C41">
        <w:rPr>
          <w:lang w:val="en-US" w:eastAsia="pl-PL"/>
        </w:rPr>
        <w:t xml:space="preserve">Roth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 w:eastAsia="pl-PL"/>
        </w:rPr>
        <w:t>., 2009;</w:t>
      </w:r>
      <w:r w:rsidR="00E50C41" w:rsidRPr="00E50C41">
        <w:rPr>
          <w:lang w:val="en-US"/>
        </w:rPr>
        <w:t xml:space="preserve"> </w:t>
      </w:r>
      <w:proofErr w:type="spellStart"/>
      <w:r w:rsidR="00E50C41" w:rsidRPr="00E50C41">
        <w:rPr>
          <w:lang w:val="en-US"/>
        </w:rPr>
        <w:t>Rodrigues</w:t>
      </w:r>
      <w:proofErr w:type="spellEnd"/>
      <w:r w:rsidR="00E50C41" w:rsidRPr="00E50C41">
        <w:rPr>
          <w:lang w:val="en-US"/>
        </w:rPr>
        <w:t xml:space="preserve">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 xml:space="preserve">., 2010; </w:t>
      </w:r>
      <w:proofErr w:type="spellStart"/>
      <w:r w:rsidR="00E50C41" w:rsidRPr="00E50C41">
        <w:rPr>
          <w:lang w:val="en-US"/>
        </w:rPr>
        <w:t>Catalán</w:t>
      </w:r>
      <w:proofErr w:type="spellEnd"/>
      <w:r w:rsidR="00E50C41" w:rsidRPr="00E50C41">
        <w:rPr>
          <w:lang w:val="en-US"/>
        </w:rPr>
        <w:t xml:space="preserve">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>., 2012;</w:t>
      </w:r>
      <w:r w:rsidR="00E50C41" w:rsidRPr="00E50C41">
        <w:rPr>
          <w:lang w:val="en-US" w:eastAsia="pl-PL"/>
        </w:rPr>
        <w:t xml:space="preserve"> </w:t>
      </w:r>
      <w:r w:rsidR="00E50C41" w:rsidRPr="00E50C41">
        <w:rPr>
          <w:lang w:val="en-US"/>
        </w:rPr>
        <w:t xml:space="preserve">Anderson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 xml:space="preserve">., 2013; </w:t>
      </w:r>
      <w:r w:rsidR="00E50C41" w:rsidRPr="00E50C41">
        <w:rPr>
          <w:lang w:val="en-US" w:eastAsia="pl-PL"/>
        </w:rPr>
        <w:t xml:space="preserve">Wu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 w:eastAsia="pl-PL"/>
        </w:rPr>
        <w:t xml:space="preserve">., 2015; </w:t>
      </w:r>
      <w:r w:rsidR="00E50C41" w:rsidRPr="00E50C41">
        <w:rPr>
          <w:lang w:val="en-US"/>
        </w:rPr>
        <w:t xml:space="preserve">Wu </w:t>
      </w:r>
      <w:r w:rsidR="00E50C41" w:rsidRPr="00E50C41">
        <w:rPr>
          <w:i/>
          <w:lang w:val="en-US"/>
        </w:rPr>
        <w:t>et al</w:t>
      </w:r>
      <w:r w:rsidR="00E50C41" w:rsidRPr="00E50C41">
        <w:rPr>
          <w:lang w:val="en-US"/>
        </w:rPr>
        <w:t>., 2016</w:t>
      </w:r>
      <w:r w:rsidR="00E50C41">
        <w:rPr>
          <w:lang w:val="en-US"/>
        </w:rPr>
        <w:t>)</w:t>
      </w:r>
      <w:r w:rsidR="00A6285A" w:rsidRPr="00E75067">
        <w:rPr>
          <w:lang w:val="en-US"/>
        </w:rPr>
        <w:t xml:space="preserve">. </w:t>
      </w:r>
      <w:r w:rsidR="00E50C41" w:rsidRPr="00E75067">
        <w:rPr>
          <w:lang w:val="en-US"/>
        </w:rPr>
        <w:t>But can these factors</w:t>
      </w:r>
      <w:r w:rsidR="00CA6CC6" w:rsidRPr="00E75067">
        <w:rPr>
          <w:lang w:val="en-US"/>
        </w:rPr>
        <w:t xml:space="preserve"> (</w:t>
      </w:r>
      <w:r w:rsidR="00E50C41" w:rsidRPr="00E75067">
        <w:rPr>
          <w:lang w:val="en-US"/>
        </w:rPr>
        <w:t xml:space="preserve">which affect the insect's </w:t>
      </w:r>
      <w:r w:rsidR="00CA6CC6" w:rsidRPr="00E75067">
        <w:rPr>
          <w:lang w:val="en-US"/>
        </w:rPr>
        <w:t>organism</w:t>
      </w:r>
      <w:r w:rsidR="00E50C41" w:rsidRPr="00E75067">
        <w:rPr>
          <w:lang w:val="en-US"/>
        </w:rPr>
        <w:t xml:space="preserve"> before it</w:t>
      </w:r>
      <w:r w:rsidR="00CA6CC6" w:rsidRPr="00E75067">
        <w:rPr>
          <w:lang w:val="en-US"/>
        </w:rPr>
        <w:t xml:space="preserve"> becomes infected) alter the level of immune response </w:t>
      </w:r>
      <w:r w:rsidR="00FF617E" w:rsidRPr="00E75067">
        <w:rPr>
          <w:lang w:val="en-US"/>
        </w:rPr>
        <w:t>to the</w:t>
      </w:r>
      <w:r w:rsidR="00CA6CC6" w:rsidRPr="00E75067">
        <w:rPr>
          <w:lang w:val="en-US"/>
        </w:rPr>
        <w:t xml:space="preserve"> subsequent invasion of the pathogen?</w:t>
      </w:r>
    </w:p>
    <w:p w:rsidR="00F9097B" w:rsidRPr="00E75067" w:rsidRDefault="00FF617E">
      <w:pPr>
        <w:rPr>
          <w:lang w:val="en-US"/>
        </w:rPr>
      </w:pPr>
      <w:r w:rsidRPr="00E75067">
        <w:rPr>
          <w:lang w:val="en-US"/>
        </w:rPr>
        <w:t xml:space="preserve">In this thesis </w:t>
      </w:r>
      <w:r w:rsidR="00407711" w:rsidRPr="00E75067">
        <w:rPr>
          <w:lang w:val="en-US"/>
        </w:rPr>
        <w:t xml:space="preserve">I studied </w:t>
      </w:r>
      <w:r w:rsidRPr="00E75067">
        <w:rPr>
          <w:lang w:val="en-US"/>
        </w:rPr>
        <w:t xml:space="preserve">the immune response of the greater wax moth </w:t>
      </w:r>
      <w:r w:rsidRPr="00E75067">
        <w:rPr>
          <w:i/>
          <w:lang w:val="en-US"/>
        </w:rPr>
        <w:t>Galleria mellonella</w:t>
      </w:r>
      <w:r w:rsidRPr="00E75067">
        <w:rPr>
          <w:lang w:val="en-US"/>
        </w:rPr>
        <w:t xml:space="preserve"> </w:t>
      </w:r>
      <w:r w:rsidR="00E75067">
        <w:rPr>
          <w:lang w:val="en-US"/>
        </w:rPr>
        <w:t>to</w:t>
      </w:r>
      <w:r w:rsidRPr="00E75067">
        <w:rPr>
          <w:lang w:val="en-US"/>
        </w:rPr>
        <w:t xml:space="preserve"> </w:t>
      </w:r>
      <w:r w:rsidRPr="00E75067">
        <w:rPr>
          <w:i/>
          <w:lang w:val="en-US"/>
        </w:rPr>
        <w:t>Bacillus thuringiensis</w:t>
      </w:r>
      <w:r w:rsidRPr="00E75067">
        <w:rPr>
          <w:lang w:val="en-US"/>
        </w:rPr>
        <w:t xml:space="preserve"> </w:t>
      </w:r>
      <w:r w:rsidR="00E75067" w:rsidRPr="00E75067">
        <w:rPr>
          <w:lang w:val="en-US"/>
        </w:rPr>
        <w:t xml:space="preserve">infection </w:t>
      </w:r>
      <w:r w:rsidR="00407711" w:rsidRPr="00E75067">
        <w:rPr>
          <w:lang w:val="en-US"/>
        </w:rPr>
        <w:t>after previous expos</w:t>
      </w:r>
      <w:r w:rsidR="007C4754" w:rsidRPr="00E75067">
        <w:rPr>
          <w:lang w:val="en-US"/>
        </w:rPr>
        <w:t>ure</w:t>
      </w:r>
      <w:r w:rsidR="00407711" w:rsidRPr="00E75067">
        <w:rPr>
          <w:lang w:val="en-US"/>
        </w:rPr>
        <w:t xml:space="preserve"> of the</w:t>
      </w:r>
      <w:r w:rsidR="007C4754" w:rsidRPr="00E75067">
        <w:rPr>
          <w:lang w:val="en-US"/>
        </w:rPr>
        <w:t>se</w:t>
      </w:r>
      <w:r w:rsidR="00407711" w:rsidRPr="00E75067">
        <w:rPr>
          <w:lang w:val="en-US"/>
        </w:rPr>
        <w:t xml:space="preserve"> insects </w:t>
      </w:r>
      <w:r w:rsidR="007C4754" w:rsidRPr="00E75067">
        <w:rPr>
          <w:lang w:val="en-US"/>
        </w:rPr>
        <w:t>to</w:t>
      </w:r>
      <w:r w:rsidR="00E75067">
        <w:rPr>
          <w:lang w:val="en-US"/>
        </w:rPr>
        <w:t xml:space="preserve"> either:</w:t>
      </w:r>
      <w:r w:rsidR="007C4754" w:rsidRPr="00E75067">
        <w:rPr>
          <w:lang w:val="en-US"/>
        </w:rPr>
        <w:t xml:space="preserve"> the</w:t>
      </w:r>
      <w:r w:rsidR="00407711" w:rsidRPr="00E75067">
        <w:rPr>
          <w:lang w:val="en-US"/>
        </w:rPr>
        <w:t xml:space="preserve"> elevated temperature or </w:t>
      </w:r>
      <w:r w:rsidR="00802F6B" w:rsidRPr="00E75067">
        <w:rPr>
          <w:lang w:val="en-US"/>
        </w:rPr>
        <w:t xml:space="preserve">to the </w:t>
      </w:r>
      <w:r w:rsidR="00407711" w:rsidRPr="00E75067">
        <w:rPr>
          <w:lang w:val="en-US"/>
        </w:rPr>
        <w:t xml:space="preserve">contact with </w:t>
      </w:r>
      <w:r w:rsidR="007C4754" w:rsidRPr="00E75067">
        <w:rPr>
          <w:lang w:val="en-US"/>
        </w:rPr>
        <w:t xml:space="preserve">the </w:t>
      </w:r>
      <w:r w:rsidR="00407711" w:rsidRPr="00E75067">
        <w:rPr>
          <w:lang w:val="en-US"/>
        </w:rPr>
        <w:t xml:space="preserve">pathogen. </w:t>
      </w:r>
      <w:r w:rsidR="007C4754" w:rsidRPr="00E75067">
        <w:rPr>
          <w:lang w:val="en-US"/>
        </w:rPr>
        <w:t>The thesis focus</w:t>
      </w:r>
      <w:r w:rsidR="00802F6B" w:rsidRPr="00E75067">
        <w:rPr>
          <w:lang w:val="en-US"/>
        </w:rPr>
        <w:t>ed</w:t>
      </w:r>
      <w:r w:rsidR="007C4754" w:rsidRPr="00E75067">
        <w:rPr>
          <w:lang w:val="en-US"/>
        </w:rPr>
        <w:t xml:space="preserve"> </w:t>
      </w:r>
      <w:r w:rsidR="007C4754" w:rsidRPr="00E75067">
        <w:rPr>
          <w:lang w:val="en-US"/>
        </w:rPr>
        <w:lastRenderedPageBreak/>
        <w:t xml:space="preserve">on the </w:t>
      </w:r>
      <w:proofErr w:type="spellStart"/>
      <w:r w:rsidR="007C4754" w:rsidRPr="00E75067">
        <w:rPr>
          <w:lang w:val="en-US"/>
        </w:rPr>
        <w:t>humoral</w:t>
      </w:r>
      <w:proofErr w:type="spellEnd"/>
      <w:r w:rsidR="007C4754" w:rsidRPr="00E75067">
        <w:rPr>
          <w:lang w:val="en-US"/>
        </w:rPr>
        <w:t xml:space="preserve"> </w:t>
      </w:r>
      <w:r w:rsidR="00802F6B" w:rsidRPr="00E75067">
        <w:rPr>
          <w:lang w:val="en-US"/>
        </w:rPr>
        <w:t>aspects</w:t>
      </w:r>
      <w:r w:rsidR="007C4754" w:rsidRPr="00E75067">
        <w:rPr>
          <w:lang w:val="en-US"/>
        </w:rPr>
        <w:t xml:space="preserve"> of the immune mechanisms.</w:t>
      </w:r>
      <w:r w:rsidR="00802F6B" w:rsidRPr="00E75067">
        <w:rPr>
          <w:lang w:val="en-US"/>
        </w:rPr>
        <w:t xml:space="preserve"> The level of immune system activation was estimated on the basis </w:t>
      </w:r>
      <w:r w:rsidR="00FF3B43" w:rsidRPr="00E75067">
        <w:rPr>
          <w:lang w:val="en-US"/>
        </w:rPr>
        <w:t>of</w:t>
      </w:r>
      <w:r w:rsidR="00802F6B" w:rsidRPr="00E75067">
        <w:rPr>
          <w:lang w:val="en-US"/>
        </w:rPr>
        <w:t xml:space="preserve"> </w:t>
      </w:r>
      <w:r w:rsidR="00FF3B43" w:rsidRPr="00E75067">
        <w:rPr>
          <w:lang w:val="en-US"/>
        </w:rPr>
        <w:t>immunological parameters such as</w:t>
      </w:r>
      <w:r w:rsidR="00802F6B" w:rsidRPr="00E75067">
        <w:rPr>
          <w:lang w:val="en-US"/>
        </w:rPr>
        <w:t xml:space="preserve"> antimicrobial activity </w:t>
      </w:r>
      <w:r w:rsidR="008E4BE3" w:rsidRPr="00E75067">
        <w:rPr>
          <w:lang w:val="en-US"/>
        </w:rPr>
        <w:t xml:space="preserve">detected in </w:t>
      </w:r>
      <w:proofErr w:type="spellStart"/>
      <w:r w:rsidR="008E4BE3" w:rsidRPr="00E75067">
        <w:rPr>
          <w:lang w:val="en-US"/>
        </w:rPr>
        <w:t>hemolymph</w:t>
      </w:r>
      <w:proofErr w:type="spellEnd"/>
      <w:r w:rsidR="008E4BE3" w:rsidRPr="00E75067">
        <w:rPr>
          <w:lang w:val="en-US"/>
        </w:rPr>
        <w:t xml:space="preserve"> </w:t>
      </w:r>
      <w:r w:rsidR="00802F6B" w:rsidRPr="00E75067">
        <w:rPr>
          <w:lang w:val="en-US"/>
        </w:rPr>
        <w:t xml:space="preserve">and </w:t>
      </w:r>
      <w:r w:rsidR="008E4BE3" w:rsidRPr="00E75067">
        <w:rPr>
          <w:lang w:val="en-US"/>
        </w:rPr>
        <w:t xml:space="preserve">expression of genes encoding </w:t>
      </w:r>
      <w:r w:rsidR="00802F6B" w:rsidRPr="00E75067">
        <w:rPr>
          <w:lang w:val="en-US"/>
        </w:rPr>
        <w:t xml:space="preserve">immune-related </w:t>
      </w:r>
      <w:r w:rsidR="008E4BE3" w:rsidRPr="00E75067">
        <w:rPr>
          <w:lang w:val="en-US"/>
        </w:rPr>
        <w:t xml:space="preserve">proteins and peptides </w:t>
      </w:r>
      <w:r w:rsidR="00802F6B" w:rsidRPr="00E75067">
        <w:rPr>
          <w:lang w:val="en-US"/>
        </w:rPr>
        <w:t>in fat bod</w:t>
      </w:r>
      <w:r w:rsidR="00E75067" w:rsidRPr="00E75067">
        <w:rPr>
          <w:lang w:val="en-US"/>
        </w:rPr>
        <w:t>y</w:t>
      </w:r>
      <w:r w:rsidR="00802F6B" w:rsidRPr="00E75067">
        <w:rPr>
          <w:lang w:val="en-US"/>
        </w:rPr>
        <w:t xml:space="preserve"> of infected wax worms. </w:t>
      </w:r>
      <w:r w:rsidR="008E4BE3" w:rsidRPr="00E75067">
        <w:rPr>
          <w:lang w:val="en-US"/>
        </w:rPr>
        <w:t xml:space="preserve">The level of antibacterial activity was determined by the ability of the </w:t>
      </w:r>
      <w:proofErr w:type="spellStart"/>
      <w:r w:rsidR="008E4BE3" w:rsidRPr="00E75067">
        <w:rPr>
          <w:lang w:val="en-US"/>
        </w:rPr>
        <w:t>hemolymph</w:t>
      </w:r>
      <w:proofErr w:type="spellEnd"/>
      <w:r w:rsidR="008E4BE3" w:rsidRPr="00E75067">
        <w:rPr>
          <w:lang w:val="en-US"/>
        </w:rPr>
        <w:t xml:space="preserve"> to inhibit the growth of </w:t>
      </w:r>
      <w:r w:rsidR="00BF50DB">
        <w:rPr>
          <w:lang w:val="en-US"/>
        </w:rPr>
        <w:t>G</w:t>
      </w:r>
      <w:r w:rsidR="008E4BE3" w:rsidRPr="00E75067">
        <w:rPr>
          <w:lang w:val="en-US"/>
        </w:rPr>
        <w:t>ram-negative (</w:t>
      </w:r>
      <w:r w:rsidR="008E4BE3" w:rsidRPr="00BF50DB">
        <w:rPr>
          <w:i/>
          <w:lang w:val="en-US"/>
        </w:rPr>
        <w:t>Escherichia coli</w:t>
      </w:r>
      <w:r w:rsidR="008E4BE3" w:rsidRPr="00E75067">
        <w:rPr>
          <w:lang w:val="en-US"/>
        </w:rPr>
        <w:t xml:space="preserve"> D31) and Gram-positive (</w:t>
      </w:r>
      <w:r w:rsidR="008E4BE3" w:rsidRPr="00BF50DB">
        <w:rPr>
          <w:i/>
          <w:lang w:val="en-US"/>
        </w:rPr>
        <w:t>Bacillus circulans</w:t>
      </w:r>
      <w:r w:rsidR="008E4BE3" w:rsidRPr="00E75067">
        <w:rPr>
          <w:lang w:val="en-US"/>
        </w:rPr>
        <w:t xml:space="preserve">) bacteria. Microbial growth inhibition zones were tested not only in full cell-free </w:t>
      </w:r>
      <w:proofErr w:type="spellStart"/>
      <w:r w:rsidR="008E4BE3" w:rsidRPr="00E75067">
        <w:rPr>
          <w:lang w:val="en-US"/>
        </w:rPr>
        <w:t>hem</w:t>
      </w:r>
      <w:r w:rsidR="00BF50DB">
        <w:rPr>
          <w:lang w:val="en-US"/>
        </w:rPr>
        <w:t>olymph</w:t>
      </w:r>
      <w:proofErr w:type="spellEnd"/>
      <w:r w:rsidR="00BF50DB">
        <w:rPr>
          <w:lang w:val="en-US"/>
        </w:rPr>
        <w:t xml:space="preserve"> (using diffusion method),</w:t>
      </w:r>
      <w:r w:rsidR="008E4BE3" w:rsidRPr="00E75067">
        <w:rPr>
          <w:lang w:val="en-US"/>
        </w:rPr>
        <w:t xml:space="preserve"> but also around some peptides present in protein profiles after </w:t>
      </w:r>
      <w:proofErr w:type="spellStart"/>
      <w:r w:rsidR="008E4BE3" w:rsidRPr="00E75067">
        <w:rPr>
          <w:lang w:val="en-US"/>
        </w:rPr>
        <w:t>hemolymph</w:t>
      </w:r>
      <w:proofErr w:type="spellEnd"/>
      <w:r w:rsidR="008E4BE3" w:rsidRPr="00E75067">
        <w:rPr>
          <w:lang w:val="en-US"/>
        </w:rPr>
        <w:t xml:space="preserve"> electrophoresis (using </w:t>
      </w:r>
      <w:proofErr w:type="spellStart"/>
      <w:r w:rsidR="008E4BE3" w:rsidRPr="00E75067">
        <w:rPr>
          <w:lang w:val="en-US"/>
        </w:rPr>
        <w:t>bioautography</w:t>
      </w:r>
      <w:proofErr w:type="spellEnd"/>
      <w:r w:rsidR="008E4BE3" w:rsidRPr="00E75067">
        <w:rPr>
          <w:lang w:val="en-US"/>
        </w:rPr>
        <w:t>).</w:t>
      </w:r>
      <w:r w:rsidR="0075789D" w:rsidRPr="00E75067">
        <w:rPr>
          <w:lang w:val="en-US"/>
        </w:rPr>
        <w:t xml:space="preserve"> </w:t>
      </w:r>
      <w:r w:rsidR="00BC0BFE" w:rsidRPr="00E75067">
        <w:rPr>
          <w:lang w:val="en-US"/>
        </w:rPr>
        <w:t xml:space="preserve">Additionally </w:t>
      </w:r>
      <w:r w:rsidR="0075789D" w:rsidRPr="00E75067">
        <w:rPr>
          <w:lang w:val="en-US"/>
        </w:rPr>
        <w:t xml:space="preserve">the ability to </w:t>
      </w:r>
      <w:r w:rsidR="00BC0BFE" w:rsidRPr="00E75067">
        <w:rPr>
          <w:i/>
          <w:lang w:val="en-US"/>
        </w:rPr>
        <w:t>M</w:t>
      </w:r>
      <w:r w:rsidR="0075789D" w:rsidRPr="00E75067">
        <w:rPr>
          <w:i/>
          <w:lang w:val="en-US"/>
        </w:rPr>
        <w:t>icrococcus</w:t>
      </w:r>
      <w:r w:rsidR="0075789D" w:rsidRPr="00E75067">
        <w:rPr>
          <w:lang w:val="en-US"/>
        </w:rPr>
        <w:t xml:space="preserve"> </w:t>
      </w:r>
      <w:r w:rsidR="0075789D" w:rsidRPr="00E75067">
        <w:rPr>
          <w:i/>
          <w:lang w:val="en-US"/>
        </w:rPr>
        <w:t>lysodeikticus</w:t>
      </w:r>
      <w:r w:rsidR="0075789D" w:rsidRPr="00E75067">
        <w:rPr>
          <w:lang w:val="en-US"/>
        </w:rPr>
        <w:t xml:space="preserve"> </w:t>
      </w:r>
      <w:proofErr w:type="spellStart"/>
      <w:r w:rsidR="00BC0BFE" w:rsidRPr="00E75067">
        <w:rPr>
          <w:lang w:val="en-US"/>
        </w:rPr>
        <w:t>peptidoglycan</w:t>
      </w:r>
      <w:proofErr w:type="spellEnd"/>
      <w:r w:rsidR="00BC0BFE" w:rsidRPr="00E75067">
        <w:rPr>
          <w:lang w:val="en-US"/>
        </w:rPr>
        <w:t xml:space="preserve"> degradation </w:t>
      </w:r>
      <w:r w:rsidR="0075789D" w:rsidRPr="00E75067">
        <w:rPr>
          <w:lang w:val="en-US"/>
        </w:rPr>
        <w:t xml:space="preserve">(so-called </w:t>
      </w:r>
      <w:proofErr w:type="spellStart"/>
      <w:r w:rsidR="0075789D" w:rsidRPr="00E75067">
        <w:rPr>
          <w:lang w:val="en-US"/>
        </w:rPr>
        <w:t>lysozyme</w:t>
      </w:r>
      <w:proofErr w:type="spellEnd"/>
      <w:r w:rsidR="00BF50DB">
        <w:rPr>
          <w:lang w:val="en-US"/>
        </w:rPr>
        <w:t>-type</w:t>
      </w:r>
      <w:r w:rsidR="0075789D" w:rsidRPr="00E75067">
        <w:rPr>
          <w:lang w:val="en-US"/>
        </w:rPr>
        <w:t xml:space="preserve"> activity) and </w:t>
      </w:r>
      <w:proofErr w:type="spellStart"/>
      <w:r w:rsidR="0075789D" w:rsidRPr="00E75067">
        <w:rPr>
          <w:lang w:val="en-US"/>
        </w:rPr>
        <w:t>phenoloxidase</w:t>
      </w:r>
      <w:proofErr w:type="spellEnd"/>
      <w:r w:rsidR="0075789D" w:rsidRPr="00E75067">
        <w:rPr>
          <w:lang w:val="en-US"/>
        </w:rPr>
        <w:t xml:space="preserve"> activity </w:t>
      </w:r>
      <w:r w:rsidR="00BC0BFE" w:rsidRPr="00E75067">
        <w:rPr>
          <w:lang w:val="en-US"/>
        </w:rPr>
        <w:t>w</w:t>
      </w:r>
      <w:r w:rsidR="00E50604" w:rsidRPr="00E75067">
        <w:rPr>
          <w:lang w:val="en-US"/>
        </w:rPr>
        <w:t>ere</w:t>
      </w:r>
      <w:r w:rsidR="00BC0BFE" w:rsidRPr="00E75067">
        <w:rPr>
          <w:lang w:val="en-US"/>
        </w:rPr>
        <w:t xml:space="preserve"> checked in full cell-free </w:t>
      </w:r>
      <w:proofErr w:type="spellStart"/>
      <w:r w:rsidR="00BC0BFE" w:rsidRPr="00E75067">
        <w:rPr>
          <w:lang w:val="en-US"/>
        </w:rPr>
        <w:t>hemolymph</w:t>
      </w:r>
      <w:proofErr w:type="spellEnd"/>
      <w:r w:rsidR="00BF50DB">
        <w:rPr>
          <w:lang w:val="en-US"/>
        </w:rPr>
        <w:t>. In </w:t>
      </w:r>
      <w:r w:rsidR="0075789D" w:rsidRPr="00E75067">
        <w:rPr>
          <w:lang w:val="en-US"/>
        </w:rPr>
        <w:t xml:space="preserve">general, these parameters </w:t>
      </w:r>
      <w:r w:rsidR="00E50604" w:rsidRPr="00E75067">
        <w:rPr>
          <w:lang w:val="en-US"/>
        </w:rPr>
        <w:t xml:space="preserve">revealed </w:t>
      </w:r>
      <w:r w:rsidR="0075789D" w:rsidRPr="00E75067">
        <w:rPr>
          <w:lang w:val="en-US"/>
        </w:rPr>
        <w:t xml:space="preserve">the </w:t>
      </w:r>
      <w:r w:rsidR="00E50604" w:rsidRPr="00E75067">
        <w:rPr>
          <w:lang w:val="en-US"/>
        </w:rPr>
        <w:t>extent</w:t>
      </w:r>
      <w:r w:rsidR="0075789D" w:rsidRPr="00E75067">
        <w:rPr>
          <w:lang w:val="en-US"/>
        </w:rPr>
        <w:t xml:space="preserve"> of </w:t>
      </w:r>
      <w:r w:rsidR="00786B11" w:rsidRPr="00E75067">
        <w:rPr>
          <w:lang w:val="en-US"/>
        </w:rPr>
        <w:t xml:space="preserve">stimulation of </w:t>
      </w:r>
      <w:r w:rsidR="00786B11" w:rsidRPr="00E75067">
        <w:rPr>
          <w:i/>
          <w:lang w:val="en-US"/>
        </w:rPr>
        <w:t>G. mellonella</w:t>
      </w:r>
      <w:r w:rsidR="00786B11" w:rsidRPr="00E75067">
        <w:rPr>
          <w:lang w:val="en-US"/>
        </w:rPr>
        <w:t xml:space="preserve"> larvae immune system </w:t>
      </w:r>
      <w:r w:rsidR="00F322DC" w:rsidRPr="00E75067">
        <w:rPr>
          <w:lang w:val="en-US"/>
        </w:rPr>
        <w:t xml:space="preserve">in response to </w:t>
      </w:r>
      <w:r w:rsidR="0075789D" w:rsidRPr="00E75067">
        <w:rPr>
          <w:lang w:val="en-US"/>
        </w:rPr>
        <w:t xml:space="preserve">the </w:t>
      </w:r>
      <w:r w:rsidR="00F322DC" w:rsidRPr="00E75067">
        <w:rPr>
          <w:lang w:val="en-US"/>
        </w:rPr>
        <w:t xml:space="preserve">given </w:t>
      </w:r>
      <w:proofErr w:type="spellStart"/>
      <w:r w:rsidR="0075789D" w:rsidRPr="00E75067">
        <w:rPr>
          <w:lang w:val="en-US"/>
        </w:rPr>
        <w:t>immunogen</w:t>
      </w:r>
      <w:proofErr w:type="spellEnd"/>
      <w:r w:rsidR="0075789D" w:rsidRPr="00E75067">
        <w:rPr>
          <w:lang w:val="en-US"/>
        </w:rPr>
        <w:t xml:space="preserve">. The level of </w:t>
      </w:r>
      <w:r w:rsidR="00F322DC" w:rsidRPr="00E75067">
        <w:rPr>
          <w:lang w:val="en-US"/>
        </w:rPr>
        <w:t xml:space="preserve">defense </w:t>
      </w:r>
      <w:r w:rsidR="0075789D" w:rsidRPr="00E75067">
        <w:rPr>
          <w:lang w:val="en-US"/>
        </w:rPr>
        <w:t xml:space="preserve">activity </w:t>
      </w:r>
      <w:r w:rsidR="00F322DC" w:rsidRPr="00E75067">
        <w:rPr>
          <w:lang w:val="en-US"/>
        </w:rPr>
        <w:t>checked</w:t>
      </w:r>
      <w:r w:rsidR="0075789D" w:rsidRPr="00E75067">
        <w:rPr>
          <w:lang w:val="en-US"/>
        </w:rPr>
        <w:t xml:space="preserve"> in </w:t>
      </w:r>
      <w:r w:rsidR="00F322DC" w:rsidRPr="00E75067">
        <w:rPr>
          <w:lang w:val="en-US"/>
        </w:rPr>
        <w:t xml:space="preserve">the </w:t>
      </w:r>
      <w:proofErr w:type="spellStart"/>
      <w:r w:rsidR="0075789D" w:rsidRPr="00E75067">
        <w:rPr>
          <w:lang w:val="en-US"/>
        </w:rPr>
        <w:t>hemolymph</w:t>
      </w:r>
      <w:proofErr w:type="spellEnd"/>
      <w:r w:rsidR="0075789D" w:rsidRPr="00E75067">
        <w:rPr>
          <w:lang w:val="en-US"/>
        </w:rPr>
        <w:t xml:space="preserve"> </w:t>
      </w:r>
      <w:r w:rsidR="00F322DC" w:rsidRPr="00E75067">
        <w:rPr>
          <w:lang w:val="en-US"/>
        </w:rPr>
        <w:t xml:space="preserve">of greater wax moth </w:t>
      </w:r>
      <w:r w:rsidR="0075789D" w:rsidRPr="00E75067">
        <w:rPr>
          <w:lang w:val="en-US"/>
        </w:rPr>
        <w:t>larvae</w:t>
      </w:r>
      <w:r w:rsidR="00F322DC" w:rsidRPr="00E75067">
        <w:rPr>
          <w:lang w:val="en-US"/>
        </w:rPr>
        <w:t xml:space="preserve"> </w:t>
      </w:r>
      <w:r w:rsidR="0075789D" w:rsidRPr="00E75067">
        <w:rPr>
          <w:lang w:val="en-US"/>
        </w:rPr>
        <w:t xml:space="preserve">was </w:t>
      </w:r>
      <w:r w:rsidR="00F322DC" w:rsidRPr="00E75067">
        <w:rPr>
          <w:lang w:val="en-US"/>
        </w:rPr>
        <w:t>analyzed</w:t>
      </w:r>
      <w:r w:rsidR="0075789D" w:rsidRPr="00E75067">
        <w:rPr>
          <w:lang w:val="en-US"/>
        </w:rPr>
        <w:t xml:space="preserve"> </w:t>
      </w:r>
      <w:r w:rsidR="00F322DC" w:rsidRPr="00E75067">
        <w:rPr>
          <w:lang w:val="en-US"/>
        </w:rPr>
        <w:t>in relation</w:t>
      </w:r>
      <w:r w:rsidR="0075789D" w:rsidRPr="00E75067">
        <w:rPr>
          <w:lang w:val="en-US"/>
        </w:rPr>
        <w:t xml:space="preserve"> to the expression of genes encoding proteins </w:t>
      </w:r>
      <w:r w:rsidR="00F322DC" w:rsidRPr="00E75067">
        <w:rPr>
          <w:lang w:val="en-US"/>
        </w:rPr>
        <w:t>or</w:t>
      </w:r>
      <w:r w:rsidR="0075789D" w:rsidRPr="00E75067">
        <w:rPr>
          <w:lang w:val="en-US"/>
        </w:rPr>
        <w:t xml:space="preserve"> peptides </w:t>
      </w:r>
      <w:r w:rsidR="00E349E1" w:rsidRPr="00E75067">
        <w:rPr>
          <w:lang w:val="en-US"/>
        </w:rPr>
        <w:t>having an</w:t>
      </w:r>
      <w:r w:rsidR="0075789D" w:rsidRPr="00E75067">
        <w:rPr>
          <w:lang w:val="en-US"/>
        </w:rPr>
        <w:t xml:space="preserve"> antimicrobial </w:t>
      </w:r>
      <w:r w:rsidR="00E349E1" w:rsidRPr="00E75067">
        <w:rPr>
          <w:lang w:val="en-US"/>
        </w:rPr>
        <w:t>properties</w:t>
      </w:r>
      <w:r w:rsidR="0075789D" w:rsidRPr="00E75067">
        <w:rPr>
          <w:lang w:val="en-US"/>
        </w:rPr>
        <w:t xml:space="preserve">, or </w:t>
      </w:r>
      <w:r w:rsidR="00BF50DB">
        <w:rPr>
          <w:lang w:val="en-US"/>
        </w:rPr>
        <w:t xml:space="preserve">proteins </w:t>
      </w:r>
      <w:r w:rsidR="0075789D" w:rsidRPr="00E75067">
        <w:rPr>
          <w:lang w:val="en-US"/>
        </w:rPr>
        <w:t xml:space="preserve">recognizing and </w:t>
      </w:r>
      <w:proofErr w:type="spellStart"/>
      <w:r w:rsidR="0075789D" w:rsidRPr="00E75067">
        <w:rPr>
          <w:lang w:val="en-US"/>
        </w:rPr>
        <w:t>opsonizing</w:t>
      </w:r>
      <w:proofErr w:type="spellEnd"/>
      <w:r w:rsidR="0075789D" w:rsidRPr="00E75067">
        <w:rPr>
          <w:lang w:val="en-US"/>
        </w:rPr>
        <w:t xml:space="preserve"> the pathogen. Among them </w:t>
      </w:r>
      <w:proofErr w:type="spellStart"/>
      <w:r w:rsidR="0075789D" w:rsidRPr="00E75067">
        <w:rPr>
          <w:lang w:val="en-US"/>
        </w:rPr>
        <w:t>ce</w:t>
      </w:r>
      <w:r w:rsidR="00E349E1" w:rsidRPr="00E75067">
        <w:rPr>
          <w:lang w:val="en-US"/>
        </w:rPr>
        <w:t>c</w:t>
      </w:r>
      <w:r w:rsidR="0075789D" w:rsidRPr="00E75067">
        <w:rPr>
          <w:lang w:val="en-US"/>
        </w:rPr>
        <w:t>ropin</w:t>
      </w:r>
      <w:proofErr w:type="spellEnd"/>
      <w:r w:rsidR="00E349E1" w:rsidRPr="00E75067">
        <w:rPr>
          <w:lang w:val="en-US"/>
        </w:rPr>
        <w:t xml:space="preserve">, </w:t>
      </w:r>
      <w:proofErr w:type="spellStart"/>
      <w:r w:rsidR="00E349E1" w:rsidRPr="00E75067">
        <w:rPr>
          <w:lang w:val="en-US"/>
        </w:rPr>
        <w:t>galleri</w:t>
      </w:r>
      <w:r w:rsidR="0075789D" w:rsidRPr="00E75067">
        <w:rPr>
          <w:lang w:val="en-US"/>
        </w:rPr>
        <w:t>mycin</w:t>
      </w:r>
      <w:proofErr w:type="spellEnd"/>
      <w:r w:rsidR="0075789D" w:rsidRPr="00E75067">
        <w:rPr>
          <w:lang w:val="en-US"/>
        </w:rPr>
        <w:t xml:space="preserve">, </w:t>
      </w:r>
      <w:proofErr w:type="spellStart"/>
      <w:r w:rsidR="0075789D" w:rsidRPr="00E75067">
        <w:rPr>
          <w:lang w:val="en-US"/>
        </w:rPr>
        <w:t>galiomycin</w:t>
      </w:r>
      <w:proofErr w:type="spellEnd"/>
      <w:r w:rsidR="0075789D" w:rsidRPr="00E75067">
        <w:rPr>
          <w:lang w:val="en-US"/>
        </w:rPr>
        <w:t>, anionic peptide II,</w:t>
      </w:r>
      <w:r w:rsidR="00E349E1" w:rsidRPr="00E75067">
        <w:rPr>
          <w:lang w:val="en-US"/>
        </w:rPr>
        <w:t xml:space="preserve"> insect</w:t>
      </w:r>
      <w:r w:rsidR="0075789D" w:rsidRPr="00E75067">
        <w:rPr>
          <w:lang w:val="en-US"/>
        </w:rPr>
        <w:t xml:space="preserve"> metalloproteinase inhibitor</w:t>
      </w:r>
      <w:r w:rsidR="00E349E1" w:rsidRPr="00E75067">
        <w:rPr>
          <w:lang w:val="en-US"/>
        </w:rPr>
        <w:t xml:space="preserve"> (IMPI)</w:t>
      </w:r>
      <w:r w:rsidR="0075789D" w:rsidRPr="00E75067">
        <w:rPr>
          <w:lang w:val="en-US"/>
        </w:rPr>
        <w:t xml:space="preserve">, </w:t>
      </w:r>
      <w:proofErr w:type="spellStart"/>
      <w:r w:rsidR="0075789D" w:rsidRPr="00E75067">
        <w:rPr>
          <w:lang w:val="en-US"/>
        </w:rPr>
        <w:t>hemolin</w:t>
      </w:r>
      <w:proofErr w:type="spellEnd"/>
      <w:r w:rsidR="0075789D" w:rsidRPr="00E75067">
        <w:rPr>
          <w:lang w:val="en-US"/>
        </w:rPr>
        <w:t xml:space="preserve">, and </w:t>
      </w:r>
      <w:proofErr w:type="spellStart"/>
      <w:r w:rsidR="0075789D" w:rsidRPr="00E75067">
        <w:rPr>
          <w:lang w:val="en-US"/>
        </w:rPr>
        <w:t>apolipophorin</w:t>
      </w:r>
      <w:proofErr w:type="spellEnd"/>
      <w:r w:rsidR="0075789D" w:rsidRPr="00E75067">
        <w:rPr>
          <w:lang w:val="en-US"/>
        </w:rPr>
        <w:t xml:space="preserve"> III</w:t>
      </w:r>
      <w:r w:rsidR="00F9097B" w:rsidRPr="00E75067">
        <w:rPr>
          <w:lang w:val="en-US"/>
        </w:rPr>
        <w:t xml:space="preserve"> (apoLp-III)</w:t>
      </w:r>
      <w:r w:rsidR="00E349E1" w:rsidRPr="00E75067">
        <w:rPr>
          <w:lang w:val="en-US"/>
        </w:rPr>
        <w:t xml:space="preserve"> </w:t>
      </w:r>
      <w:r w:rsidR="006C7B73" w:rsidRPr="00E75067">
        <w:rPr>
          <w:lang w:val="en-US"/>
        </w:rPr>
        <w:t xml:space="preserve">are worth mentioning. Expression of these polypeptides was estimated on the basis of the amount of mRNA transcripts (detected by the reverse transcription and Real-Time </w:t>
      </w:r>
      <w:proofErr w:type="spellStart"/>
      <w:r w:rsidR="006C7B73" w:rsidRPr="00E75067">
        <w:rPr>
          <w:lang w:val="en-US"/>
        </w:rPr>
        <w:t>qPCR</w:t>
      </w:r>
      <w:proofErr w:type="spellEnd"/>
      <w:r w:rsidR="006C7B73" w:rsidRPr="00E75067">
        <w:rPr>
          <w:lang w:val="en-US"/>
        </w:rPr>
        <w:t xml:space="preserve">) in the fat </w:t>
      </w:r>
      <w:r w:rsidR="00E75067">
        <w:rPr>
          <w:lang w:val="en-US"/>
        </w:rPr>
        <w:t>body</w:t>
      </w:r>
      <w:r w:rsidR="006C7B73" w:rsidRPr="00E75067">
        <w:rPr>
          <w:lang w:val="en-US"/>
        </w:rPr>
        <w:t xml:space="preserve"> of treated insect. </w:t>
      </w:r>
      <w:r w:rsidR="00AB4537" w:rsidRPr="006C7B73">
        <w:rPr>
          <w:rStyle w:val="gt-baf-word-clickable"/>
          <w:lang w:val="en-US"/>
        </w:rPr>
        <w:t>Furthermore</w:t>
      </w:r>
      <w:r w:rsidR="00585DA1">
        <w:rPr>
          <w:rStyle w:val="gt-baf-word-clickable"/>
          <w:lang w:val="en-US"/>
        </w:rPr>
        <w:t xml:space="preserve"> the one- and two-dimensional protein profiles and the profiles of low-molecular polypeptides (which were obtained using </w:t>
      </w:r>
      <w:r w:rsidR="00585DA1" w:rsidRPr="00E75067">
        <w:rPr>
          <w:lang w:val="en-US"/>
        </w:rPr>
        <w:t>SDS-PAGE and IEF SDS-PAGE or Tris-</w:t>
      </w:r>
      <w:proofErr w:type="spellStart"/>
      <w:r w:rsidR="00585DA1" w:rsidRPr="00E75067">
        <w:rPr>
          <w:lang w:val="en-US"/>
        </w:rPr>
        <w:t>tricine</w:t>
      </w:r>
      <w:proofErr w:type="spellEnd"/>
      <w:r w:rsidR="00585DA1" w:rsidRPr="00E75067">
        <w:rPr>
          <w:lang w:val="en-US"/>
        </w:rPr>
        <w:t xml:space="preserve"> electrophoresis respectively) were compared. After one-dimensional electrophoresis the amount of apoLp-III was also analyzed - in this case </w:t>
      </w:r>
      <w:r w:rsidR="006C7B73" w:rsidRPr="00E75067">
        <w:rPr>
          <w:lang w:val="en-US"/>
        </w:rPr>
        <w:t>specific antibodies that recognize</w:t>
      </w:r>
      <w:r w:rsidR="00585DA1" w:rsidRPr="00E75067">
        <w:rPr>
          <w:lang w:val="en-US"/>
        </w:rPr>
        <w:t>d</w:t>
      </w:r>
      <w:r w:rsidR="006C7B73" w:rsidRPr="00E75067">
        <w:rPr>
          <w:lang w:val="en-US"/>
        </w:rPr>
        <w:t xml:space="preserve"> this protein</w:t>
      </w:r>
      <w:r w:rsidR="00585DA1" w:rsidRPr="00E75067">
        <w:rPr>
          <w:lang w:val="en-US"/>
        </w:rPr>
        <w:t xml:space="preserve"> were used</w:t>
      </w:r>
      <w:r w:rsidR="006C7B73" w:rsidRPr="00E75067">
        <w:rPr>
          <w:lang w:val="en-US"/>
        </w:rPr>
        <w:t xml:space="preserve"> (</w:t>
      </w:r>
      <w:r w:rsidR="00F9097B" w:rsidRPr="00E75067">
        <w:rPr>
          <w:lang w:val="en-US"/>
        </w:rPr>
        <w:t xml:space="preserve">in so-called </w:t>
      </w:r>
      <w:proofErr w:type="spellStart"/>
      <w:r w:rsidR="006C7B73" w:rsidRPr="00E75067">
        <w:rPr>
          <w:lang w:val="en-US"/>
        </w:rPr>
        <w:t>immunodetection</w:t>
      </w:r>
      <w:proofErr w:type="spellEnd"/>
      <w:r w:rsidR="006C7B73" w:rsidRPr="00E75067">
        <w:rPr>
          <w:lang w:val="en-US"/>
        </w:rPr>
        <w:t>)</w:t>
      </w:r>
      <w:r w:rsidR="00F9097B" w:rsidRPr="00E75067">
        <w:rPr>
          <w:lang w:val="en-US"/>
        </w:rPr>
        <w:t>.</w:t>
      </w:r>
    </w:p>
    <w:p w:rsidR="00D74B92" w:rsidRPr="00E75067" w:rsidRDefault="00F9097B">
      <w:pPr>
        <w:rPr>
          <w:lang w:val="en-US"/>
        </w:rPr>
      </w:pPr>
      <w:r w:rsidRPr="00E75067">
        <w:rPr>
          <w:lang w:val="en-US"/>
        </w:rPr>
        <w:t xml:space="preserve">The obtained data allow </w:t>
      </w:r>
      <w:proofErr w:type="gramStart"/>
      <w:r w:rsidRPr="00E75067">
        <w:rPr>
          <w:lang w:val="en-US"/>
        </w:rPr>
        <w:t>to</w:t>
      </w:r>
      <w:r w:rsidR="00BF50DB">
        <w:rPr>
          <w:lang w:val="en-US"/>
        </w:rPr>
        <w:t xml:space="preserve"> </w:t>
      </w:r>
      <w:r w:rsidRPr="00E75067">
        <w:rPr>
          <w:lang w:val="en-US"/>
        </w:rPr>
        <w:t>conclude</w:t>
      </w:r>
      <w:proofErr w:type="gramEnd"/>
      <w:r w:rsidRPr="00E75067">
        <w:rPr>
          <w:lang w:val="en-US"/>
        </w:rPr>
        <w:t xml:space="preserve">, that both temperature fluctuations and previous immunological experience can significantly modulate the resistance of </w:t>
      </w:r>
      <w:r w:rsidRPr="00E75067">
        <w:rPr>
          <w:i/>
          <w:lang w:val="en-US"/>
        </w:rPr>
        <w:t>G. mellonella</w:t>
      </w:r>
      <w:r w:rsidRPr="00E75067">
        <w:rPr>
          <w:lang w:val="en-US"/>
        </w:rPr>
        <w:t xml:space="preserve"> larvae to subsequent infection with lethal dose of </w:t>
      </w:r>
      <w:r w:rsidRPr="00E75067">
        <w:rPr>
          <w:i/>
          <w:lang w:val="en-US"/>
        </w:rPr>
        <w:t>B. thuringiensis</w:t>
      </w:r>
      <w:r w:rsidRPr="00E75067">
        <w:rPr>
          <w:lang w:val="en-US"/>
        </w:rPr>
        <w:t xml:space="preserve">. However, depending on the used </w:t>
      </w:r>
      <w:proofErr w:type="spellStart"/>
      <w:r w:rsidRPr="00E75067">
        <w:rPr>
          <w:lang w:val="en-US"/>
        </w:rPr>
        <w:t>immunomodulator</w:t>
      </w:r>
      <w:proofErr w:type="spellEnd"/>
      <w:r w:rsidRPr="00E75067">
        <w:rPr>
          <w:lang w:val="en-US"/>
        </w:rPr>
        <w:t xml:space="preserve"> (elevated temperature or prior contact with the pathogen) parameters of the </w:t>
      </w:r>
      <w:proofErr w:type="spellStart"/>
      <w:r w:rsidRPr="00E75067">
        <w:rPr>
          <w:lang w:val="en-US"/>
        </w:rPr>
        <w:t>humoral</w:t>
      </w:r>
      <w:proofErr w:type="spellEnd"/>
      <w:r w:rsidRPr="00E75067">
        <w:rPr>
          <w:lang w:val="en-US"/>
        </w:rPr>
        <w:t xml:space="preserve"> response were altered</w:t>
      </w:r>
      <w:r w:rsidR="00AC6811" w:rsidRPr="00E75067">
        <w:rPr>
          <w:lang w:val="en-US"/>
        </w:rPr>
        <w:t xml:space="preserve"> in a various way</w:t>
      </w:r>
      <w:r w:rsidRPr="00E75067">
        <w:rPr>
          <w:lang w:val="en-US"/>
        </w:rPr>
        <w:t xml:space="preserve">. Exposure of </w:t>
      </w:r>
      <w:r w:rsidR="00AC6811" w:rsidRPr="00E75067">
        <w:rPr>
          <w:lang w:val="en-US"/>
        </w:rPr>
        <w:t xml:space="preserve">the greater wax moth </w:t>
      </w:r>
      <w:r w:rsidRPr="00E75067">
        <w:rPr>
          <w:lang w:val="en-US"/>
        </w:rPr>
        <w:t xml:space="preserve">larvae to the elevated temperature </w:t>
      </w:r>
      <w:r w:rsidR="00AC6811" w:rsidRPr="00E75067">
        <w:rPr>
          <w:lang w:val="en-US"/>
        </w:rPr>
        <w:t>directly before</w:t>
      </w:r>
      <w:r w:rsidRPr="00E75067">
        <w:rPr>
          <w:lang w:val="en-US"/>
        </w:rPr>
        <w:t xml:space="preserve"> </w:t>
      </w:r>
      <w:r w:rsidR="00AC6811" w:rsidRPr="00E75067">
        <w:rPr>
          <w:lang w:val="en-US"/>
        </w:rPr>
        <w:t xml:space="preserve">pathogen </w:t>
      </w:r>
      <w:r w:rsidRPr="00E75067">
        <w:rPr>
          <w:lang w:val="en-US"/>
        </w:rPr>
        <w:t>application</w:t>
      </w:r>
      <w:r w:rsidR="00AC6811" w:rsidRPr="00E75067">
        <w:rPr>
          <w:lang w:val="en-US"/>
        </w:rPr>
        <w:t>,</w:t>
      </w:r>
      <w:r w:rsidRPr="00E75067">
        <w:rPr>
          <w:lang w:val="en-US"/>
        </w:rPr>
        <w:t xml:space="preserve"> resulted in increased antibacterial activity in full </w:t>
      </w:r>
      <w:r w:rsidR="00AC6811" w:rsidRPr="00E75067">
        <w:rPr>
          <w:lang w:val="en-US"/>
        </w:rPr>
        <w:t xml:space="preserve">cell-free </w:t>
      </w:r>
      <w:proofErr w:type="spellStart"/>
      <w:r w:rsidRPr="00E75067">
        <w:rPr>
          <w:lang w:val="en-US"/>
        </w:rPr>
        <w:t>hemolymph</w:t>
      </w:r>
      <w:proofErr w:type="spellEnd"/>
      <w:r w:rsidRPr="00E75067">
        <w:rPr>
          <w:lang w:val="en-US"/>
        </w:rPr>
        <w:t xml:space="preserve"> - </w:t>
      </w:r>
      <w:r w:rsidR="00AC6811" w:rsidRPr="00E75067">
        <w:rPr>
          <w:lang w:val="en-US"/>
        </w:rPr>
        <w:t xml:space="preserve">in </w:t>
      </w:r>
      <w:r w:rsidRPr="00E75067">
        <w:rPr>
          <w:lang w:val="en-US"/>
        </w:rPr>
        <w:t>compar</w:t>
      </w:r>
      <w:r w:rsidR="00AC6811" w:rsidRPr="00E75067">
        <w:rPr>
          <w:lang w:val="en-US"/>
        </w:rPr>
        <w:t>ison</w:t>
      </w:r>
      <w:r w:rsidRPr="00E75067">
        <w:rPr>
          <w:lang w:val="en-US"/>
        </w:rPr>
        <w:t xml:space="preserve"> to the level </w:t>
      </w:r>
      <w:r w:rsidR="00CA31FF" w:rsidRPr="00E75067">
        <w:rPr>
          <w:lang w:val="en-US"/>
        </w:rPr>
        <w:t xml:space="preserve">of this activity </w:t>
      </w:r>
      <w:r w:rsidRPr="00E75067">
        <w:rPr>
          <w:lang w:val="en-US"/>
        </w:rPr>
        <w:t xml:space="preserve">observed in infected </w:t>
      </w:r>
      <w:r w:rsidR="00AC6811" w:rsidRPr="00E75067">
        <w:rPr>
          <w:lang w:val="en-US"/>
        </w:rPr>
        <w:t>larvae</w:t>
      </w:r>
      <w:r w:rsidRPr="00E75067">
        <w:rPr>
          <w:lang w:val="en-US"/>
        </w:rPr>
        <w:t xml:space="preserve"> </w:t>
      </w:r>
      <w:r w:rsidR="00AC6811" w:rsidRPr="00E75067">
        <w:rPr>
          <w:lang w:val="en-US"/>
        </w:rPr>
        <w:lastRenderedPageBreak/>
        <w:t>reared</w:t>
      </w:r>
      <w:r w:rsidRPr="00E75067">
        <w:rPr>
          <w:lang w:val="en-US"/>
        </w:rPr>
        <w:t xml:space="preserve"> constant</w:t>
      </w:r>
      <w:r w:rsidR="00AC6811" w:rsidRPr="00E75067">
        <w:rPr>
          <w:lang w:val="en-US"/>
        </w:rPr>
        <w:t>ly</w:t>
      </w:r>
      <w:r w:rsidRPr="00E75067">
        <w:rPr>
          <w:lang w:val="en-US"/>
        </w:rPr>
        <w:t xml:space="preserve"> at optim</w:t>
      </w:r>
      <w:r w:rsidR="00E1619D" w:rsidRPr="00E75067">
        <w:rPr>
          <w:lang w:val="en-US"/>
        </w:rPr>
        <w:t>al</w:t>
      </w:r>
      <w:r w:rsidRPr="00E75067">
        <w:rPr>
          <w:lang w:val="en-US"/>
        </w:rPr>
        <w:t xml:space="preserve"> temperature.</w:t>
      </w:r>
      <w:r w:rsidR="00E1619D" w:rsidRPr="00E75067">
        <w:rPr>
          <w:lang w:val="en-US"/>
        </w:rPr>
        <w:t xml:space="preserve"> </w:t>
      </w:r>
      <w:r w:rsidR="00B3367F" w:rsidRPr="00E75067">
        <w:rPr>
          <w:lang w:val="en-US"/>
        </w:rPr>
        <w:t>This evidence</w:t>
      </w:r>
      <w:r w:rsidR="00A73891" w:rsidRPr="00E75067">
        <w:rPr>
          <w:lang w:val="en-US"/>
        </w:rPr>
        <w:t xml:space="preserve"> correlated with the enhanced expression of genes encoding defense peptides (</w:t>
      </w:r>
      <w:proofErr w:type="spellStart"/>
      <w:r w:rsidR="00A73891" w:rsidRPr="00E75067">
        <w:rPr>
          <w:lang w:val="en-US"/>
        </w:rPr>
        <w:t>cecropin</w:t>
      </w:r>
      <w:proofErr w:type="spellEnd"/>
      <w:r w:rsidR="00A73891" w:rsidRPr="00E75067">
        <w:rPr>
          <w:lang w:val="en-US"/>
        </w:rPr>
        <w:t xml:space="preserve">, </w:t>
      </w:r>
      <w:proofErr w:type="spellStart"/>
      <w:r w:rsidR="00A73891" w:rsidRPr="00E75067">
        <w:rPr>
          <w:lang w:val="en-US"/>
        </w:rPr>
        <w:t>gallerimycin</w:t>
      </w:r>
      <w:proofErr w:type="spellEnd"/>
      <w:r w:rsidR="00A73891" w:rsidRPr="00E75067">
        <w:rPr>
          <w:lang w:val="en-US"/>
        </w:rPr>
        <w:t xml:space="preserve">, </w:t>
      </w:r>
      <w:proofErr w:type="spellStart"/>
      <w:r w:rsidR="00A73891" w:rsidRPr="00E75067">
        <w:rPr>
          <w:lang w:val="en-US"/>
        </w:rPr>
        <w:t>galiomycin</w:t>
      </w:r>
      <w:proofErr w:type="spellEnd"/>
      <w:r w:rsidR="00A73891" w:rsidRPr="00E75067">
        <w:rPr>
          <w:lang w:val="en-US"/>
        </w:rPr>
        <w:t xml:space="preserve">) </w:t>
      </w:r>
      <w:r w:rsidR="00B3367F" w:rsidRPr="00E75067">
        <w:rPr>
          <w:lang w:val="en-US"/>
        </w:rPr>
        <w:t xml:space="preserve">in the fat </w:t>
      </w:r>
      <w:r w:rsidR="00E75067">
        <w:rPr>
          <w:lang w:val="en-US"/>
        </w:rPr>
        <w:t>body</w:t>
      </w:r>
      <w:r w:rsidR="00B3367F" w:rsidRPr="00E75067">
        <w:rPr>
          <w:lang w:val="en-US"/>
        </w:rPr>
        <w:t xml:space="preserve"> of insects subjected to temperature stress just prior to infection (in comparison to the expression of these genes in the fat </w:t>
      </w:r>
      <w:r w:rsidR="00E75067">
        <w:rPr>
          <w:lang w:val="en-US"/>
        </w:rPr>
        <w:t>body</w:t>
      </w:r>
      <w:r w:rsidR="00B3367F" w:rsidRPr="00E75067">
        <w:rPr>
          <w:lang w:val="en-US"/>
        </w:rPr>
        <w:t xml:space="preserve"> of infected larvae kept at optimal conditions. </w:t>
      </w:r>
      <w:r w:rsidR="00A73891" w:rsidRPr="00E75067">
        <w:rPr>
          <w:lang w:val="en-US"/>
        </w:rPr>
        <w:t>The</w:t>
      </w:r>
      <w:r w:rsidR="00B3367F" w:rsidRPr="00E75067">
        <w:rPr>
          <w:lang w:val="en-US"/>
        </w:rPr>
        <w:t xml:space="preserve"> exposure of wax worms to </w:t>
      </w:r>
      <w:r w:rsidR="00A73891" w:rsidRPr="00E75067">
        <w:rPr>
          <w:lang w:val="en-US"/>
        </w:rPr>
        <w:t xml:space="preserve">heat stress </w:t>
      </w:r>
      <w:r w:rsidR="00B3367F" w:rsidRPr="00E75067">
        <w:rPr>
          <w:lang w:val="en-US"/>
        </w:rPr>
        <w:t xml:space="preserve">directly before </w:t>
      </w:r>
      <w:r w:rsidR="00A73891" w:rsidRPr="00E75067">
        <w:rPr>
          <w:lang w:val="en-US"/>
        </w:rPr>
        <w:t xml:space="preserve">injection of </w:t>
      </w:r>
      <w:r w:rsidR="00B3367F" w:rsidRPr="00E75067">
        <w:rPr>
          <w:i/>
          <w:lang w:val="en-US"/>
        </w:rPr>
        <w:t>B. </w:t>
      </w:r>
      <w:r w:rsidR="00A73891" w:rsidRPr="00E75067">
        <w:rPr>
          <w:i/>
          <w:lang w:val="en-US"/>
        </w:rPr>
        <w:t>thuringiensis</w:t>
      </w:r>
      <w:r w:rsidR="00A73891" w:rsidRPr="00E75067">
        <w:rPr>
          <w:lang w:val="en-US"/>
        </w:rPr>
        <w:t xml:space="preserve"> did not </w:t>
      </w:r>
      <w:r w:rsidR="00B3367F" w:rsidRPr="00E75067">
        <w:rPr>
          <w:lang w:val="en-US"/>
        </w:rPr>
        <w:t>affect</w:t>
      </w:r>
      <w:r w:rsidR="00A73891" w:rsidRPr="00E75067">
        <w:rPr>
          <w:lang w:val="en-US"/>
        </w:rPr>
        <w:t xml:space="preserve"> the expression of the IMPI </w:t>
      </w:r>
      <w:r w:rsidR="00EE1176" w:rsidRPr="00E75067">
        <w:rPr>
          <w:lang w:val="en-US"/>
        </w:rPr>
        <w:t>gene and</w:t>
      </w:r>
      <w:r w:rsidR="00A73891" w:rsidRPr="00E75067">
        <w:rPr>
          <w:lang w:val="en-US"/>
        </w:rPr>
        <w:t xml:space="preserve"> the apoLp-III </w:t>
      </w:r>
      <w:r w:rsidR="00EE1176" w:rsidRPr="00E75067">
        <w:rPr>
          <w:lang w:val="en-US"/>
        </w:rPr>
        <w:t xml:space="preserve">gene </w:t>
      </w:r>
      <w:r w:rsidR="00A73891" w:rsidRPr="00E75067">
        <w:rPr>
          <w:lang w:val="en-US"/>
        </w:rPr>
        <w:t xml:space="preserve">in the fat </w:t>
      </w:r>
      <w:r w:rsidR="00E75067">
        <w:rPr>
          <w:lang w:val="en-US"/>
        </w:rPr>
        <w:t>body</w:t>
      </w:r>
      <w:r w:rsidR="00A73891" w:rsidRPr="00E75067">
        <w:rPr>
          <w:lang w:val="en-US"/>
        </w:rPr>
        <w:t xml:space="preserve"> of the </w:t>
      </w:r>
      <w:r w:rsidR="00EE1176" w:rsidRPr="00E75067">
        <w:rPr>
          <w:lang w:val="en-US"/>
        </w:rPr>
        <w:t>studied</w:t>
      </w:r>
      <w:r w:rsidR="00A73891" w:rsidRPr="00E75067">
        <w:rPr>
          <w:lang w:val="en-US"/>
        </w:rPr>
        <w:t xml:space="preserve"> </w:t>
      </w:r>
      <w:r w:rsidR="00EE1176" w:rsidRPr="00E75067">
        <w:rPr>
          <w:lang w:val="en-US"/>
        </w:rPr>
        <w:t>insects</w:t>
      </w:r>
      <w:r w:rsidR="00A73891" w:rsidRPr="00E75067">
        <w:rPr>
          <w:lang w:val="en-US"/>
        </w:rPr>
        <w:t xml:space="preserve">. On the other hand, </w:t>
      </w:r>
      <w:r w:rsidR="00EE1176" w:rsidRPr="00E75067">
        <w:rPr>
          <w:lang w:val="en-US"/>
        </w:rPr>
        <w:t>previous</w:t>
      </w:r>
      <w:r w:rsidR="00A73891" w:rsidRPr="00E75067">
        <w:rPr>
          <w:lang w:val="en-US"/>
        </w:rPr>
        <w:t xml:space="preserve"> contact of </w:t>
      </w:r>
      <w:r w:rsidR="001B1D66" w:rsidRPr="00E75067">
        <w:rPr>
          <w:i/>
          <w:lang w:val="en-US"/>
        </w:rPr>
        <w:t>G. </w:t>
      </w:r>
      <w:r w:rsidR="00A73891" w:rsidRPr="00E75067">
        <w:rPr>
          <w:i/>
          <w:lang w:val="en-US"/>
        </w:rPr>
        <w:t>mellonella</w:t>
      </w:r>
      <w:r w:rsidR="00A73891" w:rsidRPr="00E75067">
        <w:rPr>
          <w:lang w:val="en-US"/>
        </w:rPr>
        <w:t xml:space="preserve"> </w:t>
      </w:r>
      <w:r w:rsidR="00EE1176" w:rsidRPr="00E75067">
        <w:rPr>
          <w:lang w:val="en-US"/>
        </w:rPr>
        <w:t>larvae</w:t>
      </w:r>
      <w:r w:rsidR="00A73891" w:rsidRPr="00E75067">
        <w:rPr>
          <w:lang w:val="en-US"/>
        </w:rPr>
        <w:t xml:space="preserve"> immune system with pathogen cells increased the level of antibacterial activity</w:t>
      </w:r>
      <w:r w:rsidR="001B1D66" w:rsidRPr="00E75067">
        <w:rPr>
          <w:lang w:val="en-US"/>
        </w:rPr>
        <w:t xml:space="preserve"> </w:t>
      </w:r>
      <w:r w:rsidR="00D74B92" w:rsidRPr="00E75067">
        <w:rPr>
          <w:lang w:val="en-US"/>
        </w:rPr>
        <w:t xml:space="preserve">during </w:t>
      </w:r>
      <w:proofErr w:type="spellStart"/>
      <w:r w:rsidR="001B1D66" w:rsidRPr="00E75067">
        <w:rPr>
          <w:lang w:val="en-US"/>
        </w:rPr>
        <w:t>reinfection</w:t>
      </w:r>
      <w:proofErr w:type="spellEnd"/>
      <w:r w:rsidR="00D74B92" w:rsidRPr="00E75067">
        <w:rPr>
          <w:lang w:val="en-US"/>
        </w:rPr>
        <w:t xml:space="preserve"> with </w:t>
      </w:r>
      <w:r w:rsidR="00D74B92" w:rsidRPr="00E75067">
        <w:rPr>
          <w:i/>
          <w:lang w:val="en-US"/>
        </w:rPr>
        <w:t>B. thuringiensis</w:t>
      </w:r>
      <w:r w:rsidR="001B1D66" w:rsidRPr="00E75067">
        <w:rPr>
          <w:lang w:val="en-US"/>
        </w:rPr>
        <w:t>.</w:t>
      </w:r>
      <w:r w:rsidR="00D74B92" w:rsidRPr="00E75067">
        <w:rPr>
          <w:lang w:val="en-US"/>
        </w:rPr>
        <w:t xml:space="preserve"> That effect was not due to the </w:t>
      </w:r>
      <w:r w:rsidR="00A73891" w:rsidRPr="00E75067">
        <w:rPr>
          <w:lang w:val="en-US"/>
        </w:rPr>
        <w:t xml:space="preserve">increased expression of genes encoding the </w:t>
      </w:r>
      <w:r w:rsidR="00D74B92" w:rsidRPr="00E75067">
        <w:rPr>
          <w:lang w:val="en-US"/>
        </w:rPr>
        <w:t>given</w:t>
      </w:r>
      <w:r w:rsidR="00A73891" w:rsidRPr="00E75067">
        <w:rPr>
          <w:lang w:val="en-US"/>
        </w:rPr>
        <w:t xml:space="preserve"> immune peptides (</w:t>
      </w:r>
      <w:proofErr w:type="spellStart"/>
      <w:r w:rsidR="00D74B92" w:rsidRPr="00E75067">
        <w:rPr>
          <w:lang w:val="en-US"/>
        </w:rPr>
        <w:t>cecropin</w:t>
      </w:r>
      <w:proofErr w:type="spellEnd"/>
      <w:r w:rsidR="00D74B92" w:rsidRPr="00E75067">
        <w:rPr>
          <w:lang w:val="en-US"/>
        </w:rPr>
        <w:t xml:space="preserve">, </w:t>
      </w:r>
      <w:proofErr w:type="spellStart"/>
      <w:r w:rsidR="00D74B92" w:rsidRPr="00E75067">
        <w:rPr>
          <w:lang w:val="en-US"/>
        </w:rPr>
        <w:t>gallerimycin</w:t>
      </w:r>
      <w:proofErr w:type="spellEnd"/>
      <w:r w:rsidR="00D74B92" w:rsidRPr="00E75067">
        <w:rPr>
          <w:lang w:val="en-US"/>
        </w:rPr>
        <w:t xml:space="preserve">, </w:t>
      </w:r>
      <w:proofErr w:type="spellStart"/>
      <w:r w:rsidR="00D74B92" w:rsidRPr="00E75067">
        <w:rPr>
          <w:lang w:val="en-US"/>
        </w:rPr>
        <w:t>galiomycin</w:t>
      </w:r>
      <w:proofErr w:type="spellEnd"/>
      <w:r w:rsidR="00A73891" w:rsidRPr="00E75067">
        <w:rPr>
          <w:lang w:val="en-US"/>
        </w:rPr>
        <w:t>).</w:t>
      </w:r>
      <w:r w:rsidR="00D74B92" w:rsidRPr="00E75067">
        <w:rPr>
          <w:lang w:val="en-US"/>
        </w:rPr>
        <w:t xml:space="preserve"> The analysis of </w:t>
      </w:r>
      <w:proofErr w:type="spellStart"/>
      <w:r w:rsidR="00D74B92" w:rsidRPr="00E75067">
        <w:rPr>
          <w:lang w:val="en-US"/>
        </w:rPr>
        <w:t>phenoloxidase</w:t>
      </w:r>
      <w:proofErr w:type="spellEnd"/>
      <w:r w:rsidR="00D74B92" w:rsidRPr="00E75067">
        <w:rPr>
          <w:lang w:val="en-US"/>
        </w:rPr>
        <w:t xml:space="preserve"> activity in </w:t>
      </w:r>
      <w:r w:rsidR="00D74B92" w:rsidRPr="00E75067">
        <w:rPr>
          <w:i/>
          <w:lang w:val="en-US"/>
        </w:rPr>
        <w:t>G. mellonella</w:t>
      </w:r>
      <w:r w:rsidR="00D74B92" w:rsidRPr="00E75067">
        <w:rPr>
          <w:lang w:val="en-US"/>
        </w:rPr>
        <w:t xml:space="preserve"> larvae </w:t>
      </w:r>
      <w:proofErr w:type="spellStart"/>
      <w:r w:rsidR="00D74B92" w:rsidRPr="00E75067">
        <w:rPr>
          <w:lang w:val="en-US"/>
        </w:rPr>
        <w:t>hemolymph</w:t>
      </w:r>
      <w:proofErr w:type="spellEnd"/>
      <w:r w:rsidR="00D74B92" w:rsidRPr="00E75067">
        <w:rPr>
          <w:lang w:val="en-US"/>
        </w:rPr>
        <w:t xml:space="preserve"> showed no significant differences between </w:t>
      </w:r>
      <w:r w:rsidR="00776B77" w:rsidRPr="00E75067">
        <w:rPr>
          <w:lang w:val="en-US"/>
        </w:rPr>
        <w:t xml:space="preserve">the </w:t>
      </w:r>
      <w:r w:rsidR="00D74B92" w:rsidRPr="00E75067">
        <w:rPr>
          <w:lang w:val="en-US"/>
        </w:rPr>
        <w:t xml:space="preserve">insects </w:t>
      </w:r>
      <w:r w:rsidR="00776B77" w:rsidRPr="00E75067">
        <w:rPr>
          <w:lang w:val="en-US"/>
        </w:rPr>
        <w:t>injected</w:t>
      </w:r>
      <w:r w:rsidR="00D74B92" w:rsidRPr="00E75067">
        <w:rPr>
          <w:lang w:val="en-US"/>
        </w:rPr>
        <w:t xml:space="preserve"> with </w:t>
      </w:r>
      <w:r w:rsidR="00776B77" w:rsidRPr="00E75067">
        <w:rPr>
          <w:i/>
          <w:lang w:val="en-US"/>
        </w:rPr>
        <w:t>B. </w:t>
      </w:r>
      <w:r w:rsidR="00D74B92" w:rsidRPr="00E75067">
        <w:rPr>
          <w:i/>
          <w:lang w:val="en-US"/>
        </w:rPr>
        <w:t>thuringiensis</w:t>
      </w:r>
      <w:r w:rsidR="00D74B92" w:rsidRPr="00E75067">
        <w:rPr>
          <w:lang w:val="en-US"/>
        </w:rPr>
        <w:t xml:space="preserve"> for the first time and </w:t>
      </w:r>
      <w:r w:rsidR="00776B77" w:rsidRPr="00E75067">
        <w:rPr>
          <w:lang w:val="en-US"/>
        </w:rPr>
        <w:t xml:space="preserve">the insects </w:t>
      </w:r>
      <w:r w:rsidR="00D74B92" w:rsidRPr="00E75067">
        <w:rPr>
          <w:lang w:val="en-US"/>
        </w:rPr>
        <w:t xml:space="preserve">infected again. </w:t>
      </w:r>
      <w:r w:rsidR="00776B77" w:rsidRPr="00E75067">
        <w:rPr>
          <w:lang w:val="en-US"/>
        </w:rPr>
        <w:t>Moreover, it has been shown</w:t>
      </w:r>
      <w:r w:rsidR="00D74B92" w:rsidRPr="00E75067">
        <w:rPr>
          <w:lang w:val="en-US"/>
        </w:rPr>
        <w:t xml:space="preserve"> that </w:t>
      </w:r>
      <w:r w:rsidR="00F25267" w:rsidRPr="00E75067">
        <w:rPr>
          <w:lang w:val="en-US"/>
        </w:rPr>
        <w:t xml:space="preserve">the </w:t>
      </w:r>
      <w:r w:rsidR="00BF50DB">
        <w:rPr>
          <w:lang w:val="en-US"/>
        </w:rPr>
        <w:t>modulation</w:t>
      </w:r>
      <w:r w:rsidR="00776B77" w:rsidRPr="00E75067">
        <w:rPr>
          <w:lang w:val="en-US"/>
        </w:rPr>
        <w:t xml:space="preserve"> of some</w:t>
      </w:r>
      <w:r w:rsidR="00D74B92" w:rsidRPr="00E75067">
        <w:rPr>
          <w:lang w:val="en-US"/>
        </w:rPr>
        <w:t xml:space="preserve"> aspects of the </w:t>
      </w:r>
      <w:r w:rsidR="00776B77" w:rsidRPr="00E75067">
        <w:rPr>
          <w:i/>
          <w:lang w:val="en-US"/>
        </w:rPr>
        <w:t>G. mellonella</w:t>
      </w:r>
      <w:r w:rsidR="00776B77" w:rsidRPr="00E75067">
        <w:rPr>
          <w:lang w:val="en-US"/>
        </w:rPr>
        <w:t xml:space="preserve"> larvae </w:t>
      </w:r>
      <w:proofErr w:type="spellStart"/>
      <w:r w:rsidR="00D74B92" w:rsidRPr="00E75067">
        <w:rPr>
          <w:lang w:val="en-US"/>
        </w:rPr>
        <w:t>humoral</w:t>
      </w:r>
      <w:proofErr w:type="spellEnd"/>
      <w:r w:rsidR="00D74B92" w:rsidRPr="00E75067">
        <w:rPr>
          <w:lang w:val="en-US"/>
        </w:rPr>
        <w:t xml:space="preserve"> response</w:t>
      </w:r>
      <w:r w:rsidR="00F25267" w:rsidRPr="00E75067">
        <w:rPr>
          <w:lang w:val="en-US"/>
        </w:rPr>
        <w:t>,</w:t>
      </w:r>
      <w:r w:rsidR="00776B77" w:rsidRPr="00E75067">
        <w:rPr>
          <w:lang w:val="en-US"/>
        </w:rPr>
        <w:t xml:space="preserve"> </w:t>
      </w:r>
      <w:r w:rsidR="00D74B92" w:rsidRPr="00E75067">
        <w:rPr>
          <w:lang w:val="en-US"/>
        </w:rPr>
        <w:t xml:space="preserve">as a result of their </w:t>
      </w:r>
      <w:r w:rsidR="00F25267" w:rsidRPr="00E75067">
        <w:rPr>
          <w:lang w:val="en-US"/>
        </w:rPr>
        <w:t>previous</w:t>
      </w:r>
      <w:r w:rsidR="00D74B92" w:rsidRPr="00E75067">
        <w:rPr>
          <w:lang w:val="en-US"/>
        </w:rPr>
        <w:t xml:space="preserve"> contact with the pathogen</w:t>
      </w:r>
      <w:r w:rsidR="00F25267" w:rsidRPr="00E75067">
        <w:rPr>
          <w:lang w:val="en-US"/>
        </w:rPr>
        <w:t>,</w:t>
      </w:r>
      <w:r w:rsidR="00D74B92" w:rsidRPr="00E75067">
        <w:rPr>
          <w:lang w:val="en-US"/>
        </w:rPr>
        <w:t xml:space="preserve"> was </w:t>
      </w:r>
      <w:proofErr w:type="gramStart"/>
      <w:r w:rsidR="00D74B92" w:rsidRPr="00E75067">
        <w:rPr>
          <w:lang w:val="en-US"/>
        </w:rPr>
        <w:t>dose-</w:t>
      </w:r>
      <w:r w:rsidR="00F25267" w:rsidRPr="00E75067">
        <w:rPr>
          <w:lang w:val="en-US"/>
        </w:rPr>
        <w:t xml:space="preserve"> and virulence-</w:t>
      </w:r>
      <w:r w:rsidR="00D74B92" w:rsidRPr="00E75067">
        <w:rPr>
          <w:lang w:val="en-US"/>
        </w:rPr>
        <w:t>dependent</w:t>
      </w:r>
      <w:proofErr w:type="gramEnd"/>
      <w:r w:rsidR="00D74B92" w:rsidRPr="00E75067">
        <w:rPr>
          <w:lang w:val="en-US"/>
        </w:rPr>
        <w:t xml:space="preserve">. The phenomenon of </w:t>
      </w:r>
      <w:r w:rsidR="00F25267" w:rsidRPr="00E75067">
        <w:rPr>
          <w:lang w:val="en-US"/>
        </w:rPr>
        <w:t>enhanced</w:t>
      </w:r>
      <w:r w:rsidR="00D74B92" w:rsidRPr="00E75067">
        <w:rPr>
          <w:lang w:val="en-US"/>
        </w:rPr>
        <w:t xml:space="preserve"> resistance of </w:t>
      </w:r>
      <w:r w:rsidR="00F25267" w:rsidRPr="00E75067">
        <w:rPr>
          <w:lang w:val="en-US"/>
        </w:rPr>
        <w:t>the greater wax moth</w:t>
      </w:r>
      <w:r w:rsidR="00D74B92" w:rsidRPr="00E75067">
        <w:rPr>
          <w:lang w:val="en-US"/>
        </w:rPr>
        <w:t xml:space="preserve"> </w:t>
      </w:r>
      <w:r w:rsidR="00F25267" w:rsidRPr="00E75067">
        <w:rPr>
          <w:lang w:val="en-US"/>
        </w:rPr>
        <w:t>larvae</w:t>
      </w:r>
      <w:r w:rsidR="00D74B92" w:rsidRPr="00E75067">
        <w:rPr>
          <w:lang w:val="en-US"/>
        </w:rPr>
        <w:t xml:space="preserve"> to </w:t>
      </w:r>
      <w:r w:rsidR="00BF50DB">
        <w:rPr>
          <w:lang w:val="en-US"/>
        </w:rPr>
        <w:t xml:space="preserve">subsequent </w:t>
      </w:r>
      <w:r w:rsidR="00D74B92" w:rsidRPr="00E75067">
        <w:rPr>
          <w:lang w:val="en-US"/>
        </w:rPr>
        <w:t xml:space="preserve">infection </w:t>
      </w:r>
      <w:r w:rsidR="00F25267" w:rsidRPr="00E75067">
        <w:rPr>
          <w:lang w:val="en-US"/>
        </w:rPr>
        <w:t xml:space="preserve">with </w:t>
      </w:r>
      <w:r w:rsidR="00F25267" w:rsidRPr="00E75067">
        <w:rPr>
          <w:i/>
          <w:lang w:val="en-US"/>
        </w:rPr>
        <w:t>B. thuringiensis</w:t>
      </w:r>
      <w:r w:rsidR="00F25267" w:rsidRPr="00E75067">
        <w:rPr>
          <w:lang w:val="en-US"/>
        </w:rPr>
        <w:t xml:space="preserve"> w</w:t>
      </w:r>
      <w:r w:rsidR="00D74B92" w:rsidRPr="00E75067">
        <w:rPr>
          <w:lang w:val="en-US"/>
        </w:rPr>
        <w:t>as associated with the so-called</w:t>
      </w:r>
      <w:r w:rsidR="00F25267" w:rsidRPr="00E75067">
        <w:rPr>
          <w:lang w:val="en-US"/>
        </w:rPr>
        <w:t xml:space="preserve"> immune priming</w:t>
      </w:r>
      <w:r w:rsidR="00D74B92" w:rsidRPr="00E75067">
        <w:rPr>
          <w:lang w:val="en-US"/>
        </w:rPr>
        <w:t xml:space="preserve">. </w:t>
      </w:r>
      <w:r w:rsidR="00F25267" w:rsidRPr="00E75067">
        <w:rPr>
          <w:lang w:val="en-US"/>
        </w:rPr>
        <w:t>P</w:t>
      </w:r>
      <w:r w:rsidR="00D74B92" w:rsidRPr="00E75067">
        <w:rPr>
          <w:lang w:val="en-US"/>
        </w:rPr>
        <w:t>riming</w:t>
      </w:r>
      <w:r w:rsidR="00F25267" w:rsidRPr="00E75067">
        <w:rPr>
          <w:lang w:val="en-US"/>
        </w:rPr>
        <w:t xml:space="preserve"> of invertebrate immunity </w:t>
      </w:r>
      <w:r w:rsidR="00D74B92" w:rsidRPr="00E75067">
        <w:rPr>
          <w:lang w:val="en-US"/>
        </w:rPr>
        <w:t xml:space="preserve">is </w:t>
      </w:r>
      <w:r w:rsidR="00B50738" w:rsidRPr="00E75067">
        <w:rPr>
          <w:lang w:val="en-US"/>
        </w:rPr>
        <w:t>related to</w:t>
      </w:r>
      <w:r w:rsidR="00D74B92" w:rsidRPr="00E75067">
        <w:rPr>
          <w:lang w:val="en-US"/>
        </w:rPr>
        <w:t xml:space="preserve"> the development of a kind of "immunological memory" in </w:t>
      </w:r>
      <w:r w:rsidR="00B50738" w:rsidRPr="00E75067">
        <w:rPr>
          <w:lang w:val="en-US"/>
        </w:rPr>
        <w:t xml:space="preserve">re-infected </w:t>
      </w:r>
      <w:r w:rsidR="00D74B92" w:rsidRPr="00E75067">
        <w:rPr>
          <w:lang w:val="en-US"/>
        </w:rPr>
        <w:t>insects.</w:t>
      </w:r>
    </w:p>
    <w:p w:rsidR="00552762" w:rsidRPr="00552762" w:rsidRDefault="00A164DE" w:rsidP="00552762">
      <w:pPr>
        <w:rPr>
          <w:lang w:val="en-US"/>
        </w:rPr>
      </w:pPr>
      <w:r w:rsidRPr="00E75067">
        <w:rPr>
          <w:lang w:val="en-US"/>
        </w:rPr>
        <w:t xml:space="preserve">Presented </w:t>
      </w:r>
      <w:r w:rsidR="00A93760" w:rsidRPr="00E75067">
        <w:rPr>
          <w:lang w:val="en-US"/>
        </w:rPr>
        <w:t>data</w:t>
      </w:r>
      <w:r w:rsidRPr="00E75067">
        <w:rPr>
          <w:lang w:val="en-US"/>
        </w:rPr>
        <w:t xml:space="preserve"> </w:t>
      </w:r>
      <w:r w:rsidR="00A93760" w:rsidRPr="00E75067">
        <w:rPr>
          <w:lang w:val="en-US"/>
        </w:rPr>
        <w:t>seem</w:t>
      </w:r>
      <w:r w:rsidR="00552762" w:rsidRPr="00E75067">
        <w:rPr>
          <w:lang w:val="en-US"/>
        </w:rPr>
        <w:t>ed</w:t>
      </w:r>
      <w:r w:rsidR="00A93760" w:rsidRPr="00E75067">
        <w:rPr>
          <w:lang w:val="en-US"/>
        </w:rPr>
        <w:t xml:space="preserve"> to be</w:t>
      </w:r>
      <w:r w:rsidRPr="00E75067">
        <w:rPr>
          <w:lang w:val="en-US"/>
        </w:rPr>
        <w:t xml:space="preserve"> a </w:t>
      </w:r>
      <w:r w:rsidR="00A93760" w:rsidRPr="00E75067">
        <w:rPr>
          <w:lang w:val="en-US"/>
        </w:rPr>
        <w:t>certain contribution</w:t>
      </w:r>
      <w:r w:rsidRPr="00E75067">
        <w:rPr>
          <w:lang w:val="en-US"/>
        </w:rPr>
        <w:t xml:space="preserve"> to the knowledge of the </w:t>
      </w:r>
      <w:proofErr w:type="gramStart"/>
      <w:r w:rsidR="00A93760" w:rsidRPr="00E75067">
        <w:rPr>
          <w:lang w:val="en-US"/>
        </w:rPr>
        <w:t>insects</w:t>
      </w:r>
      <w:proofErr w:type="gramEnd"/>
      <w:r w:rsidR="00A93760" w:rsidRPr="00E75067">
        <w:rPr>
          <w:lang w:val="en-US"/>
        </w:rPr>
        <w:t xml:space="preserve"> immunity alteration</w:t>
      </w:r>
      <w:r w:rsidRPr="00E75067">
        <w:rPr>
          <w:lang w:val="en-US"/>
        </w:rPr>
        <w:t xml:space="preserve"> by </w:t>
      </w:r>
      <w:r w:rsidR="00A93760" w:rsidRPr="00E75067">
        <w:rPr>
          <w:lang w:val="en-US"/>
        </w:rPr>
        <w:t xml:space="preserve">the </w:t>
      </w:r>
      <w:r w:rsidRPr="00E75067">
        <w:rPr>
          <w:lang w:val="en-US"/>
        </w:rPr>
        <w:t xml:space="preserve">environmental </w:t>
      </w:r>
      <w:r w:rsidR="00A93760" w:rsidRPr="00E75067">
        <w:rPr>
          <w:lang w:val="en-US"/>
        </w:rPr>
        <w:t>conditions and factors</w:t>
      </w:r>
      <w:r w:rsidRPr="00E75067">
        <w:rPr>
          <w:lang w:val="en-US"/>
        </w:rPr>
        <w:t>.</w:t>
      </w:r>
      <w:r w:rsidR="00552762" w:rsidRPr="00E75067">
        <w:rPr>
          <w:lang w:val="en-US"/>
        </w:rPr>
        <w:t xml:space="preserve"> </w:t>
      </w:r>
      <w:r w:rsidR="008D7BF0" w:rsidRPr="00E75067">
        <w:rPr>
          <w:lang w:val="en-US"/>
        </w:rPr>
        <w:t xml:space="preserve">This thesis </w:t>
      </w:r>
      <w:r w:rsidR="00552762" w:rsidRPr="00E75067">
        <w:rPr>
          <w:lang w:val="en-US"/>
        </w:rPr>
        <w:t>indicates</w:t>
      </w:r>
      <w:r w:rsidR="008D7BF0" w:rsidRPr="00E75067">
        <w:rPr>
          <w:lang w:val="en-US"/>
        </w:rPr>
        <w:t xml:space="preserve"> that </w:t>
      </w:r>
      <w:proofErr w:type="gramStart"/>
      <w:r w:rsidR="00552762" w:rsidRPr="00E75067">
        <w:rPr>
          <w:lang w:val="en-US"/>
        </w:rPr>
        <w:t>insects</w:t>
      </w:r>
      <w:proofErr w:type="gramEnd"/>
      <w:r w:rsidR="00552762" w:rsidRPr="00E75067">
        <w:rPr>
          <w:lang w:val="en-US"/>
        </w:rPr>
        <w:t xml:space="preserve"> immune response depends on</w:t>
      </w:r>
      <w:r w:rsidR="008D7BF0" w:rsidRPr="00E75067">
        <w:rPr>
          <w:lang w:val="en-US"/>
        </w:rPr>
        <w:t xml:space="preserve"> the</w:t>
      </w:r>
      <w:r w:rsidR="00552762" w:rsidRPr="00E75067">
        <w:rPr>
          <w:lang w:val="en-US"/>
        </w:rPr>
        <w:t xml:space="preserve"> </w:t>
      </w:r>
      <w:r w:rsidR="008D7BF0" w:rsidRPr="00E75067">
        <w:rPr>
          <w:lang w:val="en-US"/>
        </w:rPr>
        <w:t>various environmental factors</w:t>
      </w:r>
      <w:r w:rsidR="00552762" w:rsidRPr="00E75067">
        <w:rPr>
          <w:lang w:val="en-US"/>
        </w:rPr>
        <w:t xml:space="preserve"> acting</w:t>
      </w:r>
      <w:r w:rsidR="008D7BF0" w:rsidRPr="00E75067">
        <w:rPr>
          <w:lang w:val="en-US"/>
        </w:rPr>
        <w:t xml:space="preserve"> on the particular </w:t>
      </w:r>
      <w:r w:rsidR="00552762" w:rsidRPr="00E75067">
        <w:rPr>
          <w:lang w:val="en-US"/>
        </w:rPr>
        <w:t xml:space="preserve">immune system </w:t>
      </w:r>
      <w:r w:rsidR="008D7BF0" w:rsidRPr="00E75067">
        <w:rPr>
          <w:lang w:val="en-US"/>
        </w:rPr>
        <w:t>mechanisms.</w:t>
      </w:r>
      <w:r w:rsidR="00552762" w:rsidRPr="00552762">
        <w:rPr>
          <w:lang w:val="en-US"/>
        </w:rPr>
        <w:t xml:space="preserve"> </w:t>
      </w:r>
    </w:p>
    <w:p w:rsidR="00552762" w:rsidRPr="00552762" w:rsidRDefault="00552762" w:rsidP="00552762">
      <w:pPr>
        <w:rPr>
          <w:lang w:val="en-US"/>
        </w:rPr>
      </w:pPr>
    </w:p>
    <w:p w:rsidR="00552762" w:rsidRDefault="00552762" w:rsidP="00552762">
      <w:pPr>
        <w:ind w:firstLine="0"/>
        <w:outlineLvl w:val="0"/>
        <w:rPr>
          <w:lang w:val="en-US"/>
        </w:rPr>
      </w:pPr>
      <w:r w:rsidRPr="00552762">
        <w:rPr>
          <w:b/>
          <w:lang w:val="en-US"/>
        </w:rPr>
        <w:t xml:space="preserve">Key words: </w:t>
      </w:r>
      <w:r w:rsidRPr="00552762">
        <w:rPr>
          <w:i/>
          <w:lang w:val="en-US"/>
        </w:rPr>
        <w:t>G. mellonella</w:t>
      </w:r>
      <w:r w:rsidRPr="00552762">
        <w:rPr>
          <w:lang w:val="en-US"/>
        </w:rPr>
        <w:t xml:space="preserve">, </w:t>
      </w:r>
      <w:r w:rsidRPr="00552762">
        <w:rPr>
          <w:i/>
          <w:lang w:val="en-US"/>
        </w:rPr>
        <w:t>B. thuringiensis</w:t>
      </w:r>
      <w:r w:rsidRPr="00552762">
        <w:rPr>
          <w:lang w:val="en-US"/>
        </w:rPr>
        <w:t>,</w:t>
      </w:r>
      <w:r w:rsidRPr="00E75067">
        <w:rPr>
          <w:lang w:val="en-US"/>
        </w:rPr>
        <w:t xml:space="preserve"> </w:t>
      </w:r>
      <w:r w:rsidR="00BF50DB">
        <w:rPr>
          <w:lang w:val="en-US"/>
        </w:rPr>
        <w:t>modulation</w:t>
      </w:r>
      <w:r w:rsidRPr="00E75067">
        <w:rPr>
          <w:lang w:val="en-US"/>
        </w:rPr>
        <w:t xml:space="preserve"> of immune response, temperature stress, immune priming</w:t>
      </w:r>
    </w:p>
    <w:p w:rsidR="00851CE4" w:rsidRPr="00552762" w:rsidRDefault="00851CE4" w:rsidP="00552762">
      <w:pPr>
        <w:ind w:firstLine="0"/>
        <w:outlineLvl w:val="0"/>
        <w:rPr>
          <w:lang w:val="en-US"/>
        </w:rPr>
      </w:pPr>
    </w:p>
    <w:p w:rsidR="00552762" w:rsidRDefault="00E75067" w:rsidP="00552762">
      <w:pPr>
        <w:ind w:firstLine="0"/>
        <w:outlineLvl w:val="0"/>
        <w:rPr>
          <w:b/>
        </w:rPr>
      </w:pPr>
      <w:proofErr w:type="spellStart"/>
      <w:r>
        <w:rPr>
          <w:b/>
        </w:rPr>
        <w:t>References</w:t>
      </w:r>
      <w:proofErr w:type="spellEnd"/>
      <w:r w:rsidR="00552762">
        <w:rPr>
          <w:b/>
        </w:rPr>
        <w:t>:</w:t>
      </w:r>
    </w:p>
    <w:p w:rsidR="00552762" w:rsidRPr="003D64CA" w:rsidRDefault="00552762" w:rsidP="00552762">
      <w:pPr>
        <w:ind w:firstLine="0"/>
        <w:outlineLvl w:val="0"/>
        <w:rPr>
          <w:rFonts w:asciiTheme="majorHAnsi" w:hAnsiTheme="majorHAnsi"/>
          <w:b/>
          <w:sz w:val="21"/>
          <w:szCs w:val="21"/>
        </w:rPr>
      </w:pP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Adamo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S.A., 1998, The specificity of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behavioural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fever in the cricket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Acheta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domesticus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Journal of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Parasitology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>, 84, s.: 529-533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Anderson R.D.,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S., Jenkins N.E., Thomas M.B., 2013, Discriminating fever behavior in house flies,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PLoS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ONE</w:t>
      </w:r>
      <w:r w:rsidR="00851CE4">
        <w:rPr>
          <w:rFonts w:asciiTheme="majorHAnsi" w:hAnsiTheme="majorHAnsi"/>
          <w:sz w:val="21"/>
          <w:szCs w:val="21"/>
          <w:lang w:val="en-US"/>
        </w:rPr>
        <w:t>, 8 (4), article no.: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e62269, s.: 1-4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 w:eastAsia="pl-PL"/>
        </w:rPr>
        <w:lastRenderedPageBreak/>
        <w:t xml:space="preserve">Arthurs S., Thomas M.B., 2001, Effect of dose, pre-mortem host incubation temperature and thermal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behaviour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on host mortality, mycosis and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sporulation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of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Metarhizium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anisopliae</w:t>
      </w:r>
      <w:proofErr w:type="spellEnd"/>
      <w:r w:rsidRPr="004C5C5B">
        <w:rPr>
          <w:rFonts w:asciiTheme="majorHAnsi" w:hAnsiTheme="majorHAnsi" w:cs="AdvGulliv-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var.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acridum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in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Schistocerca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gregaria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Biocontrol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Science and Technology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11, s.: 411-420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S., Thomas M.B., 1999, Host thermal biology: the key to understanding host–pathogen interactions and microbial pest control?,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Agricultural and Forest Entomology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1, s.: 195-202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Bundey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S., Raymond S., Dean P., Roberts S.K., Dillon R.J.,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Charnley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A.K., 2003,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Eicosanoid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involvement in the regulation of behavioral fever in the desert locust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Schistocerca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gregaria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Archives of Insect Biochemistry and Physiology</w:t>
      </w:r>
      <w:r w:rsidRPr="004C5C5B">
        <w:rPr>
          <w:rFonts w:asciiTheme="majorHAnsi" w:hAnsiTheme="majorHAnsi"/>
          <w:sz w:val="21"/>
          <w:szCs w:val="21"/>
          <w:lang w:val="en-US"/>
        </w:rPr>
        <w:t>, 52 (4), s.: 183-192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Catalán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T.P., Wozniak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A.,Niemeyer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H.M.,Kalergis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A.M.,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Bozinovic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F., 2012, Interplay between thermal and immune ecology: Effect of environmental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>temperature on insect immune response and energetic costs after an immune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challenge,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Journal of Insect Physiology</w:t>
      </w:r>
      <w:r w:rsidRPr="004C5C5B">
        <w:rPr>
          <w:rFonts w:asciiTheme="majorHAnsi" w:hAnsiTheme="majorHAnsi"/>
          <w:sz w:val="21"/>
          <w:szCs w:val="21"/>
          <w:lang w:val="en-US"/>
        </w:rPr>
        <w:t>, 58, s.: 310–317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Elliot S.L.,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S., Thomas M.B., 2002, Host–pathogen interactions in a varying environment: temperature,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behavioural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fever and fitness,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Proceedings of the Royal Society</w:t>
      </w:r>
      <w:r w:rsidRPr="004C5C5B">
        <w:rPr>
          <w:rFonts w:asciiTheme="majorHAnsi" w:hAnsiTheme="majorHAnsi" w:cs="Arial"/>
          <w:i/>
          <w:color w:val="545454"/>
          <w:sz w:val="21"/>
          <w:szCs w:val="21"/>
          <w:shd w:val="clear" w:color="auto" w:fill="FFFFFF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B: Biological Sciences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269, s.: 1599–1607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 w:eastAsia="pl-PL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Konkel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M.E.,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Tilly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K., 2000, Temperature-regulated expression of bacterial virulence genes,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Microbes and Infection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2, s.: 157-166</w:t>
      </w:r>
    </w:p>
    <w:p w:rsidR="00552762" w:rsidRPr="003D64CA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Linder J.E.,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Owers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K.A.,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Promislow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D.E.L., 2008, The effects of temperature on host–pathogen interactions in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D. melanogaster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: Who benefits?,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Journal of Insect</w:t>
      </w:r>
      <w:r w:rsidRPr="004C5C5B">
        <w:rPr>
          <w:rFonts w:asciiTheme="majorHAnsi" w:eastAsia="AdvTimes" w:hAnsiTheme="majorHAnsi" w:cs="AdvTimes"/>
          <w:i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Physiology</w:t>
      </w:r>
      <w:r w:rsidRPr="004C5C5B">
        <w:rPr>
          <w:rFonts w:asciiTheme="majorHAnsi" w:hAnsiTheme="majorHAnsi"/>
          <w:sz w:val="21"/>
          <w:szCs w:val="21"/>
          <w:lang w:val="en-US"/>
        </w:rPr>
        <w:t>, 54,s.: 297–308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Ouedraogo R.,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Cusson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Goettel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Brodeur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J., 2003, Inhibition of fungal growth in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thermoregulating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locusts,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Locusta</w:t>
      </w:r>
      <w:proofErr w:type="spellEnd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migratoria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infected by the fungus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Metarhizium</w:t>
      </w:r>
      <w:proofErr w:type="spellEnd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anisopliae</w:t>
      </w:r>
      <w:proofErr w:type="spellEnd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var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acridum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Journal of Invertebrate Pathology</w:t>
      </w:r>
      <w:r w:rsidRPr="004C5C5B">
        <w:rPr>
          <w:rFonts w:asciiTheme="majorHAnsi" w:hAnsiTheme="majorHAnsi"/>
          <w:sz w:val="21"/>
          <w:szCs w:val="21"/>
          <w:lang w:val="en-US"/>
        </w:rPr>
        <w:t>, 82, s.: 103-109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Pham L.N., Dionne M.S.,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Shirasu-Hiza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M., Schneider D.S., 2007, A specific primed immune response in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Drosophila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is dependent on phagocytes,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PLoS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Pathogens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, 3 (3), </w:t>
      </w:r>
      <w:r w:rsidR="00851CE4">
        <w:rPr>
          <w:rFonts w:asciiTheme="majorHAnsi" w:hAnsiTheme="majorHAnsi"/>
          <w:sz w:val="21"/>
          <w:szCs w:val="21"/>
          <w:lang w:val="en-US"/>
        </w:rPr>
        <w:t>article no.: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e26, s.: 1-8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Rodrigues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J.,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Brayner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F.A.,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Alves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L.C., Dixit R., Barillas-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Mury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C., 2010,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Hemocyte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differentiation mediates innate immune memory in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Anopheles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gambiae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mosquitoes,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Science</w:t>
      </w:r>
      <w:r w:rsidRPr="004C5C5B">
        <w:rPr>
          <w:rFonts w:asciiTheme="majorHAnsi" w:hAnsiTheme="majorHAnsi"/>
          <w:sz w:val="21"/>
          <w:szCs w:val="21"/>
          <w:lang w:val="en-US"/>
        </w:rPr>
        <w:t>, 329 (5997), s.: 1353-1355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Roth O.,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Sadd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B.M.,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Schmid-Hempel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P., Kurtz J., 2009, Strain-specific priming of resistance in the red flour beetle,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Tribolium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castaneum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Proceedings of the Royal Society</w:t>
      </w:r>
      <w:r w:rsidRPr="004C5C5B">
        <w:rPr>
          <w:rFonts w:asciiTheme="majorHAnsi" w:hAnsiTheme="majorHAnsi" w:cs="Arial"/>
          <w:i/>
          <w:color w:val="545454"/>
          <w:sz w:val="21"/>
          <w:szCs w:val="21"/>
          <w:shd w:val="clear" w:color="auto" w:fill="FFFFFF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B: Biological Sciences</w:t>
      </w:r>
      <w:r w:rsidRPr="004C5C5B">
        <w:rPr>
          <w:rFonts w:asciiTheme="majorHAnsi" w:hAnsiTheme="majorHAnsi"/>
          <w:sz w:val="21"/>
          <w:szCs w:val="21"/>
          <w:lang w:val="en-US"/>
        </w:rPr>
        <w:t>, 276 (1654), s.: 145-151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Sadd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B.M.,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Schmid-Hempel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P., 2006, Insect immunity shows specificity in protection upon secondary pathogen exposure,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Current Biology</w:t>
      </w:r>
      <w:r w:rsidRPr="004C5C5B">
        <w:rPr>
          <w:rFonts w:asciiTheme="majorHAnsi" w:hAnsiTheme="majorHAnsi"/>
          <w:sz w:val="21"/>
          <w:szCs w:val="21"/>
          <w:lang w:val="en-US"/>
        </w:rPr>
        <w:t>, 16, s.: 1206-1210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Thomas M.B.,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S., 2003, Thermal biology in insect–parasite interactions,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Trends in Ecology and Evolution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18, s.: 344-350</w:t>
      </w:r>
    </w:p>
    <w:p w:rsidR="00552762" w:rsidRPr="004C5C5B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Wu G.,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Xu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L., Yi Y., 2016,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Galleria mellonella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larvae are capable of sensing the</w:t>
      </w:r>
      <w:r w:rsidRPr="004C5C5B">
        <w:rPr>
          <w:rFonts w:asciiTheme="majorHAnsi" w:hAnsiTheme="majorHAnsi" w:cs="EIMPK B+ Gulliver RM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extent of priming agent and mounting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proportionatal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cellular and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humoral</w:t>
      </w:r>
      <w:proofErr w:type="spellEnd"/>
      <w:r w:rsidRPr="004C5C5B">
        <w:rPr>
          <w:rFonts w:asciiTheme="majorHAnsi" w:hAnsiTheme="majorHAnsi" w:cs="EIMPK B+ Gulliver RM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>immune</w:t>
      </w:r>
      <w:r w:rsidR="00851CE4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responses,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Immunology Letters</w:t>
      </w:r>
      <w:r w:rsidRPr="004C5C5B">
        <w:rPr>
          <w:rFonts w:asciiTheme="majorHAnsi" w:hAnsiTheme="majorHAnsi"/>
          <w:sz w:val="21"/>
          <w:szCs w:val="21"/>
          <w:lang w:val="en-US"/>
        </w:rPr>
        <w:t>, 174, s.: 45-52</w:t>
      </w:r>
    </w:p>
    <w:p w:rsidR="00552762" w:rsidRPr="003D64CA" w:rsidRDefault="00552762" w:rsidP="00552762">
      <w:pPr>
        <w:pStyle w:val="Akapitzlist"/>
        <w:numPr>
          <w:ilvl w:val="0"/>
          <w:numId w:val="16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lastRenderedPageBreak/>
        <w:t xml:space="preserve">Wu G.Q., Yi Y.H., 2015, Effects of dietary heavy metals on the immune and antioxidant systems of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Galleria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mellonella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larvae,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Comparative Biochemistry and</w:t>
      </w:r>
      <w:r w:rsidRPr="004C5C5B">
        <w:rPr>
          <w:rFonts w:asciiTheme="majorHAnsi" w:hAnsiTheme="majorHAnsi" w:cs="Arial"/>
          <w:i/>
          <w:color w:val="545454"/>
          <w:sz w:val="21"/>
          <w:szCs w:val="21"/>
          <w:shd w:val="clear" w:color="auto" w:fill="FFFFFF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Physiology Part C: Toxicology and Pharmacology</w:t>
      </w:r>
      <w:r w:rsidRPr="004C5C5B">
        <w:rPr>
          <w:rFonts w:asciiTheme="majorHAnsi" w:hAnsiTheme="majorHAnsi"/>
          <w:sz w:val="21"/>
          <w:szCs w:val="21"/>
          <w:lang w:val="en-US"/>
        </w:rPr>
        <w:t>, 167, s.: 131-139</w:t>
      </w:r>
    </w:p>
    <w:p w:rsidR="00552762" w:rsidRPr="00552762" w:rsidRDefault="00552762">
      <w:pPr>
        <w:rPr>
          <w:lang w:val="en-US"/>
        </w:rPr>
      </w:pPr>
    </w:p>
    <w:sectPr w:rsidR="00552762" w:rsidRPr="00552762" w:rsidSect="00C663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B3" w:rsidRDefault="00855BB3" w:rsidP="001E0A2A">
      <w:pPr>
        <w:spacing w:line="240" w:lineRule="auto"/>
      </w:pPr>
      <w:r>
        <w:separator/>
      </w:r>
    </w:p>
  </w:endnote>
  <w:endnote w:type="continuationSeparator" w:id="0">
    <w:p w:rsidR="00855BB3" w:rsidRDefault="00855BB3" w:rsidP="001E0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vGulliv-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vTimes">
    <w:charset w:val="00"/>
    <w:family w:val="auto"/>
    <w:pitch w:val="variable"/>
    <w:sig w:usb0="00000000" w:usb1="00000000" w:usb2="00000000" w:usb3="00000000" w:csb0="00000000" w:csb1="00000000"/>
  </w:font>
  <w:font w:name="EIMPK B+ Gulliver RM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2402"/>
      <w:docPartObj>
        <w:docPartGallery w:val="Page Numbers (Bottom of Page)"/>
        <w:docPartUnique/>
      </w:docPartObj>
    </w:sdtPr>
    <w:sdtContent>
      <w:p w:rsidR="00851CE4" w:rsidRDefault="00C64EC5">
        <w:pPr>
          <w:pStyle w:val="Stopka"/>
          <w:jc w:val="center"/>
        </w:pPr>
        <w:fldSimple w:instr=" PAGE   \* MERGEFORMAT ">
          <w:r w:rsidR="00BF50DB">
            <w:rPr>
              <w:noProof/>
            </w:rPr>
            <w:t>1</w:t>
          </w:r>
        </w:fldSimple>
      </w:p>
    </w:sdtContent>
  </w:sdt>
  <w:p w:rsidR="00851CE4" w:rsidRDefault="00851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B3" w:rsidRDefault="00855BB3" w:rsidP="001E0A2A">
      <w:pPr>
        <w:spacing w:line="240" w:lineRule="auto"/>
      </w:pPr>
      <w:r>
        <w:separator/>
      </w:r>
    </w:p>
  </w:footnote>
  <w:footnote w:type="continuationSeparator" w:id="0">
    <w:p w:rsidR="00855BB3" w:rsidRDefault="00855BB3" w:rsidP="001E0A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DE2"/>
    <w:multiLevelType w:val="hybridMultilevel"/>
    <w:tmpl w:val="46B4CD5E"/>
    <w:lvl w:ilvl="0" w:tplc="75BADFBC">
      <w:start w:val="1"/>
      <w:numFmt w:val="ordinal"/>
      <w:lvlText w:val="Rysunek %1"/>
      <w:lvlJc w:val="left"/>
      <w:pPr>
        <w:ind w:left="360" w:hanging="360"/>
      </w:pPr>
      <w:rPr>
        <w:rFonts w:ascii="Cambria" w:hAnsi="Cambria" w:hint="default"/>
        <w:b/>
        <w:i w:val="0"/>
        <w:color w:val="auto"/>
      </w:rPr>
    </w:lvl>
    <w:lvl w:ilvl="1" w:tplc="8C843B2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3FA"/>
    <w:multiLevelType w:val="multilevel"/>
    <w:tmpl w:val="3B325F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ytu"/>
      <w:lvlText w:val="%1.%2.%3."/>
      <w:lvlJc w:val="left"/>
      <w:pPr>
        <w:ind w:left="851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DC0841"/>
    <w:multiLevelType w:val="hybridMultilevel"/>
    <w:tmpl w:val="25C0A72C"/>
    <w:lvl w:ilvl="0" w:tplc="BAC47A2C">
      <w:start w:val="1"/>
      <w:numFmt w:val="decimal"/>
      <w:pStyle w:val="Podtytu"/>
      <w:lvlText w:val="Tabela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16FEC"/>
    <w:multiLevelType w:val="multilevel"/>
    <w:tmpl w:val="37727702"/>
    <w:styleLink w:val="numeracja"/>
    <w:lvl w:ilvl="0">
      <w:start w:val="1"/>
      <w:numFmt w:val="ordinal"/>
      <w:pStyle w:val="Nagwek1"/>
      <w:suff w:val="space"/>
      <w:lvlText w:val="%1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ordinal"/>
      <w:pStyle w:val="Nagwek2"/>
      <w:suff w:val="space"/>
      <w:lvlText w:val="%1%2"/>
      <w:lvlJc w:val="left"/>
      <w:pPr>
        <w:ind w:left="4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ordinal"/>
      <w:pStyle w:val="Nagwek4"/>
      <w:suff w:val="space"/>
      <w:lvlText w:val="%1%2%3"/>
      <w:lvlJc w:val="left"/>
      <w:pPr>
        <w:ind w:left="851" w:firstLine="0"/>
      </w:pPr>
      <w:rPr>
        <w:rFonts w:ascii="Cambria" w:hAnsi="Cambria" w:hint="default"/>
        <w:b/>
        <w:i w:val="0"/>
        <w:sz w:val="24"/>
      </w:rPr>
    </w:lvl>
    <w:lvl w:ilvl="3">
      <w:start w:val="1"/>
      <w:numFmt w:val="ordinal"/>
      <w:pStyle w:val="Nagwek5"/>
      <w:suff w:val="space"/>
      <w:lvlText w:val="%1%2%3%4"/>
      <w:lvlJc w:val="left"/>
      <w:pPr>
        <w:ind w:left="1134" w:firstLine="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680D1995"/>
    <w:multiLevelType w:val="hybridMultilevel"/>
    <w:tmpl w:val="A782A0FE"/>
    <w:lvl w:ilvl="0" w:tplc="AC3C07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7C805C8"/>
    <w:multiLevelType w:val="hybridMultilevel"/>
    <w:tmpl w:val="7B444FAA"/>
    <w:lvl w:ilvl="0" w:tplc="271A8806">
      <w:start w:val="1"/>
      <w:numFmt w:val="decimal"/>
      <w:lvlText w:val="Rysunek %1."/>
      <w:lvlJc w:val="left"/>
      <w:pPr>
        <w:ind w:left="720" w:hanging="360"/>
      </w:pPr>
      <w:rPr>
        <w:rFonts w:hint="default"/>
        <w:b/>
        <w:i w:val="0"/>
      </w:rPr>
    </w:lvl>
    <w:lvl w:ilvl="1" w:tplc="E6C4A2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07A46"/>
    <w:multiLevelType w:val="hybridMultilevel"/>
    <w:tmpl w:val="2328077E"/>
    <w:lvl w:ilvl="0" w:tplc="A1F8494A">
      <w:start w:val="1"/>
      <w:numFmt w:val="ordinal"/>
      <w:pStyle w:val="Bezodstpw"/>
      <w:lvlText w:val="Rysunek %1"/>
      <w:lvlJc w:val="right"/>
      <w:pPr>
        <w:ind w:left="360" w:hanging="360"/>
      </w:pPr>
      <w:rPr>
        <w:rFonts w:ascii="Cambria" w:hAnsi="Cambri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2A"/>
    <w:rsid w:val="00034AB5"/>
    <w:rsid w:val="00067EFC"/>
    <w:rsid w:val="0009577A"/>
    <w:rsid w:val="00107002"/>
    <w:rsid w:val="00153FB5"/>
    <w:rsid w:val="001B1D66"/>
    <w:rsid w:val="001E0A2A"/>
    <w:rsid w:val="001F0F30"/>
    <w:rsid w:val="00370D3C"/>
    <w:rsid w:val="00392693"/>
    <w:rsid w:val="003D470A"/>
    <w:rsid w:val="003D529E"/>
    <w:rsid w:val="00407711"/>
    <w:rsid w:val="00552762"/>
    <w:rsid w:val="005647D6"/>
    <w:rsid w:val="00585DA1"/>
    <w:rsid w:val="00613234"/>
    <w:rsid w:val="00685099"/>
    <w:rsid w:val="006C7B73"/>
    <w:rsid w:val="007129F8"/>
    <w:rsid w:val="0075789D"/>
    <w:rsid w:val="00776B77"/>
    <w:rsid w:val="00786B11"/>
    <w:rsid w:val="007C4754"/>
    <w:rsid w:val="00802F6B"/>
    <w:rsid w:val="00851CE4"/>
    <w:rsid w:val="00855BB3"/>
    <w:rsid w:val="008B56F0"/>
    <w:rsid w:val="008D7BF0"/>
    <w:rsid w:val="008E4BE3"/>
    <w:rsid w:val="00A164DE"/>
    <w:rsid w:val="00A53FC4"/>
    <w:rsid w:val="00A6285A"/>
    <w:rsid w:val="00A73891"/>
    <w:rsid w:val="00A93760"/>
    <w:rsid w:val="00AB2E0F"/>
    <w:rsid w:val="00AB4537"/>
    <w:rsid w:val="00AC6811"/>
    <w:rsid w:val="00B05968"/>
    <w:rsid w:val="00B3367F"/>
    <w:rsid w:val="00B50738"/>
    <w:rsid w:val="00B56B79"/>
    <w:rsid w:val="00BA27F7"/>
    <w:rsid w:val="00BA3957"/>
    <w:rsid w:val="00BC0160"/>
    <w:rsid w:val="00BC0BFE"/>
    <w:rsid w:val="00BD739E"/>
    <w:rsid w:val="00BF50DB"/>
    <w:rsid w:val="00C52A2A"/>
    <w:rsid w:val="00C64EC5"/>
    <w:rsid w:val="00C66333"/>
    <w:rsid w:val="00CA31FF"/>
    <w:rsid w:val="00CA6CC6"/>
    <w:rsid w:val="00CB6940"/>
    <w:rsid w:val="00D468C4"/>
    <w:rsid w:val="00D74B92"/>
    <w:rsid w:val="00DA30BC"/>
    <w:rsid w:val="00E10D04"/>
    <w:rsid w:val="00E1619D"/>
    <w:rsid w:val="00E349E1"/>
    <w:rsid w:val="00E50604"/>
    <w:rsid w:val="00E50C41"/>
    <w:rsid w:val="00E547BE"/>
    <w:rsid w:val="00E75067"/>
    <w:rsid w:val="00EE1176"/>
    <w:rsid w:val="00EF40B0"/>
    <w:rsid w:val="00F01F20"/>
    <w:rsid w:val="00F25267"/>
    <w:rsid w:val="00F322DC"/>
    <w:rsid w:val="00F9097B"/>
    <w:rsid w:val="00FF3B43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1E0A2A"/>
    <w:pPr>
      <w:spacing w:line="360" w:lineRule="auto"/>
      <w:ind w:firstLine="851"/>
      <w:contextualSpacing/>
      <w:jc w:val="both"/>
    </w:pPr>
    <w:rPr>
      <w:rFonts w:ascii="Cambria" w:hAnsi="Cambria"/>
      <w:sz w:val="24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autoRedefine/>
    <w:uiPriority w:val="9"/>
    <w:qFormat/>
    <w:rsid w:val="008B56F0"/>
    <w:pPr>
      <w:keepNext/>
      <w:keepLines/>
      <w:numPr>
        <w:numId w:val="15"/>
      </w:numPr>
      <w:spacing w:before="240" w:after="120"/>
      <w:outlineLvl w:val="0"/>
    </w:pPr>
    <w:rPr>
      <w:rFonts w:eastAsia="Times New Roman"/>
      <w:b/>
      <w:bCs/>
      <w:sz w:val="32"/>
      <w:szCs w:val="28"/>
      <w:lang w:eastAsia="pl-PL"/>
    </w:rPr>
  </w:style>
  <w:style w:type="paragraph" w:styleId="Nagwek2">
    <w:name w:val="heading 2"/>
    <w:aliases w:val="podrozdział I"/>
    <w:basedOn w:val="Normalny"/>
    <w:next w:val="Normalny"/>
    <w:link w:val="Nagwek2Znak"/>
    <w:uiPriority w:val="9"/>
    <w:unhideWhenUsed/>
    <w:qFormat/>
    <w:rsid w:val="008B56F0"/>
    <w:pPr>
      <w:keepNext/>
      <w:keepLines/>
      <w:numPr>
        <w:ilvl w:val="1"/>
        <w:numId w:val="15"/>
      </w:numPr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8C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Bezodstpw"/>
    <w:next w:val="Normalny"/>
    <w:link w:val="Nagwek4Znak"/>
    <w:uiPriority w:val="9"/>
    <w:unhideWhenUsed/>
    <w:qFormat/>
    <w:rsid w:val="008B56F0"/>
    <w:pPr>
      <w:numPr>
        <w:ilvl w:val="2"/>
        <w:numId w:val="15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6F0"/>
    <w:pPr>
      <w:numPr>
        <w:ilvl w:val="3"/>
        <w:numId w:val="1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8C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D468C4"/>
    <w:rPr>
      <w:rFonts w:ascii="Cambria" w:eastAsia="Times New Roman" w:hAnsi="Cambria"/>
      <w:b/>
      <w:bCs/>
      <w:sz w:val="32"/>
      <w:szCs w:val="28"/>
    </w:rPr>
  </w:style>
  <w:style w:type="character" w:customStyle="1" w:styleId="Nagwek2Znak">
    <w:name w:val="Nagłówek 2 Znak"/>
    <w:aliases w:val="podrozdział I Znak"/>
    <w:basedOn w:val="Domylnaczcionkaakapitu"/>
    <w:link w:val="Nagwek2"/>
    <w:uiPriority w:val="9"/>
    <w:rsid w:val="00D468C4"/>
    <w:rPr>
      <w:rFonts w:ascii="Cambria" w:eastAsia="Times New Roman" w:hAnsi="Cambria"/>
      <w:b/>
      <w:bCs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468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468C4"/>
    <w:rPr>
      <w:rFonts w:ascii="Cambria" w:hAnsi="Cambria"/>
      <w:szCs w:val="22"/>
      <w:lang w:eastAsia="en-US"/>
    </w:rPr>
  </w:style>
  <w:style w:type="paragraph" w:styleId="Bezodstpw">
    <w:name w:val="No Spacing"/>
    <w:aliases w:val="rysunek"/>
    <w:basedOn w:val="Normalny"/>
    <w:next w:val="Normalny"/>
    <w:link w:val="BezodstpwZnak"/>
    <w:autoRedefine/>
    <w:uiPriority w:val="1"/>
    <w:qFormat/>
    <w:rsid w:val="00107002"/>
    <w:pPr>
      <w:numPr>
        <w:numId w:val="13"/>
      </w:numPr>
      <w:spacing w:before="120" w:after="240" w:line="240" w:lineRule="auto"/>
      <w:jc w:val="left"/>
      <w:outlineLvl w:val="5"/>
    </w:pPr>
    <w:rPr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68C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68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D468C4"/>
    <w:rPr>
      <w:b/>
      <w:bCs/>
      <w:sz w:val="20"/>
      <w:szCs w:val="20"/>
    </w:rPr>
  </w:style>
  <w:style w:type="paragraph" w:styleId="Tytu">
    <w:name w:val="Title"/>
    <w:aliases w:val="podrozdział II"/>
    <w:basedOn w:val="Normalny"/>
    <w:next w:val="Normalny"/>
    <w:link w:val="TytuZnak"/>
    <w:autoRedefine/>
    <w:uiPriority w:val="10"/>
    <w:qFormat/>
    <w:rsid w:val="00D468C4"/>
    <w:pPr>
      <w:numPr>
        <w:ilvl w:val="2"/>
        <w:numId w:val="4"/>
      </w:numPr>
      <w:spacing w:before="240" w:after="120" w:line="276" w:lineRule="auto"/>
      <w:outlineLvl w:val="2"/>
    </w:pPr>
    <w:rPr>
      <w:rFonts w:eastAsia="Times New Roman"/>
      <w:b/>
      <w:bCs/>
      <w:kern w:val="28"/>
      <w:szCs w:val="52"/>
    </w:rPr>
  </w:style>
  <w:style w:type="character" w:customStyle="1" w:styleId="TytuZnak">
    <w:name w:val="Tytuł Znak"/>
    <w:aliases w:val="podrozdział II Znak"/>
    <w:basedOn w:val="Domylnaczcionkaakapitu"/>
    <w:link w:val="Tytu"/>
    <w:uiPriority w:val="10"/>
    <w:rsid w:val="00D468C4"/>
    <w:rPr>
      <w:rFonts w:ascii="Cambria" w:eastAsia="Times New Roman" w:hAnsi="Cambria"/>
      <w:b/>
      <w:bCs/>
      <w:kern w:val="28"/>
      <w:sz w:val="24"/>
      <w:szCs w:val="52"/>
      <w:lang w:eastAsia="en-US"/>
    </w:rPr>
  </w:style>
  <w:style w:type="paragraph" w:styleId="Podtytu">
    <w:name w:val="Subtitle"/>
    <w:aliases w:val="Tabela"/>
    <w:basedOn w:val="Normalny"/>
    <w:next w:val="Normalny"/>
    <w:link w:val="PodtytuZnak"/>
    <w:uiPriority w:val="11"/>
    <w:qFormat/>
    <w:rsid w:val="00D468C4"/>
    <w:pPr>
      <w:numPr>
        <w:numId w:val="5"/>
      </w:numPr>
      <w:spacing w:before="240" w:after="120" w:line="240" w:lineRule="auto"/>
      <w:outlineLvl w:val="3"/>
    </w:pPr>
    <w:rPr>
      <w:rFonts w:eastAsia="Times New Roman"/>
      <w:b/>
      <w:iCs/>
      <w:spacing w:val="15"/>
      <w:sz w:val="20"/>
      <w:szCs w:val="24"/>
    </w:rPr>
  </w:style>
  <w:style w:type="character" w:customStyle="1" w:styleId="PodtytuZnak">
    <w:name w:val="Podtytuł Znak"/>
    <w:aliases w:val="Tabela Znak"/>
    <w:basedOn w:val="Domylnaczcionkaakapitu"/>
    <w:link w:val="Podtytu"/>
    <w:uiPriority w:val="11"/>
    <w:rsid w:val="00D468C4"/>
    <w:rPr>
      <w:rFonts w:ascii="Cambria" w:eastAsia="Times New Roman" w:hAnsi="Cambria"/>
      <w:b/>
      <w:iCs/>
      <w:spacing w:val="15"/>
      <w:szCs w:val="24"/>
      <w:lang w:eastAsia="en-US"/>
    </w:rPr>
  </w:style>
  <w:style w:type="character" w:styleId="Uwydatnienie">
    <w:name w:val="Emphasis"/>
    <w:basedOn w:val="Domylnaczcionkaakapitu"/>
    <w:qFormat/>
    <w:rsid w:val="00D468C4"/>
    <w:rPr>
      <w:i/>
      <w:iCs/>
    </w:rPr>
  </w:style>
  <w:style w:type="character" w:customStyle="1" w:styleId="BezodstpwZnak">
    <w:name w:val="Bez odstępów Znak"/>
    <w:aliases w:val="rysunek Znak"/>
    <w:basedOn w:val="Domylnaczcionkaakapitu"/>
    <w:link w:val="Bezodstpw"/>
    <w:uiPriority w:val="1"/>
    <w:rsid w:val="00107002"/>
    <w:rPr>
      <w:rFonts w:ascii="Cambria" w:hAnsi="Cambri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68C4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8C4"/>
    <w:pPr>
      <w:numPr>
        <w:numId w:val="0"/>
      </w:numPr>
      <w:spacing w:before="480" w:after="0" w:line="276" w:lineRule="auto"/>
      <w:contextualSpacing w:val="0"/>
      <w:jc w:val="left"/>
      <w:outlineLvl w:val="9"/>
    </w:pPr>
    <w:rPr>
      <w:color w:val="365F91"/>
      <w:sz w:val="28"/>
    </w:rPr>
  </w:style>
  <w:style w:type="numbering" w:customStyle="1" w:styleId="numeracja">
    <w:name w:val="numeracja"/>
    <w:uiPriority w:val="99"/>
    <w:rsid w:val="008B56F0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E0A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A2A"/>
    <w:rPr>
      <w:rFonts w:ascii="Cambria" w:hAnsi="Cambri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0A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2A"/>
    <w:rPr>
      <w:rFonts w:ascii="Cambria" w:hAnsi="Cambria"/>
      <w:sz w:val="24"/>
      <w:szCs w:val="22"/>
      <w:lang w:eastAsia="en-US"/>
    </w:rPr>
  </w:style>
  <w:style w:type="character" w:customStyle="1" w:styleId="gt-baf-word-clickable">
    <w:name w:val="gt-baf-word-clickable"/>
    <w:basedOn w:val="Domylnaczcionkaakapitu"/>
    <w:rsid w:val="00BC0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2017-04-25T17:10:00Z</dcterms:created>
  <dcterms:modified xsi:type="dcterms:W3CDTF">2017-04-25T17:20:00Z</dcterms:modified>
</cp:coreProperties>
</file>