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35" w:rsidRPr="006D6170" w:rsidRDefault="00450035" w:rsidP="005F640B">
      <w:pPr>
        <w:pStyle w:val="Heading1"/>
        <w:keepNext w:val="0"/>
        <w:rPr>
          <w:rFonts w:ascii="Arial" w:hAnsi="Arial" w:cs="Arial"/>
          <w:b/>
          <w:szCs w:val="28"/>
        </w:rPr>
      </w:pPr>
      <w:r w:rsidRPr="006D6170">
        <w:rPr>
          <w:rFonts w:ascii="Arial" w:hAnsi="Arial" w:cs="Arial"/>
          <w:b/>
          <w:szCs w:val="28"/>
        </w:rPr>
        <w:t>TEMATYKI SEMINARIÓW</w:t>
      </w:r>
    </w:p>
    <w:p w:rsidR="00450035" w:rsidRPr="006D6170" w:rsidRDefault="00450035" w:rsidP="005F640B">
      <w:pPr>
        <w:rPr>
          <w:rFonts w:ascii="Arial" w:hAnsi="Arial" w:cs="Arial"/>
          <w:b/>
          <w:sz w:val="22"/>
          <w:szCs w:val="22"/>
        </w:rPr>
      </w:pPr>
    </w:p>
    <w:p w:rsidR="00450035" w:rsidRPr="006D6170" w:rsidRDefault="00450035" w:rsidP="005F640B">
      <w:pPr>
        <w:rPr>
          <w:rFonts w:ascii="Arial" w:hAnsi="Arial" w:cs="Arial"/>
          <w:b/>
          <w:sz w:val="22"/>
          <w:szCs w:val="22"/>
        </w:rPr>
      </w:pP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Prowadzący: dr Włodzimierz Ciseł</w:t>
      </w: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Kierunek: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6170">
        <w:rPr>
          <w:rFonts w:ascii="Arial" w:hAnsi="Arial" w:cs="Arial"/>
          <w:b/>
          <w:sz w:val="24"/>
          <w:szCs w:val="24"/>
        </w:rPr>
        <w:t>Finanse i rachunkowość</w:t>
      </w: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Studia niestacjonarne</w:t>
      </w: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Stopień studiów: Iº</w:t>
      </w: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Rok studiów: II</w:t>
      </w: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50035" w:rsidRPr="006D6170" w:rsidRDefault="00450035" w:rsidP="005F6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6170">
        <w:rPr>
          <w:rFonts w:ascii="Arial" w:hAnsi="Arial" w:cs="Arial"/>
          <w:b/>
          <w:sz w:val="24"/>
          <w:szCs w:val="24"/>
        </w:rPr>
        <w:t>Proponowane tematy (obszary) prac licencjackich/magisterskich: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Ewidencja i analiza środków trwałych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Amortyzacja środków trwałych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Ewidencja i analiza rozrachunków z kontrahentami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Majątek obrotowy przedsiębiorstwa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Ewidencja i analiza podatku VAT w przedsiębiorstwie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Rachunek kosztów w przedsiębiorstwie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Analiza kosztów przedsiębiorstwa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Analiza rentowności przedsiębiorstwa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Analiza płynności przedsiębiorstwa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Analiza struktury kapitału i prawidłowości finansowania majątku przedsiębiorstwa</w:t>
      </w:r>
    </w:p>
    <w:p w:rsidR="00450035" w:rsidRPr="006D6170" w:rsidRDefault="00450035" w:rsidP="005F640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D6170">
        <w:rPr>
          <w:rFonts w:ascii="Arial" w:hAnsi="Arial" w:cs="Arial"/>
          <w:sz w:val="24"/>
          <w:szCs w:val="24"/>
        </w:rPr>
        <w:t>Gospodarka budżetowa gminy</w:t>
      </w:r>
    </w:p>
    <w:p w:rsidR="00450035" w:rsidRPr="006D6170" w:rsidRDefault="00450035" w:rsidP="005F640B">
      <w:pPr>
        <w:ind w:left="714"/>
        <w:rPr>
          <w:rFonts w:ascii="Arial" w:hAnsi="Arial" w:cs="Arial"/>
          <w:sz w:val="24"/>
          <w:szCs w:val="24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F640B">
      <w:pPr>
        <w:ind w:left="714"/>
        <w:rPr>
          <w:rFonts w:ascii="Arial" w:hAnsi="Arial" w:cs="Arial"/>
        </w:rPr>
      </w:pPr>
    </w:p>
    <w:p w:rsidR="00450035" w:rsidRDefault="00450035" w:rsidP="0058280A">
      <w:pPr>
        <w:ind w:left="2124" w:firstLine="708"/>
      </w:pPr>
      <w:bookmarkStart w:id="0" w:name="_GoBack"/>
      <w:bookmarkEnd w:id="0"/>
    </w:p>
    <w:sectPr w:rsidR="00450035" w:rsidSect="0015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83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0B"/>
    <w:rsid w:val="00152E18"/>
    <w:rsid w:val="001C23A5"/>
    <w:rsid w:val="00450035"/>
    <w:rsid w:val="0058280A"/>
    <w:rsid w:val="005F640B"/>
    <w:rsid w:val="006D6170"/>
    <w:rsid w:val="00E4728A"/>
    <w:rsid w:val="00F1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40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40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User</dc:creator>
  <cp:keywords/>
  <dc:description/>
  <cp:lastModifiedBy>wekikdi1</cp:lastModifiedBy>
  <cp:revision>2</cp:revision>
  <dcterms:created xsi:type="dcterms:W3CDTF">2017-02-07T08:48:00Z</dcterms:created>
  <dcterms:modified xsi:type="dcterms:W3CDTF">2017-02-07T08:48:00Z</dcterms:modified>
</cp:coreProperties>
</file>