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3C" w:rsidRDefault="00255E3C" w:rsidP="00255E3C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255E3C" w:rsidRDefault="00255E3C" w:rsidP="00255E3C">
      <w:pPr>
        <w:rPr>
          <w:rFonts w:ascii="Arial" w:hAnsi="Arial" w:cs="Arial"/>
          <w:sz w:val="22"/>
          <w:szCs w:val="22"/>
        </w:rPr>
      </w:pPr>
    </w:p>
    <w:p w:rsidR="00255E3C" w:rsidRDefault="00255E3C" w:rsidP="00255E3C">
      <w:pPr>
        <w:rPr>
          <w:rFonts w:ascii="Arial" w:hAnsi="Arial" w:cs="Arial"/>
          <w:sz w:val="22"/>
          <w:szCs w:val="22"/>
        </w:rPr>
      </w:pPr>
    </w:p>
    <w:p w:rsidR="00255E3C" w:rsidRDefault="00255E3C" w:rsidP="00255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prof. dr hab. Jerzy Węcławski</w:t>
      </w:r>
    </w:p>
    <w:p w:rsidR="00255E3C" w:rsidRDefault="00255E3C" w:rsidP="00255E3C">
      <w:pPr>
        <w:rPr>
          <w:rFonts w:ascii="Arial" w:hAnsi="Arial" w:cs="Arial"/>
          <w:sz w:val="22"/>
          <w:szCs w:val="22"/>
          <w:lang w:val="de-DE"/>
        </w:rPr>
      </w:pPr>
    </w:p>
    <w:p w:rsidR="00255E3C" w:rsidRDefault="00255E3C" w:rsidP="00255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255E3C" w:rsidRDefault="00255E3C" w:rsidP="00255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255E3C" w:rsidRPr="00D779BB" w:rsidRDefault="00255E3C" w:rsidP="00255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Stopień studiów</w:t>
      </w:r>
      <w:r w:rsidRPr="00D779BB">
        <w:rPr>
          <w:rFonts w:ascii="Arial" w:hAnsi="Arial" w:cs="Arial"/>
          <w:b/>
          <w:sz w:val="22"/>
          <w:szCs w:val="22"/>
        </w:rPr>
        <w:t>:  IIº</w:t>
      </w:r>
    </w:p>
    <w:p w:rsidR="00255E3C" w:rsidRPr="00D779BB" w:rsidRDefault="00255E3C" w:rsidP="00255E3C">
      <w:pPr>
        <w:rPr>
          <w:rFonts w:ascii="Arial" w:hAnsi="Arial" w:cs="Arial"/>
          <w:b/>
          <w:sz w:val="22"/>
          <w:szCs w:val="22"/>
        </w:rPr>
      </w:pPr>
      <w:r w:rsidRPr="00D779BB">
        <w:rPr>
          <w:rFonts w:ascii="Arial" w:hAnsi="Arial" w:cs="Arial"/>
          <w:b/>
          <w:sz w:val="22"/>
          <w:szCs w:val="22"/>
        </w:rPr>
        <w:t>Rok studiów: I</w:t>
      </w:r>
    </w:p>
    <w:p w:rsidR="00255E3C" w:rsidRDefault="00255E3C" w:rsidP="00255E3C">
      <w:pPr>
        <w:rPr>
          <w:rFonts w:ascii="Arial" w:hAnsi="Arial" w:cs="Arial"/>
          <w:sz w:val="22"/>
          <w:szCs w:val="22"/>
        </w:rPr>
      </w:pPr>
    </w:p>
    <w:p w:rsidR="00255E3C" w:rsidRDefault="00255E3C" w:rsidP="00255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magisterskich: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Gospodarka finansowa banku (analizy ekonomiczno-finansowe banków)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Strategie banków komercyjnych na współczesnym rynku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Zarządzanie bankiem – modele, rozwiązania, studia przypadku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Ryzyka bankowe i sposoby ich ograniczania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Polityka cenowa i produktowa banków – modele, analizy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Bankowość w krajach Unii Europejskiej – rynki, segmenty, studia przypadku</w:t>
      </w:r>
    </w:p>
    <w:p w:rsid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Europejski Bank Centralny i Europejski System Banków Centralnych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>
        <w:rPr>
          <w:sz w:val="24"/>
        </w:rPr>
        <w:t>Unia bankowa</w:t>
      </w:r>
      <w:r w:rsidR="00A55E77">
        <w:rPr>
          <w:sz w:val="24"/>
        </w:rPr>
        <w:t xml:space="preserve"> – organizacja i mechanizmy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 xml:space="preserve">Systemy bankowe w wybranych krajach 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Analiza wybranych rodzajów działalności operacyjnej banku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Działalność kredytowa banków – różne ujęcia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Fuzje i przejęcia banków – analizy systemowe, studia przypadku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Konglomeraty finansowe – tendencje zmian, studia przypadku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Kooperacja bankowo-ubezpieczeniowa – rozwiązania organizacyjne, działalność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Banki centralne – niezależność, polityka pieniężna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Nadzór bankowy w Polsce i w Unii Europejskiej – organizacja, instrumenty, działalność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Kryzysy bankowe – sieci bezpieczeństwa finansowego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Rynek i proces inwestowania kapitału wysokiego ryzyka</w:t>
      </w:r>
      <w:r w:rsidR="00A55E77">
        <w:rPr>
          <w:sz w:val="24"/>
        </w:rPr>
        <w:t xml:space="preserve"> (venture </w:t>
      </w:r>
      <w:proofErr w:type="spellStart"/>
      <w:r w:rsidR="00A55E77">
        <w:rPr>
          <w:sz w:val="24"/>
        </w:rPr>
        <w:t>capital</w:t>
      </w:r>
      <w:proofErr w:type="spellEnd"/>
      <w:r w:rsidR="00A55E77">
        <w:rPr>
          <w:sz w:val="24"/>
        </w:rPr>
        <w:t>)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Instrumenty finansowania przedsiębiorstw – sekurytyzacja, instrumenty hybrydowe i inne</w:t>
      </w:r>
    </w:p>
    <w:p w:rsid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Finansowanie działalności innowacyjnej – instrumenty, instytucje otoczenia biznesu</w:t>
      </w:r>
    </w:p>
    <w:p w:rsidR="00255E3C" w:rsidRPr="00255E3C" w:rsidRDefault="00A55E77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>
        <w:rPr>
          <w:sz w:val="24"/>
        </w:rPr>
        <w:t>P</w:t>
      </w:r>
      <w:r w:rsidR="00255E3C">
        <w:rPr>
          <w:sz w:val="24"/>
        </w:rPr>
        <w:t>rzedsiębiorstw</w:t>
      </w:r>
      <w:r>
        <w:rPr>
          <w:sz w:val="24"/>
        </w:rPr>
        <w:t>a</w:t>
      </w:r>
      <w:r w:rsidR="00255E3C">
        <w:rPr>
          <w:sz w:val="24"/>
        </w:rPr>
        <w:t xml:space="preserve"> rodzinn</w:t>
      </w:r>
      <w:r>
        <w:rPr>
          <w:sz w:val="24"/>
        </w:rPr>
        <w:t>e i ich finansowanie</w:t>
      </w:r>
    </w:p>
    <w:p w:rsidR="00255E3C" w:rsidRPr="00255E3C" w:rsidRDefault="00255E3C" w:rsidP="00255E3C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left"/>
        <w:rPr>
          <w:sz w:val="24"/>
        </w:rPr>
      </w:pPr>
      <w:r w:rsidRPr="00255E3C">
        <w:rPr>
          <w:sz w:val="24"/>
        </w:rPr>
        <w:t>Inne tematy z zakresu działalności banków i pozostałych pośredników finansowych do uzgodnienia</w:t>
      </w:r>
    </w:p>
    <w:p w:rsidR="00255E3C" w:rsidRDefault="00255E3C" w:rsidP="00255E3C">
      <w:pPr>
        <w:ind w:left="714"/>
        <w:jc w:val="left"/>
        <w:rPr>
          <w:rFonts w:ascii="Arial" w:hAnsi="Arial" w:cs="Arial"/>
        </w:rPr>
      </w:pPr>
    </w:p>
    <w:p w:rsidR="00255E3C" w:rsidRDefault="00255E3C" w:rsidP="00255E3C">
      <w:pPr>
        <w:ind w:left="714"/>
        <w:jc w:val="left"/>
        <w:rPr>
          <w:rFonts w:ascii="Arial" w:hAnsi="Arial" w:cs="Arial"/>
        </w:rPr>
      </w:pPr>
    </w:p>
    <w:p w:rsidR="00255E3C" w:rsidRDefault="00255E3C" w:rsidP="00255E3C">
      <w:pPr>
        <w:ind w:left="714"/>
        <w:jc w:val="left"/>
        <w:rPr>
          <w:rFonts w:ascii="Arial" w:hAnsi="Arial" w:cs="Arial"/>
        </w:rPr>
      </w:pPr>
    </w:p>
    <w:p w:rsidR="00255E3C" w:rsidRDefault="00255E3C" w:rsidP="00255E3C">
      <w:pPr>
        <w:ind w:left="714"/>
        <w:jc w:val="left"/>
        <w:rPr>
          <w:rFonts w:ascii="Arial" w:hAnsi="Arial" w:cs="Arial"/>
        </w:rPr>
      </w:pPr>
    </w:p>
    <w:p w:rsidR="00255E3C" w:rsidRDefault="00255E3C" w:rsidP="001C5D9F">
      <w:pPr>
        <w:jc w:val="left"/>
        <w:rPr>
          <w:rFonts w:ascii="Arial" w:hAnsi="Arial" w:cs="Arial"/>
        </w:rPr>
      </w:pPr>
    </w:p>
    <w:p w:rsidR="00255E3C" w:rsidRDefault="00255E3C" w:rsidP="00255E3C">
      <w:pPr>
        <w:ind w:left="714"/>
        <w:jc w:val="left"/>
        <w:rPr>
          <w:rFonts w:ascii="Arial" w:hAnsi="Arial" w:cs="Arial"/>
        </w:rPr>
      </w:pPr>
    </w:p>
    <w:p w:rsidR="00255E3C" w:rsidRDefault="00255E3C" w:rsidP="00255E3C">
      <w:pPr>
        <w:ind w:left="714"/>
        <w:jc w:val="left"/>
        <w:rPr>
          <w:rFonts w:ascii="Arial" w:hAnsi="Arial" w:cs="Arial"/>
        </w:rPr>
      </w:pPr>
    </w:p>
    <w:p w:rsidR="00255E3C" w:rsidRDefault="00255E3C" w:rsidP="00255E3C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256D7C" w:rsidRDefault="00256D7C">
      <w:bookmarkStart w:id="0" w:name="_GoBack"/>
      <w:bookmarkEnd w:id="0"/>
    </w:p>
    <w:sectPr w:rsidR="0025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717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73C30E1"/>
    <w:multiLevelType w:val="singleLevel"/>
    <w:tmpl w:val="1E76F3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A543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4209F0"/>
    <w:multiLevelType w:val="hybridMultilevel"/>
    <w:tmpl w:val="E6F61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643E38"/>
    <w:multiLevelType w:val="hybridMultilevel"/>
    <w:tmpl w:val="9874076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717B4709"/>
    <w:multiLevelType w:val="hybridMultilevel"/>
    <w:tmpl w:val="E83CC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A6B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C5D9F"/>
    <w:rsid w:val="00255E3C"/>
    <w:rsid w:val="00256D7C"/>
    <w:rsid w:val="00263F63"/>
    <w:rsid w:val="002A39D1"/>
    <w:rsid w:val="00470AA4"/>
    <w:rsid w:val="00476ED9"/>
    <w:rsid w:val="00567AEE"/>
    <w:rsid w:val="00752A01"/>
    <w:rsid w:val="00755743"/>
    <w:rsid w:val="00837F4E"/>
    <w:rsid w:val="008B56C8"/>
    <w:rsid w:val="00A33E4C"/>
    <w:rsid w:val="00A55E77"/>
    <w:rsid w:val="00B61F5A"/>
    <w:rsid w:val="00D13481"/>
    <w:rsid w:val="00D779BB"/>
    <w:rsid w:val="00ED6B14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5F358-0E02-428C-B4C7-B08B10E6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E3C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6D7C"/>
    <w:pPr>
      <w:ind w:left="720"/>
      <w:contextualSpacing/>
    </w:pPr>
  </w:style>
  <w:style w:type="paragraph" w:customStyle="1" w:styleId="Akapitzlist1">
    <w:name w:val="Akapit z listą1"/>
    <w:basedOn w:val="Normalny"/>
    <w:rsid w:val="00256D7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56D7C"/>
    <w:pPr>
      <w:autoSpaceDE w:val="0"/>
      <w:autoSpaceDN w:val="0"/>
      <w:spacing w:line="240" w:lineRule="auto"/>
      <w:jc w:val="center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25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56D7C"/>
    <w:pPr>
      <w:autoSpaceDE w:val="0"/>
      <w:autoSpaceDN w:val="0"/>
      <w:spacing w:line="240" w:lineRule="auto"/>
    </w:pPr>
    <w:rPr>
      <w:sz w:val="20"/>
    </w:rPr>
  </w:style>
  <w:style w:type="character" w:customStyle="1" w:styleId="PodtytuZnak">
    <w:name w:val="Podtytuł Znak"/>
    <w:basedOn w:val="Domylnaczcionkaakapitu"/>
    <w:link w:val="Podtytu"/>
    <w:rsid w:val="00256D7C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13</cp:revision>
  <dcterms:created xsi:type="dcterms:W3CDTF">2016-01-26T14:33:00Z</dcterms:created>
  <dcterms:modified xsi:type="dcterms:W3CDTF">2017-01-23T12:52:00Z</dcterms:modified>
</cp:coreProperties>
</file>