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F" w:rsidRPr="00C7160E" w:rsidRDefault="00C7160E" w:rsidP="00C7160E">
      <w:pPr>
        <w:jc w:val="right"/>
        <w:rPr>
          <w:sz w:val="16"/>
          <w:szCs w:val="16"/>
        </w:rPr>
      </w:pPr>
      <w:r w:rsidRPr="00C7160E">
        <w:rPr>
          <w:sz w:val="16"/>
          <w:szCs w:val="16"/>
        </w:rPr>
        <w:t>(opis w języku zajęć)</w:t>
      </w:r>
    </w:p>
    <w:p w:rsidR="0002242F" w:rsidRDefault="0002242F" w:rsidP="0002242F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692"/>
      </w:tblGrid>
      <w:tr w:rsidR="00D761AD" w:rsidRPr="00D761AD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D761AD" w:rsidRPr="00312DC4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 name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D761AD" w:rsidRPr="00415089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Legal Professions in Poland </w:t>
            </w:r>
          </w:p>
        </w:tc>
      </w:tr>
      <w:tr w:rsidR="00D761AD" w:rsidRPr="00312DC4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D761AD" w:rsidRPr="00312DC4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Studies cycle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D761AD" w:rsidRPr="00EE4E42" w:rsidRDefault="00FE24FB" w:rsidP="00D76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Iº and IIº</w:t>
            </w:r>
          </w:p>
        </w:tc>
      </w:tr>
      <w:tr w:rsidR="00D761AD" w:rsidRPr="00312DC4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D761AD" w:rsidRPr="00312DC4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Semester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D761AD" w:rsidRPr="00EE4E42" w:rsidRDefault="00FE24FB" w:rsidP="00D76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D761AD" w:rsidRPr="00312DC4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D761AD" w:rsidRPr="00312DC4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D761AD" w:rsidRPr="00EE4E42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D761AD" w:rsidRPr="00FE24FB" w:rsidTr="004C073B">
        <w:trPr>
          <w:trHeight w:val="1117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D761AD" w:rsidRPr="00312DC4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ECTS points hour equivalents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D761AD" w:rsidRPr="00C7160E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</w:p>
          <w:p w:rsidR="00D761AD" w:rsidRPr="00C7160E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15</w:t>
            </w: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761AD" w:rsidRPr="00C7160E" w:rsidRDefault="00D761AD" w:rsidP="00D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 4</w:t>
            </w:r>
          </w:p>
        </w:tc>
      </w:tr>
      <w:tr w:rsidR="0002242F" w:rsidRPr="00312DC4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42F" w:rsidRPr="00312DC4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312DC4" w:rsidRDefault="004C073B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</w:tr>
      <w:tr w:rsidR="0002242F" w:rsidRPr="00FE24FB" w:rsidTr="00D761AD">
        <w:trPr>
          <w:trHeight w:val="1101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Short description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D761AD" w:rsidRDefault="0002242F" w:rsidP="002D2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cove</w:t>
            </w:r>
            <w:r w:rsidR="00C073CE" w:rsidRPr="00A31B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rs the knowledge </w:t>
            </w:r>
            <w:r w:rsidR="00D761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status (rights and obligations) of lawyers practicing different legal professions in Poland as well as the issues of practicing those professions by foreign lawyers and transnatio</w:t>
            </w:r>
            <w:r w:rsidR="0048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nal legal services within the EU</w:t>
            </w:r>
            <w:r w:rsidR="00D761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:rsidR="0002242F" w:rsidRPr="00A31B5D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242F" w:rsidRPr="00FE24FB" w:rsidTr="00B53960">
        <w:trPr>
          <w:trHeight w:val="261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1E6461" w:rsidRDefault="0002242F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4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Full description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C7160E" w:rsidRDefault="004C073B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The class</w:t>
            </w:r>
            <w:r w:rsidR="0002242F" w:rsidRPr="004150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covers the following issues:</w:t>
            </w:r>
            <w:r w:rsidR="0002242F" w:rsidRPr="004150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 Legal professions: the main notions and problems – an overview (3 hours)</w:t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2. Liberal legal professions: part one – advocates (2 hours)</w:t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 Liberal legal professions: part two – legal advisers (2 hours)</w:t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 Liberal legal professions: part three – should we extend the list of legal professions? (2 hours)</w:t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 Legal services in the EU – directives and judicial decisions (2 hours)</w:t>
            </w:r>
          </w:p>
          <w:p w:rsidR="00D761AD" w:rsidRPr="00D761AD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6. Judges and prosecutors (2 hours)</w:t>
            </w:r>
          </w:p>
          <w:p w:rsidR="0002242F" w:rsidRPr="00082BF3" w:rsidRDefault="00D761AD" w:rsidP="00D761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7. Notaries and court executive officers (2 hours)</w:t>
            </w:r>
          </w:p>
        </w:tc>
      </w:tr>
      <w:tr w:rsidR="0002242F" w:rsidRPr="00FE24FB" w:rsidTr="00B53960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12DC4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66DE6" w:rsidRDefault="00066DE6" w:rsidP="00066D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66DE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J.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Kurczewski, Legal professions in transformation in Poland [in:] “International Journal of The Legal Professions” vol. 1 no 3, 1994. </w:t>
            </w:r>
          </w:p>
          <w:p w:rsidR="00066DE6" w:rsidRDefault="00066DE6" w:rsidP="00066D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J. Jabłońska-Bonca, Introdution to law, Warszawa 2008. </w:t>
            </w:r>
          </w:p>
          <w:p w:rsidR="00066DE6" w:rsidRDefault="00066DE6" w:rsidP="00066D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A. Bodnar, D. Bychwaska, The Legal Professions in Poland, 2009. </w:t>
            </w:r>
          </w:p>
          <w:p w:rsidR="00066DE6" w:rsidRDefault="00066DE6" w:rsidP="00066D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B. Nascimbene, The Legal Professions in the European Union, Wolters Kluwer 2009. </w:t>
            </w:r>
          </w:p>
          <w:p w:rsidR="0002242F" w:rsidRPr="004C073B" w:rsidRDefault="00D761AD" w:rsidP="00066D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A. Tyrrell, Z. Yaqub, The Legal Professions in the New Europe, Blackwell 2005.</w:t>
            </w:r>
          </w:p>
        </w:tc>
      </w:tr>
      <w:tr w:rsidR="0002242F" w:rsidRPr="00FE24FB" w:rsidTr="00386CB6">
        <w:trPr>
          <w:trHeight w:val="140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066DE6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6D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9224E3" w:rsidRDefault="0002242F" w:rsidP="00B5396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53960" w:rsidRPr="009224E3" w:rsidRDefault="00B53960" w:rsidP="003D1E3B">
            <w:pPr>
              <w:spacing w:after="0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:rsidR="00B53960" w:rsidRPr="008B752A" w:rsidRDefault="00B53960" w:rsidP="003D1E3B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W1.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</w:t>
            </w:r>
            <w:r w:rsidRPr="008B752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nowledge on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historical background of specific legal professions in Poland and their transformation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  <w:r w:rsidRPr="008B752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Knowledge on basic polish legal regulations regarding legal profession</w:t>
            </w:r>
            <w:r w:rsidR="0048287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a specially regulating the status (rights and obligations) of representatives of different legal professions.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W3. Knowledge on the requirements for foreign lawyers to</w:t>
            </w:r>
            <w:r w:rsidR="00482876">
              <w:rPr>
                <w:rFonts w:ascii="Arial" w:hAnsi="Arial" w:cs="Arial"/>
                <w:sz w:val="20"/>
                <w:szCs w:val="20"/>
                <w:lang w:val="en-US"/>
              </w:rPr>
              <w:t xml:space="preserve"> practice in Poland and within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82876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(permanent practice and transnational services). 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SKILLS: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U1.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tudent is able to analyze properly basic polish regulations regarding legal professions in Poland.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U2. Student is able to determine the necessary obligations to fulfill while practicing legal professions in Poland or abroad.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U3. </w:t>
            </w: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capable of drawing adequate conclusions from the conducted analysis of social phenomenon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B53960" w:rsidRDefault="00B53960" w:rsidP="003D1E3B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B53960" w:rsidRPr="009224E3" w:rsidRDefault="00B53960" w:rsidP="003D1E3B">
            <w:pPr>
              <w:spacing w:after="0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22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:rsidR="00B53960" w:rsidRPr="00851B13" w:rsidRDefault="00B53960" w:rsidP="003D1E3B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K1. Student is aware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necessity of enhancing the level of his/her knowledge and skills</w:t>
            </w: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  <w:r w:rsidRPr="00851B1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</w:p>
          <w:p w:rsidR="00B53960" w:rsidRDefault="00B53960" w:rsidP="003D1E3B">
            <w:pPr>
              <w:spacing w:after="0"/>
              <w:rPr>
                <w:lang w:val="en-US"/>
              </w:rPr>
            </w:pPr>
            <w:r w:rsidRPr="00851B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K2.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Student is able to supplement, improve and update gained knowledge and skills, also in the interdisciplinary aspects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2242F" w:rsidRPr="00386CB6" w:rsidRDefault="0002242F" w:rsidP="00B5396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242F" w:rsidRPr="00386CB6" w:rsidTr="00B53960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86CB6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Assessment methods and </w:t>
            </w: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criteria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C10DC3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Frequency of attendance;</w:t>
            </w:r>
          </w:p>
          <w:p w:rsidR="00C10DC3" w:rsidRPr="00C10DC3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Effort in class;</w:t>
            </w:r>
          </w:p>
          <w:p w:rsidR="0002242F" w:rsidRPr="00C10DC3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Final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2242F" w:rsidRPr="00FE24FB" w:rsidTr="00B53960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386CB6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6C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Lecture;</w:t>
            </w:r>
          </w:p>
          <w:p w:rsidR="00C10DC3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and comparative analysis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C10DC3" w:rsidRDefault="00C10DC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acts study;</w:t>
            </w:r>
          </w:p>
          <w:p w:rsidR="003D1E3B" w:rsidRDefault="00C10DC3" w:rsidP="003D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Discussion. </w:t>
            </w:r>
          </w:p>
          <w:p w:rsidR="00C10DC3" w:rsidRPr="00C10DC3" w:rsidRDefault="003D1E3B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Case study;</w:t>
            </w:r>
          </w:p>
        </w:tc>
      </w:tr>
      <w:tr w:rsidR="0002242F" w:rsidRPr="00D761AD" w:rsidTr="00B53960">
        <w:trPr>
          <w:trHeight w:val="176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Default="003D1E3B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Discussion </w:t>
            </w:r>
          </w:p>
          <w:p w:rsidR="003D1E3B" w:rsidRPr="00772938" w:rsidRDefault="003D1E3B" w:rsidP="00E70EF7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Final Paper </w:t>
            </w:r>
          </w:p>
        </w:tc>
      </w:tr>
      <w:tr w:rsidR="0002242F" w:rsidRPr="00C10DC3" w:rsidTr="00B53960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92" w:type="dxa"/>
            <w:shd w:val="clear" w:color="auto" w:fill="C6D9F1" w:themeFill="text2" w:themeFillTint="33"/>
            <w:vAlign w:val="center"/>
            <w:hideMark/>
          </w:tcPr>
          <w:p w:rsidR="0002242F" w:rsidRPr="00C10DC3" w:rsidRDefault="00E34DE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02242F" w:rsidRPr="00C10DC3" w:rsidTr="00B53960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242F" w:rsidRPr="00C10DC3" w:rsidRDefault="0002242F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0D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242F" w:rsidRPr="00C10DC3" w:rsidRDefault="00E34DE3" w:rsidP="00B53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None</w:t>
            </w:r>
          </w:p>
        </w:tc>
      </w:tr>
    </w:tbl>
    <w:p w:rsidR="00803DD0" w:rsidRDefault="00803DD0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p w:rsidR="00F02481" w:rsidRDefault="00F0248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8538"/>
      </w:tblGrid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modułu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C6259C" w:rsidRDefault="00482876" w:rsidP="00897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Zawody prawnicze w Polsce </w:t>
            </w: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EE4E42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magisterskie </w:t>
            </w: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EE4E42" w:rsidRDefault="00FE24FB" w:rsidP="00897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zimowy</w:t>
            </w:r>
            <w:bookmarkStart w:id="0" w:name="_GoBack"/>
            <w:bookmarkEnd w:id="0"/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EE4E42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482876" w:rsidRPr="00312DC4" w:rsidTr="008974EF">
        <w:trPr>
          <w:trHeight w:val="919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Godzinowe ekwiwalenty punktów ECTS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BC4DCB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4D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Godziny kontaktowe (z udziałem nauczyciela akademickiego):</w:t>
            </w:r>
            <w:r w:rsidRPr="00BC4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  <w:r w:rsidRPr="00BC4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C4D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Łączna liczba godzin z udziałem nauczyciela akademickiego: 15</w:t>
            </w:r>
            <w:r w:rsidRPr="00BC4D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C4D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Sumaryczna liczba punktów ECTS dla modułu: 4</w:t>
            </w: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wykładowy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</w:t>
            </w:r>
          </w:p>
        </w:tc>
      </w:tr>
      <w:tr w:rsidR="00482876" w:rsidRPr="00482876" w:rsidTr="008974EF">
        <w:trPr>
          <w:trHeight w:val="860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Skrócony opis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482876" w:rsidRPr="00FE24FB" w:rsidRDefault="00482876" w:rsidP="0048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obejmuje wiedzę nt. statusu (praw i obowiązków) prawników praktykujących w różnych zawodach prawniczych w Polsce, a także zagadnień związanych z wykonywaniem tych zawodów przez obcokrajowców oraz świadczenia transgranicznych usług prawnych w ramach UE.  </w:t>
            </w:r>
            <w:r w:rsidR="00F02481" w:rsidRPr="002B4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2876" w:rsidRPr="00FE24FB" w:rsidRDefault="00482876" w:rsidP="00897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481" w:rsidRPr="00FE24FB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2876" w:rsidRPr="00482876" w:rsidTr="00482876">
        <w:trPr>
          <w:trHeight w:val="189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Pełny opis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Zawody prawnicze: ogólne informacje</w:t>
            </w:r>
          </w:p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Wolne zawody prawnicze: cz. I. – adwokat </w:t>
            </w:r>
          </w:p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Wolne zawody prawnicze: cz. II. – radca prawny</w:t>
            </w:r>
          </w:p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Wolne zawody prawnicze: cz. III. – czy powinniśmy rozszerzyć listę wolnych zawodów prawniczych?</w:t>
            </w:r>
          </w:p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Usługi prawne w ramach UE.</w:t>
            </w:r>
          </w:p>
          <w:p w:rsid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Sędzia</w:t>
            </w: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prokurator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82876" w:rsidRPr="00482876" w:rsidRDefault="00482876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Notariusz i komornik. </w:t>
            </w:r>
            <w:r w:rsidRP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F02481" w:rsidRPr="00FE24FB" w:rsidRDefault="00F02481" w:rsidP="004828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2876" w:rsidRPr="00FE24FB" w:rsidTr="008974EF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Literatura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482876" w:rsidRDefault="00482876" w:rsidP="0048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66DE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J.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Kurczewski, Legal professions in transformation in Poland [in:] “International Journal of The Legal Professions” vol. 1 no 3, 1994. </w:t>
            </w:r>
          </w:p>
          <w:p w:rsidR="00482876" w:rsidRDefault="00482876" w:rsidP="0048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J. Jabłońska-Bonca, Introdution to law, Warszawa 2008. </w:t>
            </w:r>
          </w:p>
          <w:p w:rsidR="00482876" w:rsidRDefault="00482876" w:rsidP="0048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A. Bodnar, D. Bychwaska, The Legal Professions in Poland, 2009. </w:t>
            </w:r>
          </w:p>
          <w:p w:rsidR="00482876" w:rsidRDefault="00482876" w:rsidP="0048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B. Nascimbene, The Legal Professions in the European Union, Wolters Kluwer 2009. </w:t>
            </w:r>
          </w:p>
          <w:p w:rsidR="00F02481" w:rsidRPr="00233697" w:rsidRDefault="00482876" w:rsidP="0048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32" w:hanging="232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761A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A. Tyrrell, Z. Yaqub, The Legal Professions in the New Europe, Blackwell 2005.</w:t>
            </w:r>
          </w:p>
        </w:tc>
      </w:tr>
      <w:tr w:rsidR="00482876" w:rsidRPr="00312DC4" w:rsidTr="008974EF">
        <w:trPr>
          <w:trHeight w:val="360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F02481" w:rsidRDefault="00F02481" w:rsidP="008974EF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481" w:rsidRPr="00E11963" w:rsidRDefault="00F02481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19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</w:t>
            </w:r>
          </w:p>
          <w:p w:rsidR="00F02481" w:rsidRPr="002B43AC" w:rsidRDefault="00F02481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W1.</w:t>
            </w:r>
            <w:r w:rsidRPr="00E11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Wiedza na temat tła historycznego poszczególnych zawodów prawniczych w Polsce oraz ich przekształceń. </w:t>
            </w:r>
            <w:r w:rsidRPr="002B4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02481" w:rsidRPr="002B43AC" w:rsidRDefault="00F02481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W2. W</w:t>
            </w:r>
            <w:r w:rsidRPr="002B4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iedza </w:t>
            </w:r>
            <w:r w:rsid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temat podstawowych polskich regulacji prawnych normujących funkcjonowanie poszczególnych zawodów prawniczych, w szczególności w odniesieniu do statusu (praw i obowiązków) poszczególnych zawodów prawniczych. </w:t>
            </w:r>
          </w:p>
          <w:p w:rsidR="00F02481" w:rsidRPr="002B43AC" w:rsidRDefault="00F02481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W3. W</w:t>
            </w:r>
            <w:r w:rsidR="00482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iedza na temat wymagań stawianych zagranicznym prawnikom praktykującym w Polsce lub w ramach UE (stałe świadczenie usług i usługi transgraniczne) </w:t>
            </w:r>
          </w:p>
          <w:p w:rsidR="00F02481" w:rsidRDefault="00F02481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876" w:rsidRDefault="00482876" w:rsidP="00482876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82876" w:rsidRPr="002B43AC" w:rsidRDefault="00482876" w:rsidP="00482876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9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UMIEJĘTNOŚCI</w:t>
            </w:r>
          </w:p>
          <w:p w:rsidR="00482876" w:rsidRDefault="00482876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U1. Student potrafi poprawnie analizować podstawowe polskie regulacje prawne odnoszące się do zawodów prawniczych z Polsce.</w:t>
            </w:r>
          </w:p>
          <w:p w:rsidR="00482876" w:rsidRDefault="00482876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U2. Student potrafi określić o</w:t>
            </w:r>
            <w:r w:rsidR="00DC17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bowiązki, jakie należy spełnić podczas wykonywania zawodów prawniczych w Polsce i za granicą. </w:t>
            </w:r>
          </w:p>
          <w:p w:rsidR="00482876" w:rsidRDefault="00482876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U3. </w:t>
            </w:r>
            <w:r w:rsidR="00DC17BE" w:rsidRPr="00DC17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umiejętność samodzielnego wyprowadzenia stosownych wniosków z dokonanej analizy zjawisk społecznych</w:t>
            </w:r>
          </w:p>
          <w:p w:rsidR="00482876" w:rsidRDefault="00482876" w:rsidP="008974EF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17BE" w:rsidRPr="00FE24FB" w:rsidRDefault="00DC17BE" w:rsidP="00DC17BE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24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KOMPETENCJE SPOŁECZNE</w:t>
            </w:r>
          </w:p>
          <w:p w:rsidR="00DC17BE" w:rsidRPr="00DC17BE" w:rsidRDefault="00DC17BE" w:rsidP="00DC17BE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24FB">
              <w:rPr>
                <w:rFonts w:ascii="Arial" w:eastAsia="Times New Roman" w:hAnsi="Arial" w:cs="Arial"/>
                <w:bCs/>
                <w:sz w:val="20"/>
                <w:szCs w:val="20"/>
              </w:rPr>
              <w:t>K1</w:t>
            </w:r>
            <w:r w:rsidRPr="00DC17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Ma świadomość konieczności podnoszenia poziomu swojej wiedzy i umiejętności; </w:t>
            </w:r>
          </w:p>
          <w:p w:rsidR="00DC17BE" w:rsidRPr="00DC17BE" w:rsidRDefault="00DC17BE" w:rsidP="00482876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7BE">
              <w:rPr>
                <w:rFonts w:ascii="Arial" w:eastAsia="Times New Roman" w:hAnsi="Arial" w:cs="Arial"/>
                <w:bCs/>
                <w:sz w:val="20"/>
                <w:szCs w:val="20"/>
              </w:rPr>
              <w:t>K2. Potrafi uzupełniać , doskonalić i aktualizować  nabytą wiedzę i umiejętności, również  w aspekcie interdyscyplinarnym.</w:t>
            </w:r>
          </w:p>
          <w:p w:rsidR="00DC17BE" w:rsidRPr="00FE24FB" w:rsidRDefault="00DC17BE" w:rsidP="00482876">
            <w:pPr>
              <w:spacing w:after="0"/>
              <w:ind w:left="373" w:hanging="37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02481" w:rsidRPr="00312DC4" w:rsidRDefault="00F02481" w:rsidP="00DC17BE">
            <w:pPr>
              <w:spacing w:after="0" w:line="240" w:lineRule="auto"/>
              <w:ind w:left="373" w:hanging="3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2876" w:rsidRPr="00312DC4" w:rsidTr="008974EF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i kryteria oceniania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C17BE" w:rsidRDefault="00DC17BE" w:rsidP="00DC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Frekwencja;</w:t>
            </w:r>
          </w:p>
          <w:p w:rsidR="00F02481" w:rsidRPr="00312DC4" w:rsidRDefault="00DC17BE" w:rsidP="00DC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na zajęciach;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Praca zaliczeniowa.</w:t>
            </w:r>
          </w:p>
        </w:tc>
      </w:tr>
      <w:tr w:rsidR="00482876" w:rsidRPr="00312DC4" w:rsidTr="008974EF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C17BE" w:rsidRDefault="00DC17BE" w:rsidP="00DC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informacyjny;</w:t>
            </w: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Studium przypadku (studium przykładowe);</w:t>
            </w:r>
          </w:p>
          <w:p w:rsidR="00DC17BE" w:rsidRDefault="00DC17BE" w:rsidP="00DC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prawno-porównawcza;</w:t>
            </w: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Praca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aktach prawnych</w:t>
            </w:r>
          </w:p>
          <w:p w:rsidR="00F02481" w:rsidRPr="00312DC4" w:rsidRDefault="00DC17BE" w:rsidP="00DC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Dyskusja.</w:t>
            </w:r>
          </w:p>
        </w:tc>
      </w:tr>
      <w:tr w:rsidR="00482876" w:rsidRPr="00312DC4" w:rsidTr="008974EF">
        <w:trPr>
          <w:trHeight w:val="2021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Sposoby sprawdzania efektów kształcenia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C17BE" w:rsidRDefault="00DC17BE" w:rsidP="008974EF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Dyskusja </w:t>
            </w:r>
          </w:p>
          <w:p w:rsidR="00F02481" w:rsidRPr="00312DC4" w:rsidRDefault="00F02481" w:rsidP="008974EF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zaliczeniowa </w:t>
            </w: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82876" w:rsidRPr="00312DC4" w:rsidTr="008974EF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2D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02481" w:rsidRPr="00312DC4" w:rsidRDefault="00F02481" w:rsidP="00897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F02481" w:rsidRDefault="00F02481"/>
    <w:p w:rsidR="00F02481" w:rsidRDefault="00F02481"/>
    <w:sectPr w:rsidR="00F02481" w:rsidSect="00B53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3F0"/>
    <w:multiLevelType w:val="hybridMultilevel"/>
    <w:tmpl w:val="940C0A8A"/>
    <w:lvl w:ilvl="0" w:tplc="9B7438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E7158"/>
    <w:multiLevelType w:val="hybridMultilevel"/>
    <w:tmpl w:val="940C0A8A"/>
    <w:lvl w:ilvl="0" w:tplc="9B7438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066DE6"/>
    <w:rsid w:val="00082BF3"/>
    <w:rsid w:val="000C307D"/>
    <w:rsid w:val="001B76AE"/>
    <w:rsid w:val="001B7C18"/>
    <w:rsid w:val="001C5336"/>
    <w:rsid w:val="001E6461"/>
    <w:rsid w:val="002D22F7"/>
    <w:rsid w:val="00386CB6"/>
    <w:rsid w:val="003D1E3B"/>
    <w:rsid w:val="00415089"/>
    <w:rsid w:val="004368F6"/>
    <w:rsid w:val="00464EB2"/>
    <w:rsid w:val="00482876"/>
    <w:rsid w:val="004C073B"/>
    <w:rsid w:val="004F171A"/>
    <w:rsid w:val="007667CB"/>
    <w:rsid w:val="00772938"/>
    <w:rsid w:val="007F6193"/>
    <w:rsid w:val="00803DD0"/>
    <w:rsid w:val="00831774"/>
    <w:rsid w:val="00851B13"/>
    <w:rsid w:val="009224E3"/>
    <w:rsid w:val="00994F6E"/>
    <w:rsid w:val="009C17D2"/>
    <w:rsid w:val="009F3C7A"/>
    <w:rsid w:val="00A24274"/>
    <w:rsid w:val="00A31B5D"/>
    <w:rsid w:val="00B53960"/>
    <w:rsid w:val="00BC5CEF"/>
    <w:rsid w:val="00C073CE"/>
    <w:rsid w:val="00C1032B"/>
    <w:rsid w:val="00C10DC3"/>
    <w:rsid w:val="00C7160E"/>
    <w:rsid w:val="00CD4E68"/>
    <w:rsid w:val="00D06BDF"/>
    <w:rsid w:val="00D761AD"/>
    <w:rsid w:val="00DA46EB"/>
    <w:rsid w:val="00DC17BE"/>
    <w:rsid w:val="00E17297"/>
    <w:rsid w:val="00E34DE3"/>
    <w:rsid w:val="00E70EF7"/>
    <w:rsid w:val="00F02481"/>
    <w:rsid w:val="00F32D7C"/>
    <w:rsid w:val="00FE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styleId="Hipercze">
    <w:name w:val="Hyperlink"/>
    <w:basedOn w:val="Domylnaczcionkaakapitu"/>
    <w:uiPriority w:val="99"/>
    <w:unhideWhenUsed/>
    <w:rsid w:val="00D06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styleId="Hipercze">
    <w:name w:val="Hyperlink"/>
    <w:basedOn w:val="Domylnaczcionkaakapitu"/>
    <w:uiPriority w:val="99"/>
    <w:unhideWhenUsed/>
    <w:rsid w:val="00D06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dcterms:created xsi:type="dcterms:W3CDTF">2016-03-14T11:35:00Z</dcterms:created>
  <dcterms:modified xsi:type="dcterms:W3CDTF">2016-03-14T11:35:00Z</dcterms:modified>
</cp:coreProperties>
</file>